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sz w:val="27"/>
        </w:rPr>
      </w:pPr>
    </w:p>
    <w:p>
      <w:pPr>
        <w:spacing w:before="85"/>
        <w:ind w:left="2275" w:right="3259" w:firstLine="0"/>
        <w:jc w:val="center"/>
        <w:rPr>
          <w:b/>
          <w:sz w:val="32"/>
        </w:rPr>
      </w:pPr>
      <w:r>
        <w:rPr/>
        <w:drawing>
          <wp:anchor distT="0" distB="0" distL="0" distR="0" allowOverlap="1" layoutInCell="1" locked="0" behindDoc="0" simplePos="0" relativeHeight="251658240">
            <wp:simplePos x="0" y="0"/>
            <wp:positionH relativeFrom="page">
              <wp:posOffset>963294</wp:posOffset>
            </wp:positionH>
            <wp:positionV relativeFrom="paragraph">
              <wp:posOffset>-207041</wp:posOffset>
            </wp:positionV>
            <wp:extent cx="660400" cy="914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60400" cy="914400"/>
                    </a:xfrm>
                    <a:prstGeom prst="rect">
                      <a:avLst/>
                    </a:prstGeom>
                  </pic:spPr>
                </pic:pic>
              </a:graphicData>
            </a:graphic>
          </wp:anchor>
        </w:drawing>
      </w:r>
      <w:r>
        <w:rPr>
          <w:b/>
          <w:shadow/>
          <w:sz w:val="32"/>
        </w:rPr>
        <w:t>DIRECTIA</w:t>
      </w:r>
      <w:r>
        <w:rPr>
          <w:b/>
          <w:shadow w:val="0"/>
          <w:sz w:val="32"/>
        </w:rPr>
        <w:t> </w:t>
      </w:r>
      <w:r>
        <w:rPr>
          <w:b/>
          <w:shadow/>
          <w:sz w:val="32"/>
        </w:rPr>
        <w:t>DE</w:t>
      </w:r>
      <w:r>
        <w:rPr>
          <w:b/>
          <w:shadow w:val="0"/>
          <w:sz w:val="32"/>
        </w:rPr>
        <w:t> </w:t>
      </w:r>
      <w:r>
        <w:rPr>
          <w:b/>
          <w:shadow/>
          <w:sz w:val="32"/>
        </w:rPr>
        <w:t>SANATATE</w:t>
      </w:r>
      <w:r>
        <w:rPr>
          <w:b/>
          <w:shadow w:val="0"/>
          <w:sz w:val="32"/>
        </w:rPr>
        <w:t> </w:t>
      </w:r>
      <w:r>
        <w:rPr>
          <w:b/>
          <w:shadow/>
          <w:sz w:val="32"/>
        </w:rPr>
        <w:t>PUBLICA</w:t>
      </w:r>
      <w:r>
        <w:rPr>
          <w:b/>
          <w:shadow w:val="0"/>
          <w:sz w:val="32"/>
        </w:rPr>
        <w:t> </w:t>
      </w:r>
      <w:r>
        <w:rPr>
          <w:b/>
          <w:shadow/>
          <w:sz w:val="32"/>
        </w:rPr>
        <w:t>A</w:t>
      </w:r>
      <w:r>
        <w:rPr>
          <w:b/>
          <w:shadow w:val="0"/>
          <w:sz w:val="32"/>
        </w:rPr>
        <w:t> </w:t>
      </w:r>
      <w:r>
        <w:rPr>
          <w:b/>
          <w:shadow/>
          <w:sz w:val="32"/>
        </w:rPr>
        <w:t>MUNICIPIULUI</w:t>
      </w:r>
      <w:r>
        <w:rPr>
          <w:b/>
          <w:shadow w:val="0"/>
          <w:sz w:val="32"/>
        </w:rPr>
        <w:t> </w:t>
      </w:r>
      <w:r>
        <w:rPr>
          <w:b/>
          <w:shadow/>
          <w:sz w:val="32"/>
        </w:rPr>
        <w:t>BUCURESTI</w:t>
      </w: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spacing w:before="2"/>
        <w:ind w:left="0"/>
        <w:rPr>
          <w:b/>
          <w:sz w:val="38"/>
        </w:rPr>
      </w:pPr>
    </w:p>
    <w:p>
      <w:pPr>
        <w:spacing w:line="598" w:lineRule="exact" w:before="0"/>
        <w:ind w:left="1931" w:right="2913" w:firstLine="0"/>
        <w:jc w:val="center"/>
        <w:rPr>
          <w:b/>
          <w:i/>
          <w:sz w:val="52"/>
        </w:rPr>
      </w:pPr>
      <w:r>
        <w:rPr>
          <w:b/>
          <w:i/>
          <w:shadow/>
          <w:sz w:val="52"/>
        </w:rPr>
        <w:t>RAPORT</w:t>
      </w:r>
      <w:r>
        <w:rPr>
          <w:b/>
          <w:i/>
          <w:shadow w:val="0"/>
          <w:sz w:val="52"/>
        </w:rPr>
        <w:t> </w:t>
      </w:r>
      <w:r>
        <w:rPr>
          <w:b/>
          <w:i/>
          <w:shadow/>
          <w:sz w:val="52"/>
        </w:rPr>
        <w:t>DE</w:t>
      </w:r>
      <w:r>
        <w:rPr>
          <w:b/>
          <w:i/>
          <w:shadow w:val="0"/>
          <w:sz w:val="52"/>
        </w:rPr>
        <w:t> </w:t>
      </w:r>
      <w:r>
        <w:rPr>
          <w:b/>
          <w:i/>
          <w:shadow/>
          <w:sz w:val="52"/>
        </w:rPr>
        <w:t>ACTIVITATE</w:t>
      </w:r>
    </w:p>
    <w:p>
      <w:pPr>
        <w:spacing w:before="0"/>
        <w:ind w:left="2275" w:right="3256" w:firstLine="0"/>
        <w:jc w:val="center"/>
        <w:rPr>
          <w:b/>
          <w:i/>
          <w:sz w:val="52"/>
        </w:rPr>
      </w:pPr>
      <w:r>
        <w:rPr>
          <w:b/>
          <w:i/>
          <w:shadow/>
          <w:sz w:val="52"/>
        </w:rPr>
        <w:t>-2017-</w:t>
      </w: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BodyText"/>
        <w:ind w:left="0"/>
        <w:rPr>
          <w:b/>
          <w:i/>
          <w:sz w:val="58"/>
        </w:rPr>
      </w:pPr>
    </w:p>
    <w:p>
      <w:pPr>
        <w:pStyle w:val="Heading2"/>
        <w:spacing w:before="438"/>
        <w:ind w:left="2275" w:right="3257"/>
        <w:jc w:val="center"/>
        <w:rPr>
          <w:i/>
        </w:rPr>
      </w:pPr>
      <w:r>
        <w:rPr>
          <w:i/>
        </w:rPr>
        <w:t>BUCURESTI 2018</w:t>
      </w:r>
    </w:p>
    <w:p>
      <w:pPr>
        <w:pStyle w:val="BodyText"/>
        <w:spacing w:before="7"/>
        <w:ind w:left="0"/>
        <w:rPr>
          <w:b/>
          <w:i/>
          <w:sz w:val="15"/>
        </w:rPr>
      </w:pPr>
    </w:p>
    <w:p>
      <w:pPr>
        <w:spacing w:before="91"/>
        <w:ind w:left="0" w:right="985" w:firstLine="0"/>
        <w:jc w:val="center"/>
        <w:rPr>
          <w:sz w:val="20"/>
        </w:rPr>
      </w:pPr>
      <w:r>
        <w:rPr>
          <w:w w:val="99"/>
          <w:sz w:val="20"/>
        </w:rPr>
        <w:t>1</w:t>
      </w:r>
    </w:p>
    <w:p>
      <w:pPr>
        <w:spacing w:after="0"/>
        <w:jc w:val="center"/>
        <w:rPr>
          <w:sz w:val="20"/>
        </w:rPr>
        <w:sectPr>
          <w:type w:val="continuous"/>
          <w:pgSz w:w="11910" w:h="16850"/>
          <w:pgMar w:top="1280" w:bottom="280" w:left="900" w:right="0"/>
        </w:sectPr>
      </w:pPr>
    </w:p>
    <w:p>
      <w:pPr>
        <w:pStyle w:val="Heading1"/>
        <w:numPr>
          <w:ilvl w:val="0"/>
          <w:numId w:val="1"/>
        </w:numPr>
        <w:tabs>
          <w:tab w:pos="954" w:val="left" w:leader="none"/>
        </w:tabs>
        <w:spacing w:line="240" w:lineRule="auto" w:before="60" w:after="0"/>
        <w:ind w:left="953" w:right="0" w:hanging="361"/>
        <w:jc w:val="left"/>
        <w:rPr>
          <w:u w:val="none"/>
        </w:rPr>
      </w:pPr>
      <w:r>
        <w:rPr>
          <w:u w:val="thick"/>
        </w:rPr>
        <w:t>DOMENIUL DE ACTIVITATE – PREZENTARE</w:t>
      </w:r>
      <w:r>
        <w:rPr>
          <w:spacing w:val="1"/>
          <w:u w:val="thick"/>
        </w:rPr>
        <w:t> </w:t>
      </w:r>
      <w:r>
        <w:rPr>
          <w:u w:val="thick"/>
        </w:rPr>
        <w:t>GENERALA</w:t>
      </w:r>
    </w:p>
    <w:p>
      <w:pPr>
        <w:pStyle w:val="BodyText"/>
        <w:spacing w:before="3"/>
        <w:ind w:left="0"/>
        <w:rPr>
          <w:b/>
          <w:sz w:val="16"/>
        </w:rPr>
      </w:pPr>
    </w:p>
    <w:p>
      <w:pPr>
        <w:pStyle w:val="BodyText"/>
        <w:spacing w:before="90"/>
        <w:ind w:left="233" w:right="833" w:firstLine="540"/>
        <w:jc w:val="both"/>
      </w:pPr>
      <w:r>
        <w:rPr/>
        <w:t>Directia de Sanatate Publica Bucuresti functioneaza in baza Ordinului M.S. nr. 1078 din 27.07.2010, publicat in Monitorul Oficial partea I nr. 550 din 05.08.2010 privind aprobarea Regulamentului de organizare si functionare si a structura organizatorica a directiilor de sanatate publica judetene si a Municipiului Bucuresti.</w:t>
      </w:r>
    </w:p>
    <w:p>
      <w:pPr>
        <w:pStyle w:val="BodyText"/>
        <w:ind w:left="233" w:right="829" w:firstLine="480"/>
        <w:jc w:val="both"/>
      </w:pPr>
      <w:r>
        <w:rPr>
          <w:b/>
        </w:rPr>
        <w:t>Directia de Sanatate Publica a Municipiului Bucuresti </w:t>
      </w:r>
      <w:r>
        <w:rPr/>
        <w:t>face parte din serviciile Publice deconcentrate, cu personalitate juridica, subordonata Ministerului Sanatatii, reprezentand autoritatea de sanatate publica la nivel local. Directia de Sanatate Publica a Municipiului Bucuresti, evalueaza si monitorizeaza modul de asigurare a asistentei medicale curative si profilactice din unitatile sanitare de pe teritoriul arondat, inclusiv pentru unitatile sanitare din subordinea Ministerului Sanatatii, luand masuri pentru asigurarea accesului la asistenta medicala a oricarei persoane din raza Municipiului Bucuresti; prin serviciile de supraveghere, coordoneaza, organizeaza, evalueaza si participa la realizarea programelor nationale de sanatate ce se deruleaza in teritoriul arondat. De asemenea,  exercita atributii specifice de control in sanatatea publica, pe domeniile de competenta, prin personalul imputernicit de Ministerul Sanatatii; organizeaza, coordoneaza si participa la asistenta medicala in caz de calamitati, epidemii, catastrofe si alte situatii deosebite; organizeaza, coordoneaza si raspunde de pregatirea retelei sanitare pentru aparare, sub coordonarea Ministerului</w:t>
      </w:r>
      <w:r>
        <w:rPr>
          <w:spacing w:val="-4"/>
        </w:rPr>
        <w:t> </w:t>
      </w:r>
      <w:r>
        <w:rPr/>
        <w:t>Sanatatii.</w:t>
      </w:r>
    </w:p>
    <w:p>
      <w:pPr>
        <w:pStyle w:val="BodyText"/>
        <w:ind w:left="0"/>
        <w:rPr>
          <w:sz w:val="26"/>
        </w:rPr>
      </w:pPr>
    </w:p>
    <w:p>
      <w:pPr>
        <w:pStyle w:val="BodyText"/>
        <w:spacing w:before="1"/>
        <w:ind w:left="0"/>
        <w:rPr>
          <w:sz w:val="22"/>
        </w:rPr>
      </w:pPr>
    </w:p>
    <w:p>
      <w:pPr>
        <w:pStyle w:val="Heading1"/>
        <w:numPr>
          <w:ilvl w:val="0"/>
          <w:numId w:val="1"/>
        </w:numPr>
        <w:tabs>
          <w:tab w:pos="954" w:val="left" w:leader="none"/>
        </w:tabs>
        <w:spacing w:line="240" w:lineRule="auto" w:before="0" w:after="0"/>
        <w:ind w:left="953" w:right="0" w:hanging="361"/>
        <w:jc w:val="left"/>
        <w:rPr>
          <w:u w:val="none"/>
        </w:rPr>
      </w:pPr>
      <w:r>
        <w:rPr>
          <w:u w:val="none"/>
        </w:rPr>
        <w:t>DESCRIEREA DOMENIILOR DE COMPETENTA,</w:t>
      </w:r>
      <w:r>
        <w:rPr>
          <w:spacing w:val="-1"/>
          <w:u w:val="none"/>
        </w:rPr>
        <w:t> </w:t>
      </w:r>
      <w:r>
        <w:rPr>
          <w:u w:val="none"/>
        </w:rPr>
        <w:t>REALIZARI</w:t>
      </w:r>
    </w:p>
    <w:p>
      <w:pPr>
        <w:pStyle w:val="BodyText"/>
        <w:ind w:left="0"/>
        <w:rPr>
          <w:b/>
        </w:rPr>
      </w:pPr>
    </w:p>
    <w:p>
      <w:pPr>
        <w:pStyle w:val="BodyText"/>
        <w:ind w:left="233" w:right="835" w:firstLine="480"/>
        <w:jc w:val="both"/>
      </w:pPr>
      <w:r>
        <w:rPr/>
        <w:t>Prezentam in continuare, pentru fiecare structura din DSPMB, activitatile/actiunile intreprinse in cursul anului 2017, conform domeniilor de competenta, precum si rezultatele activitatilor desfasurate.</w:t>
      </w:r>
    </w:p>
    <w:p>
      <w:pPr>
        <w:pStyle w:val="BodyText"/>
        <w:ind w:left="0"/>
      </w:pPr>
    </w:p>
    <w:p>
      <w:pPr>
        <w:pStyle w:val="Heading1"/>
        <w:tabs>
          <w:tab w:pos="8216" w:val="left" w:leader="none"/>
        </w:tabs>
        <w:ind w:right="880"/>
        <w:rPr>
          <w:u w:val="none"/>
        </w:rPr>
      </w:pPr>
      <w:r>
        <w:rPr>
          <w:u w:val="thick"/>
        </w:rPr>
        <w:t>COMPARTIMENTUL  DE  SUPRAVEGHERE </w:t>
      </w:r>
      <w:r>
        <w:rPr>
          <w:spacing w:val="46"/>
          <w:u w:val="thick"/>
        </w:rPr>
        <w:t> </w:t>
      </w:r>
      <w:r>
        <w:rPr>
          <w:u w:val="thick"/>
        </w:rPr>
        <w:t>EPIDEMIOLOGICA </w:t>
      </w:r>
      <w:r>
        <w:rPr>
          <w:spacing w:val="14"/>
          <w:u w:val="thick"/>
        </w:rPr>
        <w:t> </w:t>
      </w:r>
      <w:r>
        <w:rPr>
          <w:u w:val="thick"/>
        </w:rPr>
        <w:t>SI</w:t>
        <w:tab/>
        <w:t>CONTROL </w:t>
      </w:r>
      <w:r>
        <w:rPr>
          <w:spacing w:val="-3"/>
          <w:u w:val="thick"/>
        </w:rPr>
        <w:t>BOLI</w:t>
      </w:r>
      <w:r>
        <w:rPr>
          <w:spacing w:val="-3"/>
          <w:u w:val="none"/>
        </w:rPr>
        <w:t> </w:t>
      </w:r>
      <w:r>
        <w:rPr>
          <w:u w:val="thick"/>
        </w:rPr>
        <w:t>TRANSMISIBILE</w:t>
      </w:r>
    </w:p>
    <w:p>
      <w:pPr>
        <w:pStyle w:val="BodyText"/>
        <w:spacing w:before="2"/>
        <w:ind w:left="0"/>
        <w:rPr>
          <w:b/>
          <w:sz w:val="16"/>
        </w:rPr>
      </w:pPr>
    </w:p>
    <w:p>
      <w:pPr>
        <w:pStyle w:val="BodyText"/>
        <w:spacing w:before="90"/>
        <w:ind w:left="233"/>
      </w:pPr>
      <w:r>
        <w:rPr>
          <w:u w:val="single"/>
        </w:rPr>
        <w:t>Activitati:</w:t>
      </w:r>
    </w:p>
    <w:p>
      <w:pPr>
        <w:pStyle w:val="BodyText"/>
        <w:spacing w:before="1"/>
        <w:ind w:left="233"/>
      </w:pPr>
      <w:r>
        <w:rPr/>
        <w:t>Supravegherea morbiditatii prin boli transmisibile</w:t>
      </w:r>
    </w:p>
    <w:p>
      <w:pPr>
        <w:pStyle w:val="BodyText"/>
        <w:ind w:left="233" w:right="3964"/>
      </w:pPr>
      <w:r>
        <w:rPr/>
        <w:t>Supravegherea BT codificate in sistemul de asistenta medicala primara Coordonarea activitatii de imunoprofilaxie rutiniera si selectiva Supravegherea virozelor respiratorii in sezonul de gripa Supravegherea infectiei asociate asistentei medicale (IAAM) Supravegherea cazurilor de BDA in sezonul</w:t>
      </w:r>
      <w:r>
        <w:rPr>
          <w:spacing w:val="-1"/>
        </w:rPr>
        <w:t> </w:t>
      </w:r>
      <w:r>
        <w:rPr/>
        <w:t>estival</w:t>
      </w:r>
    </w:p>
    <w:p>
      <w:pPr>
        <w:pStyle w:val="BodyText"/>
        <w:ind w:left="233"/>
      </w:pPr>
      <w:r>
        <w:rPr/>
        <w:t>Supravegherea cazurilor de Rujeola</w:t>
      </w:r>
    </w:p>
    <w:p>
      <w:pPr>
        <w:pStyle w:val="BodyText"/>
        <w:ind w:left="233"/>
      </w:pPr>
      <w:r>
        <w:rPr/>
        <w:t>Supravegherea cazurilor de neuroinfectie cu virusul West Nile</w:t>
      </w:r>
    </w:p>
    <w:p>
      <w:pPr>
        <w:pStyle w:val="BodyText"/>
        <w:ind w:left="233" w:right="2646"/>
      </w:pPr>
      <w:r>
        <w:rPr/>
        <w:t>Supravegherea cazurilor de enterita prin </w:t>
      </w:r>
      <w:r>
        <w:rPr>
          <w:i/>
        </w:rPr>
        <w:t>Clostridium difficile </w:t>
      </w:r>
      <w:r>
        <w:rPr/>
        <w:t>spitalizate in Bucuresti Activitatea antiepidemica in Aeroportul International “Henri Coanda”</w:t>
      </w:r>
    </w:p>
    <w:p>
      <w:pPr>
        <w:pStyle w:val="BodyText"/>
        <w:ind w:left="233"/>
      </w:pPr>
      <w:r>
        <w:rPr/>
        <w:t>Activitati DDD (dezinfectie, dezinsectie, deratizare)</w:t>
      </w:r>
    </w:p>
    <w:p>
      <w:pPr>
        <w:pStyle w:val="BodyText"/>
        <w:ind w:left="233"/>
      </w:pPr>
      <w:r>
        <w:rPr/>
        <w:t>Activitatea de autorizare / avizare sanitara si consultanta in domeniu</w:t>
      </w:r>
    </w:p>
    <w:p>
      <w:pPr>
        <w:pStyle w:val="BodyText"/>
        <w:ind w:left="0"/>
        <w:rPr>
          <w:sz w:val="22"/>
        </w:rPr>
      </w:pPr>
      <w:r>
        <w:rPr/>
        <w:pict>
          <v:shape style="position:absolute;margin-left:55.200001pt;margin-top:13.877266pt;width:499.95pt;height:27.6pt;mso-position-horizontal-relative:page;mso-position-vertical-relative:paragraph;z-index:-251657216;mso-wrap-distance-left:0;mso-wrap-distance-right:0" type="#_x0000_t202" filled="true" fillcolor="#d9d9d9" stroked="false">
            <v:textbox inset="0,0,0,0">
              <w:txbxContent>
                <w:p>
                  <w:pPr>
                    <w:spacing w:line="275" w:lineRule="exact" w:before="0"/>
                    <w:ind w:left="1529" w:right="0" w:firstLine="0"/>
                    <w:jc w:val="left"/>
                    <w:rPr>
                      <w:b/>
                      <w:sz w:val="24"/>
                    </w:rPr>
                  </w:pPr>
                  <w:r>
                    <w:rPr>
                      <w:b/>
                      <w:sz w:val="24"/>
                      <w:u w:val="thick"/>
                    </w:rPr>
                    <w:t>Supravegherea morbiditatii prin boli transmisibile</w:t>
                  </w:r>
                </w:p>
              </w:txbxContent>
            </v:textbox>
            <v:fill type="solid"/>
            <w10:wrap type="topAndBottom"/>
          </v:shape>
        </w:pict>
      </w:r>
    </w:p>
    <w:p>
      <w:pPr>
        <w:pStyle w:val="BodyText"/>
        <w:spacing w:line="260" w:lineRule="exact"/>
        <w:ind w:left="233"/>
        <w:jc w:val="both"/>
      </w:pPr>
      <w:r>
        <w:rPr>
          <w:b/>
        </w:rPr>
        <w:t>Misiune: </w:t>
      </w:r>
      <w:r>
        <w:rPr/>
        <w:t>monitorizarea numarului de imbolnaviri noi declarate de catre furnizorii de servicii medicale</w:t>
      </w:r>
    </w:p>
    <w:p>
      <w:pPr>
        <w:pStyle w:val="BodyText"/>
        <w:ind w:left="233" w:right="829"/>
        <w:jc w:val="both"/>
      </w:pPr>
      <w:r>
        <w:rPr/>
        <w:t>pentru stabilirea ratelor de atac in populatie, pe unitatea de timp, analiza evolutiei incidentelor si depistarea tendintelor in vederea adoptarii stategiilor de prevenire si evaluarii eficientei masurilor implementate.</w:t>
      </w:r>
    </w:p>
    <w:p>
      <w:pPr>
        <w:pStyle w:val="BodyText"/>
        <w:spacing w:line="232" w:lineRule="auto"/>
        <w:ind w:left="233" w:right="827"/>
        <w:jc w:val="both"/>
      </w:pPr>
      <w:r>
        <w:rPr/>
        <w:t>In anul 2017, morbiditatea prin bolile transmisibile raportate a fost de 303,44 cazuri noi la 10</w:t>
      </w:r>
      <w:r>
        <w:rPr>
          <w:position w:val="9"/>
          <w:sz w:val="16"/>
        </w:rPr>
        <w:t>5 </w:t>
      </w:r>
      <w:r>
        <w:rPr/>
        <w:t>de locuitori stabili din Bucuresti, cu 32 % mai mica decat valoarea (447,76 / 10</w:t>
      </w:r>
      <w:r>
        <w:rPr>
          <w:position w:val="9"/>
          <w:sz w:val="16"/>
        </w:rPr>
        <w:t>5</w:t>
      </w:r>
      <w:r>
        <w:rPr/>
        <w:t>) calculata pentru aceeasi perioada din anul 2016.</w:t>
      </w:r>
    </w:p>
    <w:p>
      <w:pPr>
        <w:spacing w:after="0" w:line="232" w:lineRule="auto"/>
        <w:jc w:val="both"/>
        <w:sectPr>
          <w:footerReference w:type="default" r:id="rId6"/>
          <w:pgSz w:w="11910" w:h="16840"/>
          <w:pgMar w:footer="738" w:header="0" w:top="1360" w:bottom="920" w:left="900" w:right="0"/>
          <w:pgNumType w:start="2"/>
        </w:sectPr>
      </w:pPr>
    </w:p>
    <w:p>
      <w:pPr>
        <w:pStyle w:val="BodyText"/>
        <w:spacing w:before="60"/>
        <w:ind w:left="233"/>
      </w:pPr>
      <w:r>
        <w:rPr/>
        <w:t>S-au inregistrat diminuari ale morbiditatii specifice anuale in streptococii (- 57 %ooo), varicela (-55</w:t>
      </w:r>
    </w:p>
    <w:p>
      <w:pPr>
        <w:pStyle w:val="BodyText"/>
        <w:spacing w:before="1"/>
        <w:ind w:left="233" w:right="880"/>
      </w:pPr>
      <w:r>
        <w:rPr/>
        <w:t>%ooo) si BDA (- 28 %ooo). O crestere considerabila in morbiditatea raportata prin boli infectioase a intervenit la rujeola (+12,3 %ooo).</w:t>
      </w:r>
    </w:p>
    <w:p>
      <w:pPr>
        <w:pStyle w:val="BodyText"/>
        <w:spacing w:line="228" w:lineRule="auto" w:before="11"/>
        <w:ind w:left="233" w:right="880"/>
      </w:pPr>
      <w:r>
        <w:rPr/>
        <w:t>Situatia morbiditatii prin boli transmisibile raportate in municipiul Bucuresti in anii 2016 si 2017 (cazuri la 10</w:t>
      </w:r>
      <w:r>
        <w:rPr>
          <w:position w:val="9"/>
          <w:sz w:val="16"/>
        </w:rPr>
        <w:t>5 </w:t>
      </w:r>
      <w:r>
        <w:rPr/>
        <w:t>locuitori stabili) este ilustrata mai jos:</w:t>
      </w:r>
    </w:p>
    <w:p>
      <w:pPr>
        <w:pStyle w:val="BodyText"/>
        <w:spacing w:before="2"/>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9"/>
        <w:gridCol w:w="1080"/>
        <w:gridCol w:w="1081"/>
        <w:gridCol w:w="1556"/>
      </w:tblGrid>
      <w:tr>
        <w:trPr>
          <w:trHeight w:val="275" w:hRule="atLeast"/>
        </w:trPr>
        <w:tc>
          <w:tcPr>
            <w:tcW w:w="5149" w:type="dxa"/>
            <w:vMerge w:val="restart"/>
            <w:tcBorders>
              <w:bottom w:val="single" w:sz="12" w:space="0" w:color="000000"/>
            </w:tcBorders>
            <w:shd w:val="clear" w:color="auto" w:fill="FFFF99"/>
          </w:tcPr>
          <w:p>
            <w:pPr>
              <w:pStyle w:val="TableParagraph"/>
              <w:ind w:left="2061" w:right="2050"/>
              <w:jc w:val="center"/>
              <w:rPr>
                <w:b/>
                <w:sz w:val="24"/>
              </w:rPr>
            </w:pPr>
            <w:r>
              <w:rPr>
                <w:b/>
                <w:sz w:val="24"/>
              </w:rPr>
              <w:t>Denumire Boala</w:t>
            </w:r>
          </w:p>
        </w:tc>
        <w:tc>
          <w:tcPr>
            <w:tcW w:w="2161" w:type="dxa"/>
            <w:gridSpan w:val="2"/>
            <w:tcBorders>
              <w:bottom w:val="single" w:sz="12" w:space="0" w:color="000000"/>
            </w:tcBorders>
            <w:shd w:val="clear" w:color="auto" w:fill="FFFF99"/>
          </w:tcPr>
          <w:p>
            <w:pPr>
              <w:pStyle w:val="TableParagraph"/>
              <w:spacing w:line="255" w:lineRule="exact"/>
              <w:ind w:left="458"/>
              <w:rPr>
                <w:b/>
                <w:sz w:val="24"/>
              </w:rPr>
            </w:pPr>
            <w:r>
              <w:rPr>
                <w:b/>
                <w:sz w:val="24"/>
              </w:rPr>
              <w:t>Morbiditate</w:t>
            </w:r>
          </w:p>
        </w:tc>
        <w:tc>
          <w:tcPr>
            <w:tcW w:w="1556" w:type="dxa"/>
            <w:vMerge w:val="restart"/>
            <w:tcBorders>
              <w:bottom w:val="single" w:sz="12" w:space="0" w:color="000000"/>
            </w:tcBorders>
            <w:shd w:val="clear" w:color="auto" w:fill="FFFF99"/>
          </w:tcPr>
          <w:p>
            <w:pPr>
              <w:pStyle w:val="TableParagraph"/>
              <w:ind w:left="256" w:right="248" w:firstLine="108"/>
              <w:rPr>
                <w:b/>
                <w:sz w:val="24"/>
              </w:rPr>
            </w:pPr>
            <w:r>
              <w:rPr>
                <w:b/>
                <w:sz w:val="24"/>
              </w:rPr>
              <w:t>Abatere 2016-2017</w:t>
            </w:r>
          </w:p>
        </w:tc>
      </w:tr>
      <w:tr>
        <w:trPr>
          <w:trHeight w:val="277" w:hRule="atLeast"/>
        </w:trPr>
        <w:tc>
          <w:tcPr>
            <w:tcW w:w="5149" w:type="dxa"/>
            <w:vMerge/>
            <w:tcBorders>
              <w:top w:val="nil"/>
              <w:bottom w:val="single" w:sz="12" w:space="0" w:color="000000"/>
            </w:tcBorders>
            <w:shd w:val="clear" w:color="auto" w:fill="FFFF99"/>
          </w:tcPr>
          <w:p>
            <w:pPr>
              <w:rPr>
                <w:sz w:val="2"/>
                <w:szCs w:val="2"/>
              </w:rPr>
            </w:pPr>
          </w:p>
        </w:tc>
        <w:tc>
          <w:tcPr>
            <w:tcW w:w="1080" w:type="dxa"/>
            <w:tcBorders>
              <w:top w:val="single" w:sz="12" w:space="0" w:color="000000"/>
              <w:bottom w:val="single" w:sz="12" w:space="0" w:color="000000"/>
            </w:tcBorders>
            <w:shd w:val="clear" w:color="auto" w:fill="FFFF99"/>
          </w:tcPr>
          <w:p>
            <w:pPr>
              <w:pStyle w:val="TableParagraph"/>
              <w:spacing w:line="256" w:lineRule="exact" w:before="1"/>
              <w:ind w:left="300"/>
              <w:rPr>
                <w:b/>
                <w:sz w:val="24"/>
              </w:rPr>
            </w:pPr>
            <w:r>
              <w:rPr>
                <w:b/>
                <w:sz w:val="24"/>
              </w:rPr>
              <w:t>2016</w:t>
            </w:r>
          </w:p>
        </w:tc>
        <w:tc>
          <w:tcPr>
            <w:tcW w:w="1081" w:type="dxa"/>
            <w:tcBorders>
              <w:top w:val="single" w:sz="12" w:space="0" w:color="000000"/>
              <w:bottom w:val="single" w:sz="12" w:space="0" w:color="000000"/>
            </w:tcBorders>
            <w:shd w:val="clear" w:color="auto" w:fill="FFFF99"/>
          </w:tcPr>
          <w:p>
            <w:pPr>
              <w:pStyle w:val="TableParagraph"/>
              <w:spacing w:line="256" w:lineRule="exact" w:before="1"/>
              <w:ind w:left="300"/>
              <w:rPr>
                <w:b/>
                <w:sz w:val="24"/>
              </w:rPr>
            </w:pPr>
            <w:r>
              <w:rPr>
                <w:b/>
                <w:sz w:val="24"/>
              </w:rPr>
              <w:t>2017</w:t>
            </w:r>
          </w:p>
        </w:tc>
        <w:tc>
          <w:tcPr>
            <w:tcW w:w="1556" w:type="dxa"/>
            <w:vMerge/>
            <w:tcBorders>
              <w:top w:val="nil"/>
              <w:bottom w:val="single" w:sz="12" w:space="0" w:color="000000"/>
            </w:tcBorders>
            <w:shd w:val="clear" w:color="auto" w:fill="FFFF99"/>
          </w:tcPr>
          <w:p>
            <w:pPr>
              <w:rPr>
                <w:sz w:val="2"/>
                <w:szCs w:val="2"/>
              </w:rPr>
            </w:pP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Scarlatina, angina cu SH grup A, erizipel</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79,7</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22,6</w:t>
            </w:r>
          </w:p>
        </w:tc>
        <w:tc>
          <w:tcPr>
            <w:tcW w:w="1556" w:type="dxa"/>
            <w:tcBorders>
              <w:top w:val="single" w:sz="12" w:space="0" w:color="000000"/>
              <w:bottom w:val="single" w:sz="12" w:space="0" w:color="000000"/>
            </w:tcBorders>
          </w:tcPr>
          <w:p>
            <w:pPr>
              <w:pStyle w:val="TableParagraph"/>
              <w:spacing w:line="255" w:lineRule="exact"/>
              <w:ind w:right="488"/>
              <w:jc w:val="right"/>
              <w:rPr>
                <w:sz w:val="24"/>
              </w:rPr>
            </w:pPr>
            <w:r>
              <w:rPr>
                <w:color w:val="0000FF"/>
                <w:sz w:val="24"/>
              </w:rPr>
              <w:t>- 57,0</w:t>
            </w:r>
          </w:p>
        </w:tc>
      </w:tr>
      <w:tr>
        <w:trPr>
          <w:trHeight w:val="277" w:hRule="atLeast"/>
        </w:trPr>
        <w:tc>
          <w:tcPr>
            <w:tcW w:w="5149" w:type="dxa"/>
            <w:tcBorders>
              <w:top w:val="single" w:sz="12" w:space="0" w:color="000000"/>
              <w:bottom w:val="single" w:sz="12" w:space="0" w:color="000000"/>
            </w:tcBorders>
          </w:tcPr>
          <w:p>
            <w:pPr>
              <w:pStyle w:val="TableParagraph"/>
              <w:spacing w:line="256" w:lineRule="exact" w:before="1"/>
              <w:ind w:left="108"/>
              <w:rPr>
                <w:sz w:val="24"/>
              </w:rPr>
            </w:pPr>
            <w:r>
              <w:rPr>
                <w:color w:val="0000FF"/>
                <w:sz w:val="24"/>
              </w:rPr>
              <w:t>Varicela</w:t>
            </w:r>
          </w:p>
        </w:tc>
        <w:tc>
          <w:tcPr>
            <w:tcW w:w="1080" w:type="dxa"/>
            <w:tcBorders>
              <w:top w:val="single" w:sz="12" w:space="0" w:color="000000"/>
              <w:bottom w:val="single" w:sz="12" w:space="0" w:color="000000"/>
            </w:tcBorders>
          </w:tcPr>
          <w:p>
            <w:pPr>
              <w:pStyle w:val="TableParagraph"/>
              <w:spacing w:line="256" w:lineRule="exact" w:before="1"/>
              <w:ind w:right="95"/>
              <w:jc w:val="right"/>
              <w:rPr>
                <w:sz w:val="24"/>
              </w:rPr>
            </w:pPr>
            <w:r>
              <w:rPr>
                <w:color w:val="0000FF"/>
                <w:sz w:val="24"/>
              </w:rPr>
              <w:t>153,2</w:t>
            </w:r>
          </w:p>
        </w:tc>
        <w:tc>
          <w:tcPr>
            <w:tcW w:w="1081" w:type="dxa"/>
            <w:tcBorders>
              <w:top w:val="single" w:sz="12" w:space="0" w:color="000000"/>
              <w:bottom w:val="single" w:sz="12" w:space="0" w:color="000000"/>
            </w:tcBorders>
          </w:tcPr>
          <w:p>
            <w:pPr>
              <w:pStyle w:val="TableParagraph"/>
              <w:spacing w:line="256" w:lineRule="exact" w:before="1"/>
              <w:ind w:right="96"/>
              <w:jc w:val="right"/>
              <w:rPr>
                <w:sz w:val="24"/>
              </w:rPr>
            </w:pPr>
            <w:r>
              <w:rPr>
                <w:color w:val="0000FF"/>
                <w:sz w:val="24"/>
              </w:rPr>
              <w:t>98,2</w:t>
            </w:r>
          </w:p>
        </w:tc>
        <w:tc>
          <w:tcPr>
            <w:tcW w:w="1556" w:type="dxa"/>
            <w:tcBorders>
              <w:top w:val="single" w:sz="12" w:space="0" w:color="000000"/>
              <w:bottom w:val="single" w:sz="12" w:space="0" w:color="000000"/>
            </w:tcBorders>
          </w:tcPr>
          <w:p>
            <w:pPr>
              <w:pStyle w:val="TableParagraph"/>
              <w:spacing w:line="256" w:lineRule="exact" w:before="1"/>
              <w:ind w:right="488"/>
              <w:jc w:val="right"/>
              <w:rPr>
                <w:sz w:val="24"/>
              </w:rPr>
            </w:pPr>
            <w:r>
              <w:rPr>
                <w:color w:val="0000FF"/>
                <w:sz w:val="24"/>
              </w:rPr>
              <w:t>- 55,0</w:t>
            </w: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BDA &amp; Dizenterie &amp; Holera</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169,9</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141,8</w:t>
            </w:r>
          </w:p>
        </w:tc>
        <w:tc>
          <w:tcPr>
            <w:tcW w:w="1556" w:type="dxa"/>
            <w:tcBorders>
              <w:top w:val="single" w:sz="12" w:space="0" w:color="000000"/>
              <w:bottom w:val="single" w:sz="12" w:space="0" w:color="000000"/>
            </w:tcBorders>
          </w:tcPr>
          <w:p>
            <w:pPr>
              <w:pStyle w:val="TableParagraph"/>
              <w:spacing w:line="255" w:lineRule="exact"/>
              <w:ind w:right="488"/>
              <w:jc w:val="right"/>
              <w:rPr>
                <w:sz w:val="24"/>
              </w:rPr>
            </w:pPr>
            <w:r>
              <w:rPr>
                <w:color w:val="0000FF"/>
                <w:sz w:val="24"/>
              </w:rPr>
              <w:t>- 28,1</w:t>
            </w:r>
          </w:p>
        </w:tc>
      </w:tr>
      <w:tr>
        <w:trPr>
          <w:trHeight w:val="277" w:hRule="atLeast"/>
        </w:trPr>
        <w:tc>
          <w:tcPr>
            <w:tcW w:w="5149" w:type="dxa"/>
            <w:tcBorders>
              <w:top w:val="single" w:sz="12" w:space="0" w:color="000000"/>
              <w:bottom w:val="single" w:sz="12" w:space="0" w:color="000000"/>
            </w:tcBorders>
          </w:tcPr>
          <w:p>
            <w:pPr>
              <w:pStyle w:val="TableParagraph"/>
              <w:spacing w:line="256" w:lineRule="exact" w:before="1"/>
              <w:ind w:left="108"/>
              <w:rPr>
                <w:sz w:val="24"/>
              </w:rPr>
            </w:pPr>
            <w:r>
              <w:rPr>
                <w:color w:val="0000FF"/>
                <w:sz w:val="24"/>
              </w:rPr>
              <w:t>Gripa</w:t>
            </w:r>
          </w:p>
        </w:tc>
        <w:tc>
          <w:tcPr>
            <w:tcW w:w="1080" w:type="dxa"/>
            <w:tcBorders>
              <w:top w:val="single" w:sz="12" w:space="0" w:color="000000"/>
              <w:bottom w:val="single" w:sz="12" w:space="0" w:color="000000"/>
            </w:tcBorders>
          </w:tcPr>
          <w:p>
            <w:pPr>
              <w:pStyle w:val="TableParagraph"/>
              <w:spacing w:line="256" w:lineRule="exact" w:before="1"/>
              <w:ind w:right="95"/>
              <w:jc w:val="right"/>
              <w:rPr>
                <w:sz w:val="24"/>
              </w:rPr>
            </w:pPr>
            <w:r>
              <w:rPr>
                <w:color w:val="0000FF"/>
                <w:sz w:val="24"/>
              </w:rPr>
              <w:t>22,8</w:t>
            </w:r>
          </w:p>
        </w:tc>
        <w:tc>
          <w:tcPr>
            <w:tcW w:w="1081" w:type="dxa"/>
            <w:tcBorders>
              <w:top w:val="single" w:sz="12" w:space="0" w:color="000000"/>
              <w:bottom w:val="single" w:sz="12" w:space="0" w:color="000000"/>
            </w:tcBorders>
          </w:tcPr>
          <w:p>
            <w:pPr>
              <w:pStyle w:val="TableParagraph"/>
              <w:spacing w:line="256" w:lineRule="exact" w:before="1"/>
              <w:ind w:right="96"/>
              <w:jc w:val="right"/>
              <w:rPr>
                <w:sz w:val="24"/>
              </w:rPr>
            </w:pPr>
            <w:r>
              <w:rPr>
                <w:color w:val="0000FF"/>
                <w:sz w:val="24"/>
              </w:rPr>
              <w:t>10.1</w:t>
            </w:r>
          </w:p>
        </w:tc>
        <w:tc>
          <w:tcPr>
            <w:tcW w:w="1556" w:type="dxa"/>
            <w:tcBorders>
              <w:top w:val="single" w:sz="12" w:space="0" w:color="000000"/>
              <w:bottom w:val="single" w:sz="12" w:space="0" w:color="000000"/>
            </w:tcBorders>
          </w:tcPr>
          <w:p>
            <w:pPr>
              <w:pStyle w:val="TableParagraph"/>
              <w:spacing w:line="256" w:lineRule="exact" w:before="1"/>
              <w:ind w:right="488"/>
              <w:jc w:val="right"/>
              <w:rPr>
                <w:sz w:val="24"/>
              </w:rPr>
            </w:pPr>
            <w:r>
              <w:rPr>
                <w:color w:val="0000FF"/>
                <w:sz w:val="24"/>
              </w:rPr>
              <w:t>- 12,7</w:t>
            </w:r>
          </w:p>
        </w:tc>
      </w:tr>
      <w:tr>
        <w:trPr>
          <w:trHeight w:val="275"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Salmoneloze, TIA, Botulism, trichineloza</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6,6</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4,3</w:t>
            </w:r>
          </w:p>
        </w:tc>
        <w:tc>
          <w:tcPr>
            <w:tcW w:w="1556" w:type="dxa"/>
            <w:tcBorders>
              <w:top w:val="single" w:sz="12" w:space="0" w:color="000000"/>
              <w:bottom w:val="single" w:sz="12" w:space="0" w:color="000000"/>
            </w:tcBorders>
          </w:tcPr>
          <w:p>
            <w:pPr>
              <w:pStyle w:val="TableParagraph"/>
              <w:spacing w:line="255" w:lineRule="exact"/>
              <w:ind w:right="548"/>
              <w:jc w:val="right"/>
              <w:rPr>
                <w:sz w:val="24"/>
              </w:rPr>
            </w:pPr>
            <w:r>
              <w:rPr>
                <w:color w:val="0000FF"/>
                <w:sz w:val="24"/>
              </w:rPr>
              <w:t>- 2,3</w:t>
            </w:r>
          </w:p>
        </w:tc>
      </w:tr>
      <w:tr>
        <w:trPr>
          <w:trHeight w:val="277" w:hRule="atLeast"/>
        </w:trPr>
        <w:tc>
          <w:tcPr>
            <w:tcW w:w="5149" w:type="dxa"/>
            <w:tcBorders>
              <w:top w:val="single" w:sz="12" w:space="0" w:color="000000"/>
              <w:bottom w:val="single" w:sz="12" w:space="0" w:color="000000"/>
            </w:tcBorders>
          </w:tcPr>
          <w:p>
            <w:pPr>
              <w:pStyle w:val="TableParagraph"/>
              <w:spacing w:line="256" w:lineRule="exact" w:before="1"/>
              <w:ind w:left="108"/>
              <w:rPr>
                <w:sz w:val="24"/>
              </w:rPr>
            </w:pPr>
            <w:r>
              <w:rPr>
                <w:color w:val="0000FF"/>
                <w:sz w:val="24"/>
              </w:rPr>
              <w:t>Maningite &amp; Encefalite</w:t>
            </w:r>
          </w:p>
        </w:tc>
        <w:tc>
          <w:tcPr>
            <w:tcW w:w="1080" w:type="dxa"/>
            <w:tcBorders>
              <w:top w:val="single" w:sz="12" w:space="0" w:color="000000"/>
              <w:bottom w:val="single" w:sz="12" w:space="0" w:color="000000"/>
            </w:tcBorders>
          </w:tcPr>
          <w:p>
            <w:pPr>
              <w:pStyle w:val="TableParagraph"/>
              <w:spacing w:line="256" w:lineRule="exact" w:before="1"/>
              <w:ind w:right="95"/>
              <w:jc w:val="right"/>
              <w:rPr>
                <w:sz w:val="24"/>
              </w:rPr>
            </w:pPr>
            <w:r>
              <w:rPr>
                <w:color w:val="0000FF"/>
                <w:sz w:val="24"/>
              </w:rPr>
              <w:t>4,3</w:t>
            </w:r>
          </w:p>
        </w:tc>
        <w:tc>
          <w:tcPr>
            <w:tcW w:w="1081" w:type="dxa"/>
            <w:tcBorders>
              <w:top w:val="single" w:sz="12" w:space="0" w:color="000000"/>
              <w:bottom w:val="single" w:sz="12" w:space="0" w:color="000000"/>
            </w:tcBorders>
          </w:tcPr>
          <w:p>
            <w:pPr>
              <w:pStyle w:val="TableParagraph"/>
              <w:spacing w:line="256" w:lineRule="exact" w:before="1"/>
              <w:ind w:right="96"/>
              <w:jc w:val="right"/>
              <w:rPr>
                <w:sz w:val="24"/>
              </w:rPr>
            </w:pPr>
            <w:r>
              <w:rPr>
                <w:color w:val="0000FF"/>
                <w:sz w:val="24"/>
              </w:rPr>
              <w:t>3,2</w:t>
            </w:r>
          </w:p>
        </w:tc>
        <w:tc>
          <w:tcPr>
            <w:tcW w:w="1556" w:type="dxa"/>
            <w:tcBorders>
              <w:top w:val="single" w:sz="12" w:space="0" w:color="000000"/>
              <w:bottom w:val="single" w:sz="12" w:space="0" w:color="000000"/>
            </w:tcBorders>
          </w:tcPr>
          <w:p>
            <w:pPr>
              <w:pStyle w:val="TableParagraph"/>
              <w:spacing w:line="256" w:lineRule="exact" w:before="1"/>
              <w:ind w:right="548"/>
              <w:jc w:val="right"/>
              <w:rPr>
                <w:sz w:val="24"/>
              </w:rPr>
            </w:pPr>
            <w:r>
              <w:rPr>
                <w:color w:val="0000FF"/>
                <w:sz w:val="24"/>
              </w:rPr>
              <w:t>- 1,1</w:t>
            </w: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Mononucleoza inf.</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3,6</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3.1</w:t>
            </w:r>
          </w:p>
        </w:tc>
        <w:tc>
          <w:tcPr>
            <w:tcW w:w="1556" w:type="dxa"/>
            <w:tcBorders>
              <w:top w:val="single" w:sz="12" w:space="0" w:color="000000"/>
              <w:bottom w:val="single" w:sz="12" w:space="0" w:color="000000"/>
            </w:tcBorders>
          </w:tcPr>
          <w:p>
            <w:pPr>
              <w:pStyle w:val="TableParagraph"/>
              <w:spacing w:line="255" w:lineRule="exact"/>
              <w:ind w:right="548"/>
              <w:jc w:val="right"/>
              <w:rPr>
                <w:sz w:val="24"/>
              </w:rPr>
            </w:pPr>
            <w:r>
              <w:rPr>
                <w:color w:val="0000FF"/>
                <w:sz w:val="24"/>
              </w:rPr>
              <w:t>- 0,5</w:t>
            </w:r>
          </w:p>
        </w:tc>
      </w:tr>
      <w:tr>
        <w:trPr>
          <w:trHeight w:val="277" w:hRule="atLeast"/>
        </w:trPr>
        <w:tc>
          <w:tcPr>
            <w:tcW w:w="5149" w:type="dxa"/>
            <w:tcBorders>
              <w:top w:val="single" w:sz="12" w:space="0" w:color="000000"/>
              <w:bottom w:val="single" w:sz="12" w:space="0" w:color="000000"/>
            </w:tcBorders>
          </w:tcPr>
          <w:p>
            <w:pPr>
              <w:pStyle w:val="TableParagraph"/>
              <w:spacing w:line="256" w:lineRule="exact" w:before="1"/>
              <w:ind w:left="108"/>
              <w:rPr>
                <w:sz w:val="24"/>
              </w:rPr>
            </w:pPr>
            <w:r>
              <w:rPr>
                <w:color w:val="0000FF"/>
                <w:sz w:val="24"/>
              </w:rPr>
              <w:t>BI transmise prin vectori *)</w:t>
            </w:r>
          </w:p>
        </w:tc>
        <w:tc>
          <w:tcPr>
            <w:tcW w:w="1080" w:type="dxa"/>
            <w:tcBorders>
              <w:top w:val="single" w:sz="12" w:space="0" w:color="000000"/>
              <w:bottom w:val="single" w:sz="12" w:space="0" w:color="000000"/>
            </w:tcBorders>
          </w:tcPr>
          <w:p>
            <w:pPr>
              <w:pStyle w:val="TableParagraph"/>
              <w:spacing w:line="256" w:lineRule="exact" w:before="1"/>
              <w:ind w:right="95"/>
              <w:jc w:val="right"/>
              <w:rPr>
                <w:sz w:val="24"/>
              </w:rPr>
            </w:pPr>
            <w:r>
              <w:rPr>
                <w:color w:val="0000FF"/>
                <w:sz w:val="24"/>
              </w:rPr>
              <w:t>2,13</w:t>
            </w:r>
          </w:p>
        </w:tc>
        <w:tc>
          <w:tcPr>
            <w:tcW w:w="1081" w:type="dxa"/>
            <w:tcBorders>
              <w:top w:val="single" w:sz="12" w:space="0" w:color="000000"/>
              <w:bottom w:val="single" w:sz="12" w:space="0" w:color="000000"/>
            </w:tcBorders>
          </w:tcPr>
          <w:p>
            <w:pPr>
              <w:pStyle w:val="TableParagraph"/>
              <w:spacing w:line="256" w:lineRule="exact" w:before="1"/>
              <w:ind w:right="96"/>
              <w:jc w:val="right"/>
              <w:rPr>
                <w:sz w:val="24"/>
              </w:rPr>
            </w:pPr>
            <w:r>
              <w:rPr>
                <w:color w:val="0000FF"/>
                <w:sz w:val="24"/>
              </w:rPr>
              <w:t>2,08</w:t>
            </w:r>
          </w:p>
        </w:tc>
        <w:tc>
          <w:tcPr>
            <w:tcW w:w="1556" w:type="dxa"/>
            <w:tcBorders>
              <w:top w:val="single" w:sz="12" w:space="0" w:color="000000"/>
              <w:bottom w:val="single" w:sz="12" w:space="0" w:color="000000"/>
            </w:tcBorders>
          </w:tcPr>
          <w:p>
            <w:pPr>
              <w:pStyle w:val="TableParagraph"/>
              <w:spacing w:line="256" w:lineRule="exact" w:before="1"/>
              <w:ind w:right="548"/>
              <w:jc w:val="right"/>
              <w:rPr>
                <w:sz w:val="24"/>
              </w:rPr>
            </w:pPr>
            <w:r>
              <w:rPr>
                <w:color w:val="0000FF"/>
                <w:sz w:val="24"/>
              </w:rPr>
              <w:t>- 0,5</w:t>
            </w: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Alte Boli</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0,9</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0,4</w:t>
            </w:r>
          </w:p>
        </w:tc>
        <w:tc>
          <w:tcPr>
            <w:tcW w:w="1556" w:type="dxa"/>
            <w:tcBorders>
              <w:top w:val="single" w:sz="12" w:space="0" w:color="000000"/>
              <w:bottom w:val="single" w:sz="12" w:space="0" w:color="000000"/>
            </w:tcBorders>
          </w:tcPr>
          <w:p>
            <w:pPr>
              <w:pStyle w:val="TableParagraph"/>
              <w:spacing w:line="255" w:lineRule="exact"/>
              <w:ind w:right="548"/>
              <w:jc w:val="right"/>
              <w:rPr>
                <w:sz w:val="24"/>
              </w:rPr>
            </w:pPr>
            <w:r>
              <w:rPr>
                <w:color w:val="0000FF"/>
                <w:sz w:val="24"/>
              </w:rPr>
              <w:t>- 0,5</w:t>
            </w: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Hepatite acute virale (B, C si alte non-A)</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3,6</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3,5</w:t>
            </w:r>
          </w:p>
        </w:tc>
        <w:tc>
          <w:tcPr>
            <w:tcW w:w="1556" w:type="dxa"/>
            <w:tcBorders>
              <w:top w:val="single" w:sz="12" w:space="0" w:color="000000"/>
              <w:bottom w:val="single" w:sz="12" w:space="0" w:color="000000"/>
            </w:tcBorders>
          </w:tcPr>
          <w:p>
            <w:pPr>
              <w:pStyle w:val="TableParagraph"/>
              <w:spacing w:line="255" w:lineRule="exact"/>
              <w:ind w:right="548"/>
              <w:jc w:val="right"/>
              <w:rPr>
                <w:sz w:val="24"/>
              </w:rPr>
            </w:pPr>
            <w:r>
              <w:rPr>
                <w:color w:val="0000FF"/>
                <w:sz w:val="24"/>
              </w:rPr>
              <w:t>- 0,1</w:t>
            </w:r>
          </w:p>
        </w:tc>
      </w:tr>
      <w:tr>
        <w:trPr>
          <w:trHeight w:val="277" w:hRule="atLeast"/>
        </w:trPr>
        <w:tc>
          <w:tcPr>
            <w:tcW w:w="5149" w:type="dxa"/>
            <w:tcBorders>
              <w:top w:val="single" w:sz="12" w:space="0" w:color="000000"/>
              <w:bottom w:val="single" w:sz="12" w:space="0" w:color="000000"/>
            </w:tcBorders>
          </w:tcPr>
          <w:p>
            <w:pPr>
              <w:pStyle w:val="TableParagraph"/>
              <w:spacing w:line="256" w:lineRule="exact" w:before="1"/>
              <w:ind w:left="108"/>
              <w:rPr>
                <w:sz w:val="24"/>
              </w:rPr>
            </w:pPr>
            <w:r>
              <w:rPr>
                <w:color w:val="0000FF"/>
                <w:sz w:val="24"/>
              </w:rPr>
              <w:t>Parotidita urliana, rubeola, pertussis</w:t>
            </w:r>
          </w:p>
        </w:tc>
        <w:tc>
          <w:tcPr>
            <w:tcW w:w="1080" w:type="dxa"/>
            <w:tcBorders>
              <w:top w:val="single" w:sz="12" w:space="0" w:color="000000"/>
              <w:bottom w:val="single" w:sz="12" w:space="0" w:color="000000"/>
            </w:tcBorders>
          </w:tcPr>
          <w:p>
            <w:pPr>
              <w:pStyle w:val="TableParagraph"/>
              <w:spacing w:line="256" w:lineRule="exact" w:before="1"/>
              <w:ind w:right="95"/>
              <w:jc w:val="right"/>
              <w:rPr>
                <w:sz w:val="24"/>
              </w:rPr>
            </w:pPr>
            <w:r>
              <w:rPr>
                <w:color w:val="0000FF"/>
                <w:sz w:val="24"/>
              </w:rPr>
              <w:t>0,7</w:t>
            </w:r>
          </w:p>
        </w:tc>
        <w:tc>
          <w:tcPr>
            <w:tcW w:w="1081" w:type="dxa"/>
            <w:tcBorders>
              <w:top w:val="single" w:sz="12" w:space="0" w:color="000000"/>
              <w:bottom w:val="single" w:sz="12" w:space="0" w:color="000000"/>
            </w:tcBorders>
          </w:tcPr>
          <w:p>
            <w:pPr>
              <w:pStyle w:val="TableParagraph"/>
              <w:spacing w:line="256" w:lineRule="exact" w:before="1"/>
              <w:ind w:right="96"/>
              <w:jc w:val="right"/>
              <w:rPr>
                <w:sz w:val="24"/>
              </w:rPr>
            </w:pPr>
            <w:r>
              <w:rPr>
                <w:color w:val="0000FF"/>
                <w:sz w:val="24"/>
              </w:rPr>
              <w:t>0,6</w:t>
            </w:r>
          </w:p>
        </w:tc>
        <w:tc>
          <w:tcPr>
            <w:tcW w:w="1556" w:type="dxa"/>
            <w:tcBorders>
              <w:top w:val="single" w:sz="12" w:space="0" w:color="000000"/>
              <w:bottom w:val="single" w:sz="12" w:space="0" w:color="000000"/>
            </w:tcBorders>
          </w:tcPr>
          <w:p>
            <w:pPr>
              <w:pStyle w:val="TableParagraph"/>
              <w:spacing w:line="256" w:lineRule="exact" w:before="1"/>
              <w:ind w:right="548"/>
              <w:jc w:val="right"/>
              <w:rPr>
                <w:sz w:val="24"/>
              </w:rPr>
            </w:pPr>
            <w:r>
              <w:rPr>
                <w:color w:val="0000FF"/>
                <w:sz w:val="24"/>
              </w:rPr>
              <w:t>- 0,1</w:t>
            </w:r>
          </w:p>
        </w:tc>
      </w:tr>
      <w:tr>
        <w:trPr>
          <w:trHeight w:val="274" w:hRule="atLeast"/>
        </w:trPr>
        <w:tc>
          <w:tcPr>
            <w:tcW w:w="5149" w:type="dxa"/>
            <w:tcBorders>
              <w:top w:val="single" w:sz="12" w:space="0" w:color="000000"/>
              <w:bottom w:val="single" w:sz="12" w:space="0" w:color="000000"/>
            </w:tcBorders>
          </w:tcPr>
          <w:p>
            <w:pPr>
              <w:pStyle w:val="TableParagraph"/>
              <w:spacing w:line="255" w:lineRule="exact"/>
              <w:ind w:left="108"/>
              <w:rPr>
                <w:sz w:val="24"/>
              </w:rPr>
            </w:pPr>
            <w:r>
              <w:rPr>
                <w:color w:val="0000FF"/>
                <w:sz w:val="24"/>
              </w:rPr>
              <w:t>Rujeola</w:t>
            </w:r>
          </w:p>
        </w:tc>
        <w:tc>
          <w:tcPr>
            <w:tcW w:w="1080" w:type="dxa"/>
            <w:tcBorders>
              <w:top w:val="single" w:sz="12" w:space="0" w:color="000000"/>
              <w:bottom w:val="single" w:sz="12" w:space="0" w:color="000000"/>
            </w:tcBorders>
          </w:tcPr>
          <w:p>
            <w:pPr>
              <w:pStyle w:val="TableParagraph"/>
              <w:spacing w:line="255" w:lineRule="exact"/>
              <w:ind w:right="95"/>
              <w:jc w:val="right"/>
              <w:rPr>
                <w:sz w:val="24"/>
              </w:rPr>
            </w:pPr>
            <w:r>
              <w:rPr>
                <w:color w:val="0000FF"/>
                <w:sz w:val="24"/>
              </w:rPr>
              <w:t>1,2</w:t>
            </w:r>
          </w:p>
        </w:tc>
        <w:tc>
          <w:tcPr>
            <w:tcW w:w="1081" w:type="dxa"/>
            <w:tcBorders>
              <w:top w:val="single" w:sz="12" w:space="0" w:color="000000"/>
              <w:bottom w:val="single" w:sz="12" w:space="0" w:color="000000"/>
            </w:tcBorders>
          </w:tcPr>
          <w:p>
            <w:pPr>
              <w:pStyle w:val="TableParagraph"/>
              <w:spacing w:line="255" w:lineRule="exact"/>
              <w:ind w:right="96"/>
              <w:jc w:val="right"/>
              <w:rPr>
                <w:sz w:val="24"/>
              </w:rPr>
            </w:pPr>
            <w:r>
              <w:rPr>
                <w:color w:val="0000FF"/>
                <w:sz w:val="24"/>
              </w:rPr>
              <w:t>13,5</w:t>
            </w:r>
          </w:p>
        </w:tc>
        <w:tc>
          <w:tcPr>
            <w:tcW w:w="1556" w:type="dxa"/>
            <w:tcBorders>
              <w:top w:val="single" w:sz="12" w:space="0" w:color="000000"/>
              <w:bottom w:val="single" w:sz="12" w:space="0" w:color="000000"/>
            </w:tcBorders>
          </w:tcPr>
          <w:p>
            <w:pPr>
              <w:pStyle w:val="TableParagraph"/>
              <w:spacing w:line="255" w:lineRule="exact"/>
              <w:ind w:right="461"/>
              <w:jc w:val="right"/>
              <w:rPr>
                <w:sz w:val="24"/>
              </w:rPr>
            </w:pPr>
            <w:r>
              <w:rPr>
                <w:color w:val="0000FF"/>
                <w:sz w:val="24"/>
              </w:rPr>
              <w:t>+ 12,3</w:t>
            </w:r>
          </w:p>
        </w:tc>
      </w:tr>
      <w:tr>
        <w:trPr>
          <w:trHeight w:val="277" w:hRule="atLeast"/>
        </w:trPr>
        <w:tc>
          <w:tcPr>
            <w:tcW w:w="5149" w:type="dxa"/>
            <w:tcBorders>
              <w:top w:val="single" w:sz="12" w:space="0" w:color="000000"/>
            </w:tcBorders>
            <w:shd w:val="clear" w:color="auto" w:fill="FFCC99"/>
          </w:tcPr>
          <w:p>
            <w:pPr>
              <w:pStyle w:val="TableParagraph"/>
              <w:spacing w:line="257" w:lineRule="exact" w:before="1"/>
              <w:ind w:left="2058" w:right="2050"/>
              <w:jc w:val="center"/>
              <w:rPr>
                <w:b/>
                <w:sz w:val="24"/>
              </w:rPr>
            </w:pPr>
            <w:r>
              <w:rPr>
                <w:b/>
                <w:sz w:val="24"/>
              </w:rPr>
              <w:t>TOTAL</w:t>
            </w:r>
          </w:p>
        </w:tc>
        <w:tc>
          <w:tcPr>
            <w:tcW w:w="1080" w:type="dxa"/>
            <w:tcBorders>
              <w:top w:val="single" w:sz="12" w:space="0" w:color="000000"/>
            </w:tcBorders>
            <w:shd w:val="clear" w:color="auto" w:fill="FFCC99"/>
          </w:tcPr>
          <w:p>
            <w:pPr>
              <w:pStyle w:val="TableParagraph"/>
              <w:spacing w:line="257" w:lineRule="exact" w:before="1"/>
              <w:ind w:left="268"/>
              <w:rPr>
                <w:b/>
                <w:sz w:val="24"/>
              </w:rPr>
            </w:pPr>
            <w:r>
              <w:rPr>
                <w:b/>
                <w:sz w:val="24"/>
              </w:rPr>
              <w:t>447,8</w:t>
            </w:r>
          </w:p>
        </w:tc>
        <w:tc>
          <w:tcPr>
            <w:tcW w:w="1081" w:type="dxa"/>
            <w:tcBorders>
              <w:top w:val="single" w:sz="12" w:space="0" w:color="000000"/>
            </w:tcBorders>
            <w:shd w:val="clear" w:color="auto" w:fill="FFCC99"/>
          </w:tcPr>
          <w:p>
            <w:pPr>
              <w:pStyle w:val="TableParagraph"/>
              <w:spacing w:line="257" w:lineRule="exact" w:before="1"/>
              <w:ind w:left="268"/>
              <w:rPr>
                <w:b/>
                <w:sz w:val="24"/>
              </w:rPr>
            </w:pPr>
            <w:r>
              <w:rPr>
                <w:b/>
                <w:sz w:val="24"/>
              </w:rPr>
              <w:t>303,4</w:t>
            </w:r>
          </w:p>
        </w:tc>
        <w:tc>
          <w:tcPr>
            <w:tcW w:w="1556" w:type="dxa"/>
            <w:tcBorders>
              <w:top w:val="single" w:sz="12" w:space="0" w:color="000000"/>
            </w:tcBorders>
            <w:shd w:val="clear" w:color="auto" w:fill="FFCC99"/>
          </w:tcPr>
          <w:p>
            <w:pPr>
              <w:pStyle w:val="TableParagraph"/>
              <w:spacing w:line="257" w:lineRule="exact" w:before="1"/>
              <w:ind w:right="488"/>
              <w:jc w:val="right"/>
              <w:rPr>
                <w:b/>
                <w:sz w:val="24"/>
              </w:rPr>
            </w:pPr>
            <w:r>
              <w:rPr>
                <w:b/>
                <w:sz w:val="24"/>
              </w:rPr>
              <w:t>- 30,0</w:t>
            </w:r>
          </w:p>
        </w:tc>
      </w:tr>
    </w:tbl>
    <w:p>
      <w:pPr>
        <w:spacing w:before="0"/>
        <w:ind w:left="233" w:right="0" w:firstLine="0"/>
        <w:jc w:val="left"/>
        <w:rPr>
          <w:sz w:val="20"/>
        </w:rPr>
      </w:pPr>
      <w:r>
        <w:rPr>
          <w:sz w:val="20"/>
        </w:rPr>
        <w:t>*) Malarie, Denga, Hantaviroza, West Nile, Lyme, Zika, Febra Q.</w:t>
      </w:r>
    </w:p>
    <w:p>
      <w:pPr>
        <w:spacing w:before="1"/>
        <w:ind w:left="233" w:right="880" w:firstLine="0"/>
        <w:jc w:val="left"/>
        <w:rPr>
          <w:sz w:val="20"/>
        </w:rPr>
      </w:pPr>
      <w:r>
        <w:rPr>
          <w:sz w:val="20"/>
        </w:rPr>
        <w:t>Din situatia de mai sus lipsesc urmatoarele boli infectioase: infectiile nosocomiale, tuberculaza si maladiile cu transmitere sexuala.</w:t>
      </w:r>
    </w:p>
    <w:p>
      <w:pPr>
        <w:pStyle w:val="BodyText"/>
        <w:spacing w:before="9"/>
        <w:ind w:left="0"/>
        <w:rPr>
          <w:sz w:val="19"/>
        </w:rPr>
      </w:pPr>
    </w:p>
    <w:p>
      <w:pPr>
        <w:pStyle w:val="BodyText"/>
        <w:ind w:left="233" w:right="835"/>
        <w:jc w:val="both"/>
      </w:pPr>
      <w:r>
        <w:rPr/>
        <w:t>In municipiul Bucuresti, in anul 2017 s-a mentinut statusul de eradicare al poliomielitei cu virus salbatic si de eliminare pentru urmatoarele boli infectioase prevenibile prin vaccinare sistematica si de masa: difterie respiratorie, tetanosul neonatorum sau pediatric si hepatita acuta virala tip B prin mecanism de transmitere mama – nou nascut.</w:t>
      </w:r>
    </w:p>
    <w:p>
      <w:pPr>
        <w:pStyle w:val="BodyText"/>
        <w:ind w:left="233"/>
        <w:jc w:val="both"/>
      </w:pPr>
      <w:r>
        <w:rPr/>
        <w:t>In privinta altor boli prevenibile prin vaccinare sistematica si de masa facem urmatoarele precizari:</w:t>
      </w:r>
    </w:p>
    <w:p>
      <w:pPr>
        <w:pStyle w:val="ListParagraph"/>
        <w:numPr>
          <w:ilvl w:val="0"/>
          <w:numId w:val="2"/>
        </w:numPr>
        <w:tabs>
          <w:tab w:pos="397" w:val="left" w:leader="none"/>
        </w:tabs>
        <w:spacing w:line="240" w:lineRule="auto" w:before="0" w:after="0"/>
        <w:ind w:left="233" w:right="834" w:firstLine="0"/>
        <w:jc w:val="both"/>
        <w:rPr>
          <w:sz w:val="24"/>
        </w:rPr>
      </w:pPr>
      <w:r>
        <w:rPr>
          <w:sz w:val="24"/>
        </w:rPr>
        <w:t>varicela – sub vaccinare selectiva, tendinta multianuala este de scadere semnificativa, dar protectia indusa de vaccinare este insuficienta pentru a altera sezonalitatea bolii</w:t>
      </w:r>
      <w:r>
        <w:rPr>
          <w:spacing w:val="-7"/>
          <w:sz w:val="24"/>
        </w:rPr>
        <w:t> </w:t>
      </w:r>
      <w:r>
        <w:rPr>
          <w:sz w:val="24"/>
        </w:rPr>
        <w:t>;</w:t>
      </w:r>
    </w:p>
    <w:p>
      <w:pPr>
        <w:pStyle w:val="ListParagraph"/>
        <w:numPr>
          <w:ilvl w:val="0"/>
          <w:numId w:val="2"/>
        </w:numPr>
        <w:tabs>
          <w:tab w:pos="373" w:val="left" w:leader="none"/>
        </w:tabs>
        <w:spacing w:line="240" w:lineRule="auto" w:before="0" w:after="0"/>
        <w:ind w:left="372" w:right="0" w:hanging="140"/>
        <w:jc w:val="both"/>
        <w:rPr>
          <w:sz w:val="24"/>
        </w:rPr>
      </w:pPr>
      <w:r>
        <w:rPr>
          <w:sz w:val="24"/>
        </w:rPr>
        <w:t>enterita prin rotavirus continua sa fie cea mai frecventa si severa boala diareica la</w:t>
      </w:r>
      <w:r>
        <w:rPr>
          <w:spacing w:val="-10"/>
          <w:sz w:val="24"/>
        </w:rPr>
        <w:t> </w:t>
      </w:r>
      <w:r>
        <w:rPr>
          <w:sz w:val="24"/>
        </w:rPr>
        <w:t>copii;</w:t>
      </w:r>
    </w:p>
    <w:p>
      <w:pPr>
        <w:pStyle w:val="ListParagraph"/>
        <w:numPr>
          <w:ilvl w:val="0"/>
          <w:numId w:val="2"/>
        </w:numPr>
        <w:tabs>
          <w:tab w:pos="390" w:val="left" w:leader="none"/>
        </w:tabs>
        <w:spacing w:line="240" w:lineRule="auto" w:before="0" w:after="0"/>
        <w:ind w:left="233" w:right="832" w:firstLine="0"/>
        <w:jc w:val="both"/>
        <w:rPr>
          <w:sz w:val="24"/>
        </w:rPr>
      </w:pPr>
      <w:r>
        <w:rPr>
          <w:sz w:val="24"/>
        </w:rPr>
        <w:t>enterocolita prin </w:t>
      </w:r>
      <w:r>
        <w:rPr>
          <w:i/>
          <w:sz w:val="24"/>
        </w:rPr>
        <w:t>Clostridium difficile </w:t>
      </w:r>
      <w:r>
        <w:rPr>
          <w:sz w:val="24"/>
        </w:rPr>
        <w:t>continua sa fie cea mai frecventa infectie asociata cu asistenta medicala.</w:t>
      </w:r>
    </w:p>
    <w:p>
      <w:pPr>
        <w:pStyle w:val="BodyText"/>
        <w:ind w:left="0"/>
      </w:pPr>
    </w:p>
    <w:p>
      <w:pPr>
        <w:pStyle w:val="Heading1"/>
        <w:ind w:left="893"/>
        <w:rPr>
          <w:u w:val="none"/>
        </w:rPr>
      </w:pPr>
      <w:r>
        <w:rPr>
          <w:u w:val="thick"/>
        </w:rPr>
        <w:t>Supravegherea BT codificate in sistemul de asistenta medicala primara</w:t>
      </w:r>
    </w:p>
    <w:p>
      <w:pPr>
        <w:pStyle w:val="BodyText"/>
        <w:spacing w:before="3"/>
        <w:ind w:left="0"/>
        <w:rPr>
          <w:b/>
          <w:sz w:val="16"/>
        </w:rPr>
      </w:pPr>
    </w:p>
    <w:p>
      <w:pPr>
        <w:pStyle w:val="BodyText"/>
        <w:spacing w:before="90"/>
        <w:ind w:left="233" w:right="2126"/>
      </w:pPr>
      <w:r>
        <w:rPr>
          <w:b/>
        </w:rPr>
        <w:t>Misiune</w:t>
      </w:r>
      <w:r>
        <w:rPr/>
        <w:t>: monitorizarea cazurilor noi de imbolnavire prin boli transmisibile, nespitalizate. transmise de cei 1064 de medici de familie autorizati sa functioneze in Bucuresti.</w:t>
      </w:r>
    </w:p>
    <w:p>
      <w:pPr>
        <w:pStyle w:val="BodyText"/>
        <w:ind w:left="233"/>
      </w:pPr>
      <w:r>
        <w:rPr/>
        <w:t>Mai jos prezentam diagrama raportarilor lunare a cazurilor noi de boli transmisibile:</w:t>
      </w:r>
    </w:p>
    <w:p>
      <w:pPr>
        <w:spacing w:after="0"/>
        <w:sectPr>
          <w:pgSz w:w="11910" w:h="16840"/>
          <w:pgMar w:header="0" w:footer="738" w:top="1360" w:bottom="920" w:left="900" w:right="0"/>
        </w:sectPr>
      </w:pPr>
    </w:p>
    <w:p>
      <w:pPr>
        <w:pStyle w:val="BodyText"/>
        <w:ind w:left="0"/>
        <w:rPr>
          <w:sz w:val="20"/>
        </w:rPr>
      </w:pPr>
      <w:r>
        <w:rPr/>
        <w:pict>
          <v:group style="position:absolute;margin-left:374.647278pt;margin-top:154.194061pt;width:20.2pt;height:5.8pt;mso-position-horizontal-relative:page;mso-position-vertical-relative:page;z-index:-265531392" coordorigin="7493,3084" coordsize="404,116">
            <v:line style="position:absolute" from="7493,3141" to="7896,3141" stroked="true" strokeweight=".959262pt" strokecolor="#000080">
              <v:stroke dashstyle="solid"/>
            </v:line>
            <v:shape style="position:absolute;left:7636;top:3083;width:116;height:116" type="#_x0000_t75" stroked="false">
              <v:imagedata r:id="rId7" o:title=""/>
            </v:shape>
            <w10:wrap type="none"/>
          </v:group>
        </w:pict>
      </w:r>
    </w:p>
    <w:p>
      <w:pPr>
        <w:pStyle w:val="BodyText"/>
        <w:ind w:left="0"/>
        <w:rPr>
          <w:sz w:val="20"/>
        </w:rPr>
      </w:pPr>
    </w:p>
    <w:p>
      <w:pPr>
        <w:pStyle w:val="BodyText"/>
        <w:ind w:left="0"/>
        <w:rPr>
          <w:sz w:val="20"/>
        </w:rPr>
      </w:pPr>
    </w:p>
    <w:p>
      <w:pPr>
        <w:pStyle w:val="BodyText"/>
        <w:ind w:left="0"/>
        <w:rPr>
          <w:sz w:val="20"/>
        </w:rPr>
      </w:pPr>
    </w:p>
    <w:p>
      <w:pPr>
        <w:pStyle w:val="BodyText"/>
        <w:ind w:left="0"/>
        <w:rPr>
          <w:sz w:val="21"/>
        </w:rPr>
      </w:pPr>
    </w:p>
    <w:tbl>
      <w:tblPr>
        <w:tblW w:w="0" w:type="auto"/>
        <w:jc w:val="left"/>
        <w:tblInd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1"/>
        <w:gridCol w:w="1110"/>
      </w:tblGrid>
      <w:tr>
        <w:trPr>
          <w:trHeight w:val="201" w:hRule="atLeast"/>
        </w:trPr>
        <w:tc>
          <w:tcPr>
            <w:tcW w:w="461" w:type="dxa"/>
            <w:tcBorders>
              <w:bottom w:val="nil"/>
            </w:tcBorders>
          </w:tcPr>
          <w:p>
            <w:pPr>
              <w:pStyle w:val="TableParagraph"/>
              <w:rPr>
                <w:sz w:val="7"/>
              </w:rPr>
            </w:pPr>
          </w:p>
          <w:p>
            <w:pPr>
              <w:pStyle w:val="TableParagraph"/>
              <w:spacing w:line="120" w:lineRule="exact"/>
              <w:ind w:left="2" w:right="-130"/>
              <w:rPr>
                <w:sz w:val="12"/>
              </w:rPr>
            </w:pPr>
            <w:r>
              <w:rPr>
                <w:position w:val="-1"/>
                <w:sz w:val="12"/>
              </w:rPr>
              <w:pict>
                <v:group style="width:19.95pt;height:6pt;mso-position-horizontal-relative:char;mso-position-vertical-relative:line" coordorigin="0,0" coordsize="399,120">
                  <v:line style="position:absolute" from="0,60" to="398,60" stroked="true" strokeweight="5.995387pt" strokecolor="#ffff00">
                    <v:stroke dashstyle="solid"/>
                  </v:line>
                </v:group>
              </w:pict>
            </w:r>
            <w:r>
              <w:rPr>
                <w:position w:val="-1"/>
                <w:sz w:val="12"/>
              </w:rPr>
            </w:r>
          </w:p>
        </w:tc>
        <w:tc>
          <w:tcPr>
            <w:tcW w:w="1110" w:type="dxa"/>
            <w:tcBorders>
              <w:bottom w:val="nil"/>
            </w:tcBorders>
          </w:tcPr>
          <w:p>
            <w:pPr>
              <w:pStyle w:val="TableParagraph"/>
              <w:spacing w:line="158" w:lineRule="exact" w:before="23"/>
              <w:ind w:left="52"/>
              <w:rPr>
                <w:rFonts w:ascii="Arial"/>
                <w:sz w:val="20"/>
              </w:rPr>
            </w:pPr>
            <w:r>
              <w:rPr>
                <w:rFonts w:ascii="Arial"/>
                <w:sz w:val="20"/>
              </w:rPr>
              <w:t>% raportari</w:t>
            </w:r>
          </w:p>
        </w:tc>
      </w:tr>
      <w:tr>
        <w:trPr>
          <w:trHeight w:val="374" w:hRule="atLeast"/>
        </w:trPr>
        <w:tc>
          <w:tcPr>
            <w:tcW w:w="1571" w:type="dxa"/>
            <w:gridSpan w:val="2"/>
            <w:tcBorders>
              <w:top w:val="nil"/>
            </w:tcBorders>
          </w:tcPr>
          <w:p>
            <w:pPr>
              <w:pStyle w:val="TableParagraph"/>
              <w:spacing w:before="120"/>
              <w:ind w:left="513"/>
              <w:rPr>
                <w:rFonts w:ascii="Arial"/>
                <w:sz w:val="20"/>
              </w:rPr>
            </w:pPr>
            <w:r>
              <w:rPr>
                <w:rFonts w:ascii="Arial"/>
                <w:sz w:val="20"/>
              </w:rPr>
              <w:t>Medie</w:t>
            </w:r>
          </w:p>
        </w:tc>
      </w:tr>
    </w:tbl>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1"/>
        </w:rPr>
      </w:pPr>
      <w:r>
        <w:rPr/>
        <w:pict>
          <v:shape style="position:absolute;margin-left:55.200001pt;margin-top:7.866655pt;width:499.95pt;height:27.65pt;mso-position-horizontal-relative:page;mso-position-vertical-relative:paragraph;z-index:-251655168;mso-wrap-distance-left:0;mso-wrap-distance-right:0" type="#_x0000_t202" filled="true" fillcolor="#dfdfdf" stroked="false">
            <v:textbox inset="0,0,0,0">
              <w:txbxContent>
                <w:p>
                  <w:pPr>
                    <w:spacing w:line="276" w:lineRule="exact" w:before="0"/>
                    <w:ind w:left="809" w:right="0" w:firstLine="0"/>
                    <w:jc w:val="left"/>
                    <w:rPr>
                      <w:b/>
                      <w:sz w:val="24"/>
                    </w:rPr>
                  </w:pPr>
                  <w:r>
                    <w:rPr>
                      <w:b/>
                      <w:sz w:val="24"/>
                      <w:u w:val="thick"/>
                    </w:rPr>
                    <w:t>Coordonarea activitatii de imunoprofilaxie rutiniera si selectiva</w:t>
                  </w:r>
                </w:p>
              </w:txbxContent>
            </v:textbox>
            <v:fill type="solid"/>
            <w10:wrap type="topAndBottom"/>
          </v:shape>
        </w:pict>
      </w:r>
    </w:p>
    <w:p>
      <w:pPr>
        <w:pStyle w:val="BodyText"/>
        <w:spacing w:line="260" w:lineRule="exact"/>
        <w:ind w:left="233"/>
      </w:pPr>
      <w:r>
        <w:rPr>
          <w:b/>
        </w:rPr>
        <w:t>Misiune</w:t>
      </w:r>
      <w:r>
        <w:rPr/>
        <w:t>: primirea si distribuiea de vaccinuri, materiale de administrare parenterala pentru vaccinurile</w:t>
      </w:r>
    </w:p>
    <w:p>
      <w:pPr>
        <w:pStyle w:val="BodyText"/>
        <w:ind w:left="233" w:right="1474"/>
      </w:pPr>
      <w:r>
        <w:rPr/>
        <w:pict>
          <v:group style="position:absolute;margin-left:60.310154pt;margin-top:-218.831863pt;width:394.1pt;height:162.4pt;mso-position-horizontal-relative:page;mso-position-vertical-relative:paragraph;z-index:-265532416" coordorigin="1206,-4377" coordsize="7882,3248">
            <v:rect style="position:absolute;left:1215;top:-4368;width:7863;height:3228" filled="false" stroked="true" strokeweight=".959363pt" strokecolor="#000000">
              <v:stroke dashstyle="solid"/>
            </v:rect>
            <v:rect style="position:absolute;left:1777;top:-4041;width:5490;height:2282" filled="false" stroked="true" strokeweight=".959365pt" strokecolor="#808080">
              <v:stroke dashstyle="solid"/>
            </v:rect>
            <v:rect style="position:absolute;left:1912;top:-3810;width:183;height:2051" filled="true" fillcolor="#ffff00" stroked="false">
              <v:fill type="solid"/>
            </v:rect>
            <v:rect style="position:absolute;left:1912;top:-3810;width:183;height:2051" filled="false" stroked="true" strokeweight=".959956pt" strokecolor="#000000">
              <v:stroke dashstyle="solid"/>
            </v:rect>
            <v:rect style="position:absolute;left:2368;top:-3493;width:188;height:1734" filled="true" fillcolor="#ffff00" stroked="false">
              <v:fill type="solid"/>
            </v:rect>
            <v:rect style="position:absolute;left:2368;top:-3493;width:188;height:1734" filled="false" stroked="true" strokeweight=".959954pt" strokecolor="#000000">
              <v:stroke dashstyle="solid"/>
            </v:rect>
            <v:rect style="position:absolute;left:2829;top:-3099;width:183;height:1341" filled="true" fillcolor="#ffff00" stroked="false">
              <v:fill type="solid"/>
            </v:rect>
            <v:rect style="position:absolute;left:2829;top:-3099;width:183;height:1341" filled="false" stroked="true" strokeweight=".959949pt" strokecolor="#000000">
              <v:stroke dashstyle="solid"/>
            </v:rect>
            <v:rect style="position:absolute;left:3285;top:-3642;width:183;height:1884" filled="true" fillcolor="#ffff00" stroked="false">
              <v:fill type="solid"/>
            </v:rect>
            <v:rect style="position:absolute;left:3285;top:-3642;width:183;height:1884" filled="false" stroked="true" strokeweight=".959955pt" strokecolor="#000000">
              <v:stroke dashstyle="solid"/>
            </v:rect>
            <v:rect style="position:absolute;left:3741;top:-3464;width:183;height:1706" filled="true" fillcolor="#ffff00" stroked="false">
              <v:fill type="solid"/>
            </v:rect>
            <v:rect style="position:absolute;left:3741;top:-3464;width:183;height:1706" filled="false" stroked="true" strokeweight=".959954pt" strokecolor="#000000">
              <v:stroke dashstyle="solid"/>
            </v:rect>
            <v:rect style="position:absolute;left:4198;top:-3268;width:188;height:1509" filled="true" fillcolor="#ffff00" stroked="false">
              <v:fill type="solid"/>
            </v:rect>
            <v:rect style="position:absolute;left:4198;top:-3268;width:188;height:1509" filled="false" stroked="true" strokeweight=".959951pt" strokecolor="#000000">
              <v:stroke dashstyle="solid"/>
            </v:rect>
            <v:rect style="position:absolute;left:4659;top:-3397;width:183;height:1638" filled="true" fillcolor="#ffff00" stroked="false">
              <v:fill type="solid"/>
            </v:rect>
            <v:rect style="position:absolute;left:4659;top:-3397;width:183;height:1638" filled="false" stroked="true" strokeweight=".959953pt" strokecolor="#000000">
              <v:stroke dashstyle="solid"/>
            </v:rect>
            <v:rect style="position:absolute;left:5115;top:-3061;width:183;height:1302" filled="true" fillcolor="#ffff00" stroked="false">
              <v:fill type="solid"/>
            </v:rect>
            <v:rect style="position:absolute;left:5115;top:-3061;width:183;height:1302" filled="false" stroked="true" strokeweight=".959948pt" strokecolor="#000000">
              <v:stroke dashstyle="solid"/>
            </v:rect>
            <v:rect style="position:absolute;left:5571;top:-3460;width:183;height:1701" filled="true" fillcolor="#ffff00" stroked="false">
              <v:fill type="solid"/>
            </v:rect>
            <v:rect style="position:absolute;left:5571;top:-3460;width:183;height:1701" filled="false" stroked="true" strokeweight=".959954pt" strokecolor="#000000">
              <v:stroke dashstyle="solid"/>
            </v:rect>
            <v:rect style="position:absolute;left:6028;top:-3743;width:188;height:1984" filled="true" fillcolor="#ffff00" stroked="false">
              <v:fill type="solid"/>
            </v:rect>
            <v:rect style="position:absolute;left:6028;top:-3743;width:188;height:1984" filled="false" stroked="true" strokeweight=".959955pt" strokecolor="#000000">
              <v:stroke dashstyle="solid"/>
            </v:rect>
            <v:rect style="position:absolute;left:6489;top:-3431;width:183;height:1672" filled="true" fillcolor="#ffff00" stroked="false">
              <v:fill type="solid"/>
            </v:rect>
            <v:rect style="position:absolute;left:6489;top:-3431;width:183;height:1672" filled="false" stroked="true" strokeweight=".959953pt" strokecolor="#000000">
              <v:stroke dashstyle="solid"/>
            </v:rect>
            <v:rect style="position:absolute;left:6945;top:-3662;width:183;height:1903" filled="true" fillcolor="#ffff00" stroked="false">
              <v:fill type="solid"/>
            </v:rect>
            <v:rect style="position:absolute;left:6945;top:-3662;width:183;height:1903" filled="false" stroked="true" strokeweight=".959955pt" strokecolor="#000000">
              <v:stroke dashstyle="solid"/>
            </v:rect>
            <v:shape style="position:absolute;left:581;top:7963;width:5552;height:2346" coordorigin="581,7963" coordsize="5552,2346" path="m1778,-4040l1778,-1759m1715,-1759l1840,-1759m1715,-2138l1840,-2138m1715,-2518l1840,-2518m1715,-2897l1840,-2897m1715,-3282l1840,-3282m1715,-3661l1840,-3661m1715,-4040l1840,-4040m1778,-1759l7267,-1759m1778,-1696l1778,-1821m2234,-1696l2234,-1821m2695,-1696l2695,-1821m3151,-1696l3151,-1821m3608,-1696l3608,-1821m4064,-1696l4064,-1821m4525,-1696l4525,-1821m4981,-1696l4981,-1821m5437,-1696l5437,-1821m5894,-1696l5894,-1821m6354,-1696l6354,-1821m6811,-1696l6811,-1821m7267,-1696l7267,-1821e" filled="false" stroked="true" strokeweight=".959612pt" strokecolor="#000000">
              <v:path arrowok="t"/>
              <v:stroke dashstyle="solid"/>
            </v:shape>
            <v:line style="position:absolute" from="1999,-3282" to="7046,-3282" stroked="true" strokeweight=".959262pt" strokecolor="#000080">
              <v:stroke dashstyle="solid"/>
            </v:line>
            <v:shape style="position:absolute;left:1950;top:-3340;width:116;height:116" type="#_x0000_t75" stroked="false">
              <v:imagedata r:id="rId8" o:title=""/>
            </v:shape>
            <v:shape style="position:absolute;left:2407;top:-3340;width:116;height:116" type="#_x0000_t75" stroked="false">
              <v:imagedata r:id="rId8" o:title=""/>
            </v:shape>
            <v:shape style="position:absolute;left:2863;top:-3340;width:116;height:116" type="#_x0000_t75" stroked="false">
              <v:imagedata r:id="rId8" o:title=""/>
            </v:shape>
            <v:shape style="position:absolute;left:3319;top:-3340;width:116;height:116" type="#_x0000_t75" stroked="false">
              <v:imagedata r:id="rId8" o:title=""/>
            </v:shape>
            <v:shape style="position:absolute;left:3780;top:-3340;width:116;height:116" type="#_x0000_t75" stroked="false">
              <v:imagedata r:id="rId8" o:title=""/>
            </v:shape>
            <v:shape style="position:absolute;left:4236;top:-3340;width:116;height:116" type="#_x0000_t75" stroked="false">
              <v:imagedata r:id="rId8" o:title=""/>
            </v:shape>
            <v:shape style="position:absolute;left:4692;top:-3340;width:116;height:116" type="#_x0000_t75" stroked="false">
              <v:imagedata r:id="rId8" o:title=""/>
            </v:shape>
            <v:shape style="position:absolute;left:5149;top:-3340;width:116;height:116" type="#_x0000_t75" stroked="false">
              <v:imagedata r:id="rId8" o:title=""/>
            </v:shape>
            <v:shape style="position:absolute;left:5610;top:-3340;width:116;height:116" type="#_x0000_t75" stroked="false">
              <v:imagedata r:id="rId9" o:title=""/>
            </v:shape>
            <v:shape style="position:absolute;left:6066;top:-3340;width:116;height:116" type="#_x0000_t75" stroked="false">
              <v:imagedata r:id="rId8" o:title=""/>
            </v:shape>
            <v:shape style="position:absolute;left:6522;top:-3340;width:116;height:116" type="#_x0000_t75" stroked="false">
              <v:imagedata r:id="rId8" o:title=""/>
            </v:shape>
            <v:shape style="position:absolute;left:6978;top:-3340;width:116;height:116" type="#_x0000_t75" stroked="false">
              <v:imagedata r:id="rId8" o:title=""/>
            </v:shape>
            <v:shape style="position:absolute;left:1402;top:-4161;width:243;height:2508" type="#_x0000_t202" filled="false" stroked="false">
              <v:textbox inset="0,0,0,0">
                <w:txbxContent>
                  <w:p>
                    <w:pPr>
                      <w:spacing w:line="225" w:lineRule="exact" w:before="0"/>
                      <w:ind w:left="0" w:right="0" w:firstLine="0"/>
                      <w:jc w:val="left"/>
                      <w:rPr>
                        <w:rFonts w:ascii="Arial"/>
                        <w:sz w:val="20"/>
                      </w:rPr>
                    </w:pPr>
                    <w:r>
                      <w:rPr>
                        <w:rFonts w:ascii="Arial"/>
                        <w:sz w:val="20"/>
                      </w:rPr>
                      <w:t>60</w:t>
                    </w:r>
                  </w:p>
                  <w:p>
                    <w:pPr>
                      <w:spacing w:before="149"/>
                      <w:ind w:left="0" w:right="0" w:firstLine="0"/>
                      <w:jc w:val="left"/>
                      <w:rPr>
                        <w:rFonts w:ascii="Arial"/>
                        <w:sz w:val="20"/>
                      </w:rPr>
                    </w:pPr>
                    <w:r>
                      <w:rPr>
                        <w:rFonts w:ascii="Arial"/>
                        <w:sz w:val="20"/>
                      </w:rPr>
                      <w:t>50</w:t>
                    </w:r>
                  </w:p>
                  <w:p>
                    <w:pPr>
                      <w:spacing w:before="150"/>
                      <w:ind w:left="0" w:right="0" w:firstLine="0"/>
                      <w:jc w:val="left"/>
                      <w:rPr>
                        <w:rFonts w:ascii="Arial"/>
                        <w:sz w:val="20"/>
                      </w:rPr>
                    </w:pPr>
                    <w:r>
                      <w:rPr>
                        <w:rFonts w:ascii="Arial"/>
                        <w:sz w:val="20"/>
                      </w:rPr>
                      <w:t>40</w:t>
                    </w:r>
                  </w:p>
                  <w:p>
                    <w:pPr>
                      <w:spacing w:before="154"/>
                      <w:ind w:left="0" w:right="0" w:firstLine="0"/>
                      <w:jc w:val="left"/>
                      <w:rPr>
                        <w:rFonts w:ascii="Arial"/>
                        <w:sz w:val="20"/>
                      </w:rPr>
                    </w:pPr>
                    <w:r>
                      <w:rPr>
                        <w:rFonts w:ascii="Arial"/>
                        <w:sz w:val="20"/>
                      </w:rPr>
                      <w:t>30</w:t>
                    </w:r>
                  </w:p>
                  <w:p>
                    <w:pPr>
                      <w:spacing w:before="150"/>
                      <w:ind w:left="0" w:right="0" w:firstLine="0"/>
                      <w:jc w:val="left"/>
                      <w:rPr>
                        <w:rFonts w:ascii="Arial"/>
                        <w:sz w:val="20"/>
                      </w:rPr>
                    </w:pPr>
                    <w:r>
                      <w:rPr>
                        <w:rFonts w:ascii="Arial"/>
                        <w:sz w:val="20"/>
                      </w:rPr>
                      <w:t>20</w:t>
                    </w:r>
                  </w:p>
                  <w:p>
                    <w:pPr>
                      <w:spacing w:before="149"/>
                      <w:ind w:left="0" w:right="0" w:firstLine="0"/>
                      <w:jc w:val="left"/>
                      <w:rPr>
                        <w:rFonts w:ascii="Arial"/>
                        <w:sz w:val="20"/>
                      </w:rPr>
                    </w:pPr>
                    <w:r>
                      <w:rPr>
                        <w:rFonts w:ascii="Arial"/>
                        <w:sz w:val="20"/>
                      </w:rPr>
                      <w:t>10</w:t>
                    </w:r>
                  </w:p>
                  <w:p>
                    <w:pPr>
                      <w:spacing w:before="149"/>
                      <w:ind w:left="110" w:right="0" w:firstLine="0"/>
                      <w:jc w:val="left"/>
                      <w:rPr>
                        <w:rFonts w:ascii="Arial"/>
                        <w:sz w:val="20"/>
                      </w:rPr>
                    </w:pPr>
                    <w:r>
                      <w:rPr>
                        <w:rFonts w:ascii="Arial"/>
                        <w:w w:val="101"/>
                        <w:sz w:val="20"/>
                      </w:rPr>
                      <w:t>0</w:t>
                    </w:r>
                  </w:p>
                </w:txbxContent>
              </v:textbox>
              <w10:wrap type="none"/>
            </v:shape>
            <v:shape style="position:absolute;left:1869;top:-1587;width:5364;height:226" type="#_x0000_t202" filled="false" stroked="false">
              <v:textbox inset="0,0,0,0">
                <w:txbxContent>
                  <w:p>
                    <w:pPr>
                      <w:tabs>
                        <w:tab w:pos="2775" w:val="left" w:leader="none"/>
                      </w:tabs>
                      <w:spacing w:line="225" w:lineRule="exact" w:before="0"/>
                      <w:ind w:left="0" w:right="0" w:firstLine="0"/>
                      <w:jc w:val="left"/>
                      <w:rPr>
                        <w:rFonts w:ascii="Arial"/>
                        <w:sz w:val="20"/>
                      </w:rPr>
                    </w:pPr>
                    <w:r>
                      <w:rPr>
                        <w:rFonts w:ascii="Arial"/>
                        <w:sz w:val="20"/>
                      </w:rPr>
                      <w:t>Ian   Feb  Mar   Apr</w:t>
                    </w:r>
                    <w:r>
                      <w:rPr>
                        <w:rFonts w:ascii="Arial"/>
                        <w:spacing w:val="20"/>
                        <w:sz w:val="20"/>
                      </w:rPr>
                      <w:t> </w:t>
                    </w:r>
                    <w:r>
                      <w:rPr>
                        <w:rFonts w:ascii="Arial"/>
                        <w:sz w:val="20"/>
                      </w:rPr>
                      <w:t>Mai </w:t>
                    </w:r>
                    <w:r>
                      <w:rPr>
                        <w:rFonts w:ascii="Arial"/>
                        <w:spacing w:val="46"/>
                        <w:sz w:val="20"/>
                      </w:rPr>
                      <w:t> </w:t>
                    </w:r>
                    <w:r>
                      <w:rPr>
                        <w:rFonts w:ascii="Arial"/>
                        <w:sz w:val="20"/>
                      </w:rPr>
                      <w:t>Iun</w:t>
                      <w:tab/>
                      <w:t>Iul Aug Sep Oct Nov</w:t>
                    </w:r>
                    <w:r>
                      <w:rPr>
                        <w:rFonts w:ascii="Arial"/>
                        <w:spacing w:val="12"/>
                        <w:sz w:val="20"/>
                      </w:rPr>
                      <w:t> </w:t>
                    </w:r>
                    <w:r>
                      <w:rPr>
                        <w:rFonts w:ascii="Arial"/>
                        <w:spacing w:val="-2"/>
                        <w:sz w:val="20"/>
                      </w:rPr>
                      <w:t>Dec</w:t>
                    </w:r>
                  </w:p>
                </w:txbxContent>
              </v:textbox>
              <w10:wrap type="none"/>
            </v:shape>
            <w10:wrap type="none"/>
          </v:group>
        </w:pict>
      </w:r>
      <w:r>
        <w:rPr/>
        <w:t>injectabile si materiale de scoatere din uz, fara risc biologic, a acelor si seringilor utilizate pentru administrarea parenterala a vaccinurilor;</w:t>
      </w:r>
    </w:p>
    <w:p>
      <w:pPr>
        <w:pStyle w:val="ListParagraph"/>
        <w:numPr>
          <w:ilvl w:val="0"/>
          <w:numId w:val="2"/>
        </w:numPr>
        <w:tabs>
          <w:tab w:pos="373" w:val="left" w:leader="none"/>
        </w:tabs>
        <w:spacing w:line="240" w:lineRule="auto" w:before="0" w:after="0"/>
        <w:ind w:left="233" w:right="1490" w:firstLine="0"/>
        <w:jc w:val="left"/>
        <w:rPr>
          <w:sz w:val="24"/>
        </w:rPr>
      </w:pPr>
      <w:r>
        <w:rPr>
          <w:sz w:val="24"/>
        </w:rPr>
        <w:t>gestionarea/monitorizarea dozelor de vaccin si a altor materiale utilizate in vaccinare precum si evidenta persoanelor</w:t>
      </w:r>
      <w:r>
        <w:rPr>
          <w:spacing w:val="-2"/>
          <w:sz w:val="24"/>
        </w:rPr>
        <w:t> </w:t>
      </w:r>
      <w:r>
        <w:rPr>
          <w:sz w:val="24"/>
        </w:rPr>
        <w:t>vaccinate.</w:t>
      </w:r>
    </w:p>
    <w:p>
      <w:pPr>
        <w:pStyle w:val="BodyText"/>
        <w:ind w:left="233"/>
      </w:pPr>
      <w:r>
        <w:rPr/>
        <w:t>In anul 2017, in Bucuresti, s-a raporat administrarea unui nr. de 176525 doze de vaccinuri rutiniere: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7"/>
        <w:gridCol w:w="2998"/>
        <w:gridCol w:w="2513"/>
      </w:tblGrid>
      <w:tr>
        <w:trPr>
          <w:trHeight w:val="229" w:hRule="atLeast"/>
        </w:trPr>
        <w:tc>
          <w:tcPr>
            <w:tcW w:w="3347" w:type="dxa"/>
            <w:tcBorders>
              <w:bottom w:val="single" w:sz="12" w:space="0" w:color="000000"/>
            </w:tcBorders>
            <w:shd w:val="clear" w:color="auto" w:fill="FFFF99"/>
          </w:tcPr>
          <w:p>
            <w:pPr>
              <w:pStyle w:val="TableParagraph"/>
              <w:spacing w:line="209" w:lineRule="exact"/>
              <w:ind w:left="352" w:right="348"/>
              <w:jc w:val="center"/>
              <w:rPr>
                <w:b/>
                <w:sz w:val="20"/>
              </w:rPr>
            </w:pPr>
            <w:r>
              <w:rPr>
                <w:b/>
                <w:sz w:val="20"/>
              </w:rPr>
              <w:t>Tip vaccin</w:t>
            </w:r>
          </w:p>
        </w:tc>
        <w:tc>
          <w:tcPr>
            <w:tcW w:w="2998" w:type="dxa"/>
            <w:tcBorders>
              <w:bottom w:val="single" w:sz="12" w:space="0" w:color="000000"/>
            </w:tcBorders>
            <w:shd w:val="clear" w:color="auto" w:fill="FFFF99"/>
          </w:tcPr>
          <w:p>
            <w:pPr>
              <w:pStyle w:val="TableParagraph"/>
              <w:spacing w:line="209" w:lineRule="exact"/>
              <w:ind w:left="1190" w:right="1179"/>
              <w:jc w:val="center"/>
              <w:rPr>
                <w:b/>
                <w:sz w:val="20"/>
              </w:rPr>
            </w:pPr>
            <w:r>
              <w:rPr>
                <w:b/>
                <w:sz w:val="20"/>
              </w:rPr>
              <w:t>Vartsa</w:t>
            </w:r>
          </w:p>
        </w:tc>
        <w:tc>
          <w:tcPr>
            <w:tcW w:w="2513" w:type="dxa"/>
            <w:tcBorders>
              <w:bottom w:val="single" w:sz="12" w:space="0" w:color="000000"/>
            </w:tcBorders>
            <w:shd w:val="clear" w:color="auto" w:fill="FFFF99"/>
          </w:tcPr>
          <w:p>
            <w:pPr>
              <w:pStyle w:val="TableParagraph"/>
              <w:spacing w:line="209" w:lineRule="exact"/>
              <w:ind w:left="373"/>
              <w:rPr>
                <w:b/>
                <w:sz w:val="20"/>
              </w:rPr>
            </w:pPr>
            <w:r>
              <w:rPr>
                <w:b/>
                <w:sz w:val="20"/>
              </w:rPr>
              <w:t># persoane vaccinate</w:t>
            </w:r>
          </w:p>
        </w:tc>
      </w:tr>
      <w:tr>
        <w:trPr>
          <w:trHeight w:val="229" w:hRule="atLeast"/>
        </w:trPr>
        <w:tc>
          <w:tcPr>
            <w:tcW w:w="3347" w:type="dxa"/>
            <w:tcBorders>
              <w:top w:val="single" w:sz="12" w:space="0" w:color="000000"/>
              <w:bottom w:val="single" w:sz="12" w:space="0" w:color="000000"/>
            </w:tcBorders>
          </w:tcPr>
          <w:p>
            <w:pPr>
              <w:pStyle w:val="TableParagraph"/>
              <w:spacing w:line="209" w:lineRule="exact"/>
              <w:ind w:left="108"/>
              <w:rPr>
                <w:sz w:val="20"/>
              </w:rPr>
            </w:pPr>
            <w:r>
              <w:rPr>
                <w:sz w:val="20"/>
              </w:rPr>
              <w:t>Vaccin BCG</w:t>
            </w:r>
          </w:p>
        </w:tc>
        <w:tc>
          <w:tcPr>
            <w:tcW w:w="2998" w:type="dxa"/>
            <w:tcBorders>
              <w:top w:val="single" w:sz="12" w:space="0" w:color="000000"/>
              <w:bottom w:val="single" w:sz="12" w:space="0" w:color="000000"/>
            </w:tcBorders>
          </w:tcPr>
          <w:p>
            <w:pPr>
              <w:pStyle w:val="TableParagraph"/>
              <w:spacing w:line="209" w:lineRule="exact"/>
              <w:ind w:left="109"/>
              <w:rPr>
                <w:sz w:val="20"/>
              </w:rPr>
            </w:pPr>
            <w:r>
              <w:rPr>
                <w:sz w:val="20"/>
              </w:rPr>
              <w:t>Vaccinare la nastere</w:t>
            </w:r>
          </w:p>
        </w:tc>
        <w:tc>
          <w:tcPr>
            <w:tcW w:w="2513" w:type="dxa"/>
            <w:tcBorders>
              <w:top w:val="single" w:sz="12" w:space="0" w:color="000000"/>
              <w:bottom w:val="single" w:sz="12" w:space="0" w:color="000000"/>
            </w:tcBorders>
          </w:tcPr>
          <w:p>
            <w:pPr>
              <w:pStyle w:val="TableParagraph"/>
              <w:spacing w:line="209" w:lineRule="exact"/>
              <w:ind w:right="93"/>
              <w:jc w:val="right"/>
              <w:rPr>
                <w:sz w:val="20"/>
              </w:rPr>
            </w:pPr>
            <w:r>
              <w:rPr>
                <w:w w:val="95"/>
                <w:sz w:val="20"/>
              </w:rPr>
              <w:t>28782</w:t>
            </w:r>
          </w:p>
        </w:tc>
      </w:tr>
      <w:tr>
        <w:trPr>
          <w:trHeight w:val="229" w:hRule="atLeast"/>
        </w:trPr>
        <w:tc>
          <w:tcPr>
            <w:tcW w:w="3347" w:type="dxa"/>
            <w:tcBorders>
              <w:top w:val="single" w:sz="12" w:space="0" w:color="000000"/>
              <w:bottom w:val="single" w:sz="12" w:space="0" w:color="000000"/>
            </w:tcBorders>
          </w:tcPr>
          <w:p>
            <w:pPr>
              <w:pStyle w:val="TableParagraph"/>
              <w:spacing w:line="209" w:lineRule="exact"/>
              <w:ind w:left="108"/>
              <w:rPr>
                <w:sz w:val="20"/>
              </w:rPr>
            </w:pPr>
            <w:r>
              <w:rPr>
                <w:sz w:val="20"/>
              </w:rPr>
              <w:t>Vaccin antihepatita B pediatric</w:t>
            </w:r>
          </w:p>
        </w:tc>
        <w:tc>
          <w:tcPr>
            <w:tcW w:w="2998" w:type="dxa"/>
            <w:tcBorders>
              <w:top w:val="single" w:sz="12" w:space="0" w:color="000000"/>
              <w:bottom w:val="single" w:sz="12" w:space="0" w:color="000000"/>
            </w:tcBorders>
          </w:tcPr>
          <w:p>
            <w:pPr>
              <w:pStyle w:val="TableParagraph"/>
              <w:spacing w:line="209" w:lineRule="exact"/>
              <w:ind w:left="109"/>
              <w:rPr>
                <w:sz w:val="20"/>
              </w:rPr>
            </w:pPr>
            <w:r>
              <w:rPr>
                <w:sz w:val="20"/>
              </w:rPr>
              <w:t>Vaccinare la nastere</w:t>
            </w:r>
          </w:p>
        </w:tc>
        <w:tc>
          <w:tcPr>
            <w:tcW w:w="2513" w:type="dxa"/>
            <w:tcBorders>
              <w:top w:val="single" w:sz="12" w:space="0" w:color="000000"/>
              <w:bottom w:val="single" w:sz="12" w:space="0" w:color="000000"/>
            </w:tcBorders>
          </w:tcPr>
          <w:p>
            <w:pPr>
              <w:pStyle w:val="TableParagraph"/>
              <w:spacing w:line="209" w:lineRule="exact"/>
              <w:ind w:right="91"/>
              <w:jc w:val="right"/>
              <w:rPr>
                <w:sz w:val="20"/>
              </w:rPr>
            </w:pPr>
            <w:r>
              <w:rPr>
                <w:sz w:val="20"/>
              </w:rPr>
              <w:t>6667</w:t>
            </w:r>
          </w:p>
        </w:tc>
      </w:tr>
      <w:tr>
        <w:trPr>
          <w:trHeight w:val="222" w:hRule="atLeast"/>
        </w:trPr>
        <w:tc>
          <w:tcPr>
            <w:tcW w:w="3347" w:type="dxa"/>
            <w:vMerge w:val="restart"/>
            <w:tcBorders>
              <w:top w:val="single" w:sz="12" w:space="0" w:color="000000"/>
              <w:bottom w:val="single" w:sz="12" w:space="0" w:color="000000"/>
            </w:tcBorders>
          </w:tcPr>
          <w:p>
            <w:pPr>
              <w:pStyle w:val="TableParagraph"/>
              <w:spacing w:before="2"/>
              <w:ind w:left="108"/>
              <w:rPr>
                <w:sz w:val="20"/>
              </w:rPr>
            </w:pPr>
            <w:r>
              <w:rPr>
                <w:sz w:val="20"/>
              </w:rPr>
              <w:t>Vaccin DtaP + VPI + Hib + HB</w:t>
            </w:r>
          </w:p>
        </w:tc>
        <w:tc>
          <w:tcPr>
            <w:tcW w:w="2998" w:type="dxa"/>
            <w:tcBorders>
              <w:top w:val="single" w:sz="12" w:space="0" w:color="000000"/>
            </w:tcBorders>
          </w:tcPr>
          <w:p>
            <w:pPr>
              <w:pStyle w:val="TableParagraph"/>
              <w:spacing w:line="200" w:lineRule="exact" w:before="2"/>
              <w:ind w:left="109"/>
              <w:rPr>
                <w:sz w:val="20"/>
              </w:rPr>
            </w:pPr>
            <w:r>
              <w:rPr>
                <w:sz w:val="20"/>
              </w:rPr>
              <w:t>2 luni</w:t>
            </w:r>
          </w:p>
        </w:tc>
        <w:tc>
          <w:tcPr>
            <w:tcW w:w="2513" w:type="dxa"/>
            <w:tcBorders>
              <w:top w:val="single" w:sz="12" w:space="0" w:color="000000"/>
            </w:tcBorders>
          </w:tcPr>
          <w:p>
            <w:pPr>
              <w:pStyle w:val="TableParagraph"/>
              <w:spacing w:line="200" w:lineRule="exact" w:before="2"/>
              <w:ind w:right="93"/>
              <w:jc w:val="right"/>
              <w:rPr>
                <w:sz w:val="20"/>
              </w:rPr>
            </w:pPr>
            <w:r>
              <w:rPr>
                <w:w w:val="95"/>
                <w:sz w:val="20"/>
              </w:rPr>
              <w:t>15544</w:t>
            </w:r>
          </w:p>
        </w:tc>
      </w:tr>
      <w:tr>
        <w:trPr>
          <w:trHeight w:val="210" w:hRule="atLeast"/>
        </w:trPr>
        <w:tc>
          <w:tcPr>
            <w:tcW w:w="3347" w:type="dxa"/>
            <w:vMerge/>
            <w:tcBorders>
              <w:top w:val="nil"/>
              <w:bottom w:val="single" w:sz="12" w:space="0" w:color="000000"/>
            </w:tcBorders>
          </w:tcPr>
          <w:p>
            <w:pPr>
              <w:rPr>
                <w:sz w:val="2"/>
                <w:szCs w:val="2"/>
              </w:rPr>
            </w:pPr>
          </w:p>
        </w:tc>
        <w:tc>
          <w:tcPr>
            <w:tcW w:w="2998" w:type="dxa"/>
          </w:tcPr>
          <w:p>
            <w:pPr>
              <w:pStyle w:val="TableParagraph"/>
              <w:spacing w:line="190" w:lineRule="exact"/>
              <w:ind w:left="109"/>
              <w:rPr>
                <w:sz w:val="20"/>
              </w:rPr>
            </w:pPr>
            <w:r>
              <w:rPr>
                <w:sz w:val="20"/>
              </w:rPr>
              <w:t>4 luni</w:t>
            </w:r>
          </w:p>
        </w:tc>
        <w:tc>
          <w:tcPr>
            <w:tcW w:w="2513" w:type="dxa"/>
          </w:tcPr>
          <w:p>
            <w:pPr>
              <w:pStyle w:val="TableParagraph"/>
              <w:spacing w:line="190" w:lineRule="exact"/>
              <w:ind w:right="93"/>
              <w:jc w:val="right"/>
              <w:rPr>
                <w:sz w:val="20"/>
              </w:rPr>
            </w:pPr>
            <w:r>
              <w:rPr>
                <w:w w:val="95"/>
                <w:sz w:val="20"/>
              </w:rPr>
              <w:t>15949</w:t>
            </w:r>
          </w:p>
        </w:tc>
      </w:tr>
      <w:tr>
        <w:trPr>
          <w:trHeight w:val="219" w:hRule="atLeast"/>
        </w:trPr>
        <w:tc>
          <w:tcPr>
            <w:tcW w:w="3347" w:type="dxa"/>
            <w:vMerge/>
            <w:tcBorders>
              <w:top w:val="nil"/>
              <w:bottom w:val="single" w:sz="12" w:space="0" w:color="000000"/>
            </w:tcBorders>
          </w:tcPr>
          <w:p>
            <w:pPr>
              <w:rPr>
                <w:sz w:val="2"/>
                <w:szCs w:val="2"/>
              </w:rPr>
            </w:pPr>
          </w:p>
        </w:tc>
        <w:tc>
          <w:tcPr>
            <w:tcW w:w="2998" w:type="dxa"/>
            <w:tcBorders>
              <w:bottom w:val="single" w:sz="12" w:space="0" w:color="000000"/>
            </w:tcBorders>
          </w:tcPr>
          <w:p>
            <w:pPr>
              <w:pStyle w:val="TableParagraph"/>
              <w:spacing w:line="200" w:lineRule="exact"/>
              <w:ind w:left="109"/>
              <w:rPr>
                <w:sz w:val="20"/>
              </w:rPr>
            </w:pPr>
            <w:r>
              <w:rPr>
                <w:sz w:val="20"/>
              </w:rPr>
              <w:t>11 luni</w:t>
            </w:r>
          </w:p>
        </w:tc>
        <w:tc>
          <w:tcPr>
            <w:tcW w:w="2513" w:type="dxa"/>
            <w:tcBorders>
              <w:bottom w:val="single" w:sz="12" w:space="0" w:color="000000"/>
            </w:tcBorders>
          </w:tcPr>
          <w:p>
            <w:pPr>
              <w:pStyle w:val="TableParagraph"/>
              <w:spacing w:line="200" w:lineRule="exact"/>
              <w:ind w:right="93"/>
              <w:jc w:val="right"/>
              <w:rPr>
                <w:sz w:val="20"/>
              </w:rPr>
            </w:pPr>
            <w:r>
              <w:rPr>
                <w:w w:val="95"/>
                <w:sz w:val="20"/>
              </w:rPr>
              <w:t>15042</w:t>
            </w:r>
          </w:p>
        </w:tc>
      </w:tr>
      <w:tr>
        <w:trPr>
          <w:trHeight w:val="219" w:hRule="atLeast"/>
        </w:trPr>
        <w:tc>
          <w:tcPr>
            <w:tcW w:w="3347" w:type="dxa"/>
            <w:vMerge w:val="restart"/>
            <w:tcBorders>
              <w:top w:val="single" w:sz="12" w:space="0" w:color="000000"/>
              <w:bottom w:val="single" w:sz="12" w:space="0" w:color="000000"/>
            </w:tcBorders>
          </w:tcPr>
          <w:p>
            <w:pPr>
              <w:pStyle w:val="TableParagraph"/>
              <w:ind w:left="108"/>
              <w:rPr>
                <w:sz w:val="20"/>
              </w:rPr>
            </w:pPr>
            <w:r>
              <w:rPr>
                <w:sz w:val="20"/>
              </w:rPr>
              <w:t>Vaccin rujeolic-rubeolic-urlian</w:t>
            </w:r>
          </w:p>
        </w:tc>
        <w:tc>
          <w:tcPr>
            <w:tcW w:w="2998" w:type="dxa"/>
            <w:tcBorders>
              <w:top w:val="single" w:sz="12" w:space="0" w:color="000000"/>
            </w:tcBorders>
          </w:tcPr>
          <w:p>
            <w:pPr>
              <w:pStyle w:val="TableParagraph"/>
              <w:spacing w:line="200" w:lineRule="exact"/>
              <w:ind w:left="109"/>
              <w:rPr>
                <w:sz w:val="20"/>
              </w:rPr>
            </w:pPr>
            <w:r>
              <w:rPr>
                <w:sz w:val="20"/>
              </w:rPr>
              <w:t>9 – 11 luni</w:t>
            </w:r>
          </w:p>
        </w:tc>
        <w:tc>
          <w:tcPr>
            <w:tcW w:w="2513" w:type="dxa"/>
            <w:tcBorders>
              <w:top w:val="single" w:sz="12" w:space="0" w:color="000000"/>
            </w:tcBorders>
          </w:tcPr>
          <w:p>
            <w:pPr>
              <w:pStyle w:val="TableParagraph"/>
              <w:spacing w:line="200" w:lineRule="exact"/>
              <w:ind w:right="91"/>
              <w:jc w:val="right"/>
              <w:rPr>
                <w:sz w:val="20"/>
              </w:rPr>
            </w:pPr>
            <w:r>
              <w:rPr>
                <w:sz w:val="20"/>
              </w:rPr>
              <w:t>7288</w:t>
            </w:r>
          </w:p>
        </w:tc>
      </w:tr>
      <w:tr>
        <w:trPr>
          <w:trHeight w:val="210" w:hRule="atLeast"/>
        </w:trPr>
        <w:tc>
          <w:tcPr>
            <w:tcW w:w="3347" w:type="dxa"/>
            <w:vMerge/>
            <w:tcBorders>
              <w:top w:val="nil"/>
              <w:bottom w:val="single" w:sz="12" w:space="0" w:color="000000"/>
            </w:tcBorders>
          </w:tcPr>
          <w:p>
            <w:pPr>
              <w:rPr>
                <w:sz w:val="2"/>
                <w:szCs w:val="2"/>
              </w:rPr>
            </w:pPr>
          </w:p>
        </w:tc>
        <w:tc>
          <w:tcPr>
            <w:tcW w:w="2998" w:type="dxa"/>
          </w:tcPr>
          <w:p>
            <w:pPr>
              <w:pStyle w:val="TableParagraph"/>
              <w:spacing w:line="190" w:lineRule="exact"/>
              <w:ind w:left="109"/>
              <w:rPr>
                <w:sz w:val="20"/>
              </w:rPr>
            </w:pPr>
            <w:r>
              <w:rPr>
                <w:sz w:val="20"/>
              </w:rPr>
              <w:t>12 luni</w:t>
            </w:r>
          </w:p>
        </w:tc>
        <w:tc>
          <w:tcPr>
            <w:tcW w:w="2513" w:type="dxa"/>
          </w:tcPr>
          <w:p>
            <w:pPr>
              <w:pStyle w:val="TableParagraph"/>
              <w:spacing w:line="190" w:lineRule="exact"/>
              <w:ind w:right="93"/>
              <w:jc w:val="right"/>
              <w:rPr>
                <w:sz w:val="20"/>
              </w:rPr>
            </w:pPr>
            <w:r>
              <w:rPr>
                <w:w w:val="95"/>
                <w:sz w:val="20"/>
              </w:rPr>
              <w:t>16408</w:t>
            </w:r>
          </w:p>
        </w:tc>
      </w:tr>
      <w:tr>
        <w:trPr>
          <w:trHeight w:val="210" w:hRule="atLeast"/>
        </w:trPr>
        <w:tc>
          <w:tcPr>
            <w:tcW w:w="3347" w:type="dxa"/>
            <w:vMerge/>
            <w:tcBorders>
              <w:top w:val="nil"/>
              <w:bottom w:val="single" w:sz="12" w:space="0" w:color="000000"/>
            </w:tcBorders>
          </w:tcPr>
          <w:p>
            <w:pPr>
              <w:rPr>
                <w:sz w:val="2"/>
                <w:szCs w:val="2"/>
              </w:rPr>
            </w:pPr>
          </w:p>
        </w:tc>
        <w:tc>
          <w:tcPr>
            <w:tcW w:w="2998" w:type="dxa"/>
          </w:tcPr>
          <w:p>
            <w:pPr>
              <w:pStyle w:val="TableParagraph"/>
              <w:spacing w:line="190" w:lineRule="exact"/>
              <w:ind w:left="109"/>
              <w:rPr>
                <w:sz w:val="20"/>
              </w:rPr>
            </w:pPr>
            <w:r>
              <w:rPr>
                <w:sz w:val="20"/>
              </w:rPr>
              <w:t>5 ani</w:t>
            </w:r>
          </w:p>
        </w:tc>
        <w:tc>
          <w:tcPr>
            <w:tcW w:w="2513" w:type="dxa"/>
          </w:tcPr>
          <w:p>
            <w:pPr>
              <w:pStyle w:val="TableParagraph"/>
              <w:spacing w:line="190" w:lineRule="exact"/>
              <w:ind w:right="93"/>
              <w:jc w:val="right"/>
              <w:rPr>
                <w:sz w:val="20"/>
              </w:rPr>
            </w:pPr>
            <w:r>
              <w:rPr>
                <w:w w:val="95"/>
                <w:sz w:val="20"/>
              </w:rPr>
              <w:t>17655</w:t>
            </w:r>
          </w:p>
        </w:tc>
      </w:tr>
      <w:tr>
        <w:trPr>
          <w:trHeight w:val="219" w:hRule="atLeast"/>
        </w:trPr>
        <w:tc>
          <w:tcPr>
            <w:tcW w:w="3347" w:type="dxa"/>
            <w:vMerge/>
            <w:tcBorders>
              <w:top w:val="nil"/>
              <w:bottom w:val="single" w:sz="12" w:space="0" w:color="000000"/>
            </w:tcBorders>
          </w:tcPr>
          <w:p>
            <w:pPr>
              <w:rPr>
                <w:sz w:val="2"/>
                <w:szCs w:val="2"/>
              </w:rPr>
            </w:pPr>
          </w:p>
        </w:tc>
        <w:tc>
          <w:tcPr>
            <w:tcW w:w="2998" w:type="dxa"/>
            <w:tcBorders>
              <w:bottom w:val="single" w:sz="12" w:space="0" w:color="000000"/>
            </w:tcBorders>
          </w:tcPr>
          <w:p>
            <w:pPr>
              <w:pStyle w:val="TableParagraph"/>
              <w:spacing w:line="200" w:lineRule="exact"/>
              <w:ind w:left="109"/>
              <w:rPr>
                <w:sz w:val="20"/>
              </w:rPr>
            </w:pPr>
            <w:r>
              <w:rPr>
                <w:sz w:val="20"/>
              </w:rPr>
              <w:t>7 ani</w:t>
            </w:r>
          </w:p>
        </w:tc>
        <w:tc>
          <w:tcPr>
            <w:tcW w:w="2513" w:type="dxa"/>
            <w:tcBorders>
              <w:bottom w:val="single" w:sz="12" w:space="0" w:color="000000"/>
            </w:tcBorders>
          </w:tcPr>
          <w:p>
            <w:pPr>
              <w:pStyle w:val="TableParagraph"/>
              <w:spacing w:line="200" w:lineRule="exact"/>
              <w:ind w:right="91"/>
              <w:jc w:val="right"/>
              <w:rPr>
                <w:sz w:val="20"/>
              </w:rPr>
            </w:pPr>
            <w:r>
              <w:rPr>
                <w:sz w:val="20"/>
              </w:rPr>
              <w:t>8458</w:t>
            </w:r>
          </w:p>
        </w:tc>
      </w:tr>
      <w:tr>
        <w:trPr>
          <w:trHeight w:val="229" w:hRule="atLeast"/>
        </w:trPr>
        <w:tc>
          <w:tcPr>
            <w:tcW w:w="3347" w:type="dxa"/>
            <w:tcBorders>
              <w:top w:val="single" w:sz="12" w:space="0" w:color="000000"/>
              <w:bottom w:val="single" w:sz="12" w:space="0" w:color="000000"/>
            </w:tcBorders>
          </w:tcPr>
          <w:p>
            <w:pPr>
              <w:pStyle w:val="TableParagraph"/>
              <w:spacing w:line="209" w:lineRule="exact"/>
              <w:ind w:left="108"/>
              <w:rPr>
                <w:sz w:val="20"/>
              </w:rPr>
            </w:pPr>
            <w:r>
              <w:rPr>
                <w:sz w:val="20"/>
              </w:rPr>
              <w:t>Vaccin DTPa + VPI</w:t>
            </w:r>
          </w:p>
        </w:tc>
        <w:tc>
          <w:tcPr>
            <w:tcW w:w="2998" w:type="dxa"/>
            <w:tcBorders>
              <w:top w:val="single" w:sz="12" w:space="0" w:color="000000"/>
              <w:bottom w:val="single" w:sz="12" w:space="0" w:color="000000"/>
            </w:tcBorders>
          </w:tcPr>
          <w:p>
            <w:pPr>
              <w:pStyle w:val="TableParagraph"/>
              <w:spacing w:line="209" w:lineRule="exact"/>
              <w:ind w:left="109"/>
              <w:rPr>
                <w:sz w:val="20"/>
              </w:rPr>
            </w:pPr>
            <w:r>
              <w:rPr>
                <w:sz w:val="20"/>
              </w:rPr>
              <w:t>6 ani</w:t>
            </w:r>
          </w:p>
        </w:tc>
        <w:tc>
          <w:tcPr>
            <w:tcW w:w="2513" w:type="dxa"/>
            <w:tcBorders>
              <w:top w:val="single" w:sz="12" w:space="0" w:color="000000"/>
              <w:bottom w:val="single" w:sz="12" w:space="0" w:color="000000"/>
            </w:tcBorders>
          </w:tcPr>
          <w:p>
            <w:pPr>
              <w:pStyle w:val="TableParagraph"/>
              <w:spacing w:line="209" w:lineRule="exact"/>
              <w:ind w:right="93"/>
              <w:jc w:val="right"/>
              <w:rPr>
                <w:sz w:val="20"/>
              </w:rPr>
            </w:pPr>
            <w:r>
              <w:rPr>
                <w:w w:val="95"/>
                <w:sz w:val="20"/>
              </w:rPr>
              <w:t>15433</w:t>
            </w:r>
          </w:p>
        </w:tc>
      </w:tr>
      <w:tr>
        <w:trPr>
          <w:trHeight w:val="229" w:hRule="atLeast"/>
        </w:trPr>
        <w:tc>
          <w:tcPr>
            <w:tcW w:w="3347" w:type="dxa"/>
            <w:tcBorders>
              <w:top w:val="single" w:sz="12" w:space="0" w:color="000000"/>
              <w:bottom w:val="single" w:sz="12" w:space="0" w:color="000000"/>
            </w:tcBorders>
          </w:tcPr>
          <w:p>
            <w:pPr>
              <w:pStyle w:val="TableParagraph"/>
              <w:spacing w:line="209" w:lineRule="exact"/>
              <w:ind w:left="108"/>
              <w:rPr>
                <w:sz w:val="20"/>
              </w:rPr>
            </w:pPr>
            <w:r>
              <w:rPr>
                <w:sz w:val="20"/>
              </w:rPr>
              <w:t>Vaccin dT / dTPa</w:t>
            </w:r>
          </w:p>
        </w:tc>
        <w:tc>
          <w:tcPr>
            <w:tcW w:w="2998" w:type="dxa"/>
            <w:tcBorders>
              <w:top w:val="single" w:sz="12" w:space="0" w:color="000000"/>
              <w:bottom w:val="single" w:sz="12" w:space="0" w:color="000000"/>
            </w:tcBorders>
          </w:tcPr>
          <w:p>
            <w:pPr>
              <w:pStyle w:val="TableParagraph"/>
              <w:spacing w:line="209" w:lineRule="exact"/>
              <w:ind w:left="109"/>
              <w:rPr>
                <w:sz w:val="20"/>
              </w:rPr>
            </w:pPr>
            <w:r>
              <w:rPr>
                <w:sz w:val="20"/>
              </w:rPr>
              <w:t>14 ani</w:t>
            </w:r>
          </w:p>
        </w:tc>
        <w:tc>
          <w:tcPr>
            <w:tcW w:w="2513" w:type="dxa"/>
            <w:tcBorders>
              <w:top w:val="single" w:sz="12" w:space="0" w:color="000000"/>
              <w:bottom w:val="single" w:sz="12" w:space="0" w:color="000000"/>
            </w:tcBorders>
          </w:tcPr>
          <w:p>
            <w:pPr>
              <w:pStyle w:val="TableParagraph"/>
              <w:spacing w:line="209" w:lineRule="exact"/>
              <w:ind w:right="91"/>
              <w:jc w:val="right"/>
              <w:rPr>
                <w:sz w:val="20"/>
              </w:rPr>
            </w:pPr>
            <w:r>
              <w:rPr>
                <w:sz w:val="20"/>
              </w:rPr>
              <w:t>3786</w:t>
            </w:r>
          </w:p>
        </w:tc>
      </w:tr>
      <w:tr>
        <w:trPr>
          <w:trHeight w:val="231" w:hRule="atLeast"/>
        </w:trPr>
        <w:tc>
          <w:tcPr>
            <w:tcW w:w="3347" w:type="dxa"/>
            <w:tcBorders>
              <w:top w:val="single" w:sz="12" w:space="0" w:color="000000"/>
              <w:bottom w:val="single" w:sz="12" w:space="0" w:color="000000"/>
            </w:tcBorders>
          </w:tcPr>
          <w:p>
            <w:pPr>
              <w:pStyle w:val="TableParagraph"/>
              <w:spacing w:line="209" w:lineRule="exact" w:before="2"/>
              <w:ind w:left="108"/>
              <w:rPr>
                <w:sz w:val="20"/>
              </w:rPr>
            </w:pPr>
            <w:r>
              <w:rPr>
                <w:sz w:val="20"/>
              </w:rPr>
              <w:t>Vaccin gripal sezoier</w:t>
            </w:r>
          </w:p>
        </w:tc>
        <w:tc>
          <w:tcPr>
            <w:tcW w:w="2998" w:type="dxa"/>
            <w:tcBorders>
              <w:top w:val="single" w:sz="12" w:space="0" w:color="000000"/>
              <w:bottom w:val="single" w:sz="12" w:space="0" w:color="000000"/>
            </w:tcBorders>
          </w:tcPr>
          <w:p>
            <w:pPr>
              <w:pStyle w:val="TableParagraph"/>
              <w:spacing w:line="209" w:lineRule="exact" w:before="2"/>
              <w:ind w:left="109"/>
              <w:rPr>
                <w:sz w:val="20"/>
              </w:rPr>
            </w:pPr>
            <w:r>
              <w:rPr>
                <w:sz w:val="20"/>
              </w:rPr>
              <w:t>Vaccinare selectiva</w:t>
            </w:r>
          </w:p>
        </w:tc>
        <w:tc>
          <w:tcPr>
            <w:tcW w:w="2513" w:type="dxa"/>
            <w:tcBorders>
              <w:top w:val="single" w:sz="12" w:space="0" w:color="000000"/>
              <w:bottom w:val="single" w:sz="12" w:space="0" w:color="000000"/>
            </w:tcBorders>
          </w:tcPr>
          <w:p>
            <w:pPr>
              <w:pStyle w:val="TableParagraph"/>
              <w:spacing w:line="209" w:lineRule="exact" w:before="2"/>
              <w:ind w:right="93"/>
              <w:jc w:val="right"/>
              <w:rPr>
                <w:sz w:val="20"/>
              </w:rPr>
            </w:pPr>
            <w:r>
              <w:rPr>
                <w:w w:val="95"/>
                <w:sz w:val="20"/>
              </w:rPr>
              <w:t>25513</w:t>
            </w:r>
          </w:p>
        </w:tc>
      </w:tr>
      <w:tr>
        <w:trPr>
          <w:trHeight w:val="229" w:hRule="atLeast"/>
        </w:trPr>
        <w:tc>
          <w:tcPr>
            <w:tcW w:w="6345" w:type="dxa"/>
            <w:gridSpan w:val="2"/>
            <w:tcBorders>
              <w:top w:val="single" w:sz="12" w:space="0" w:color="000000"/>
            </w:tcBorders>
            <w:shd w:val="clear" w:color="auto" w:fill="FFCC99"/>
          </w:tcPr>
          <w:p>
            <w:pPr>
              <w:pStyle w:val="TableParagraph"/>
              <w:spacing w:line="210" w:lineRule="exact"/>
              <w:ind w:left="2133" w:right="2128"/>
              <w:jc w:val="center"/>
              <w:rPr>
                <w:b/>
                <w:sz w:val="20"/>
              </w:rPr>
            </w:pPr>
            <w:r>
              <w:rPr>
                <w:b/>
                <w:sz w:val="20"/>
              </w:rPr>
              <w:t>Total doze administrate</w:t>
            </w:r>
          </w:p>
        </w:tc>
        <w:tc>
          <w:tcPr>
            <w:tcW w:w="2513" w:type="dxa"/>
            <w:tcBorders>
              <w:top w:val="single" w:sz="12" w:space="0" w:color="000000"/>
            </w:tcBorders>
            <w:shd w:val="clear" w:color="auto" w:fill="FFCC99"/>
          </w:tcPr>
          <w:p>
            <w:pPr>
              <w:pStyle w:val="TableParagraph"/>
              <w:spacing w:line="210" w:lineRule="exact"/>
              <w:ind w:left="937" w:right="925"/>
              <w:jc w:val="center"/>
              <w:rPr>
                <w:b/>
                <w:sz w:val="20"/>
              </w:rPr>
            </w:pPr>
            <w:r>
              <w:rPr>
                <w:b/>
                <w:sz w:val="20"/>
              </w:rPr>
              <w:t>176525</w:t>
            </w:r>
          </w:p>
        </w:tc>
      </w:tr>
    </w:tbl>
    <w:p>
      <w:pPr>
        <w:pStyle w:val="ListParagraph"/>
        <w:numPr>
          <w:ilvl w:val="1"/>
          <w:numId w:val="2"/>
        </w:numPr>
        <w:tabs>
          <w:tab w:pos="953" w:val="left" w:leader="none"/>
          <w:tab w:pos="954" w:val="left" w:leader="none"/>
        </w:tabs>
        <w:spacing w:line="240" w:lineRule="auto" w:before="0" w:after="0"/>
        <w:ind w:left="953" w:right="0" w:hanging="361"/>
        <w:jc w:val="left"/>
        <w:rPr>
          <w:sz w:val="20"/>
        </w:rPr>
      </w:pPr>
      <w:r>
        <w:rPr>
          <w:sz w:val="20"/>
        </w:rPr>
        <w:t>nu s-au raportat reactii adverse postvaccinale</w:t>
      </w:r>
      <w:r>
        <w:rPr>
          <w:spacing w:val="-1"/>
          <w:sz w:val="20"/>
        </w:rPr>
        <w:t> </w:t>
      </w:r>
      <w:r>
        <w:rPr>
          <w:sz w:val="20"/>
        </w:rPr>
        <w:t>indezirabile</w:t>
      </w:r>
    </w:p>
    <w:p>
      <w:pPr>
        <w:pStyle w:val="BodyText"/>
        <w:ind w:left="0"/>
        <w:rPr>
          <w:sz w:val="20"/>
        </w:rPr>
      </w:pPr>
    </w:p>
    <w:p>
      <w:pPr>
        <w:pStyle w:val="BodyText"/>
        <w:spacing w:before="11"/>
        <w:ind w:left="0"/>
        <w:rPr>
          <w:sz w:val="17"/>
        </w:rPr>
      </w:pPr>
      <w:r>
        <w:rPr/>
        <w:pict>
          <v:shape style="position:absolute;margin-left:55.200001pt;margin-top:11.53pt;width:499.95pt;height:27.6pt;mso-position-horizontal-relative:page;mso-position-vertical-relative:paragraph;z-index:-251654144;mso-wrap-distance-left:0;mso-wrap-distance-right:0" type="#_x0000_t202" filled="true" fillcolor="#cccccc" stroked="false">
            <v:textbox inset="0,0,0,0">
              <w:txbxContent>
                <w:p>
                  <w:pPr>
                    <w:spacing w:line="275" w:lineRule="exact" w:before="0"/>
                    <w:ind w:left="989" w:right="0" w:firstLine="0"/>
                    <w:jc w:val="left"/>
                    <w:rPr>
                      <w:b/>
                      <w:sz w:val="24"/>
                    </w:rPr>
                  </w:pPr>
                  <w:r>
                    <w:rPr>
                      <w:b/>
                      <w:sz w:val="24"/>
                      <w:u w:val="thick"/>
                    </w:rPr>
                    <w:t>Supravegherea virozelor respiratorii in sezonul de gripa</w:t>
                  </w:r>
                </w:p>
              </w:txbxContent>
            </v:textbox>
            <v:fill type="solid"/>
            <w10:wrap type="topAndBottom"/>
          </v:shape>
        </w:pict>
      </w:r>
    </w:p>
    <w:p>
      <w:pPr>
        <w:pStyle w:val="BodyText"/>
        <w:spacing w:line="261" w:lineRule="exact"/>
        <w:ind w:left="233"/>
      </w:pPr>
      <w:r>
        <w:rPr>
          <w:b/>
        </w:rPr>
        <w:t>Misiune: </w:t>
      </w:r>
      <w:r>
        <w:rPr/>
        <w:t>monitorizarea indicatorilor sanitari care semnaleaza prezenta circulatiei virusurilor gripale in</w:t>
      </w:r>
    </w:p>
    <w:p>
      <w:pPr>
        <w:pStyle w:val="BodyText"/>
        <w:ind w:left="233" w:right="880"/>
      </w:pPr>
      <w:r>
        <w:rPr/>
        <w:t>populatia municipiului Bucuresti (in sezonul de gripa) si identificarea/ anticiparea perioadei transmiterii virusurilor gripale in populatia generala in vederea implementarii masurilor de profilaxie adecvate.</w:t>
      </w:r>
    </w:p>
    <w:p>
      <w:pPr>
        <w:pStyle w:val="BodyText"/>
        <w:ind w:left="233"/>
      </w:pPr>
      <w:r>
        <w:rPr/>
        <w:t>Confirmarile prin laborator a etiologiei gripale au devenit frecvente in perioada saptamanilor S49/2016</w:t>
      </w:r>
    </w:p>
    <w:p>
      <w:pPr>
        <w:pStyle w:val="BodyText"/>
        <w:ind w:left="233" w:right="1986"/>
      </w:pPr>
      <w:r>
        <w:rPr/>
        <w:t>– S15/2017, cu maximum de frecventa in perioada S10 – S15/2017 (prezentate in diagrama urmatoare):</w:t>
      </w:r>
    </w:p>
    <w:p>
      <w:pPr>
        <w:spacing w:after="0"/>
        <w:sectPr>
          <w:pgSz w:w="11910" w:h="16840"/>
          <w:pgMar w:header="0" w:footer="738" w:top="1500" w:bottom="920" w:left="900" w:right="0"/>
        </w:sectPr>
      </w:pPr>
    </w:p>
    <w:p>
      <w:pPr>
        <w:pStyle w:val="BodyText"/>
        <w:ind w:left="0"/>
        <w:rPr>
          <w:sz w:val="20"/>
        </w:rPr>
      </w:pPr>
      <w:r>
        <w:rPr/>
        <w:pict>
          <v:shape style="position:absolute;margin-left:62.414803pt;margin-top:524.894592pt;width:8.6pt;height:44.1pt;mso-position-horizontal-relative:page;mso-position-vertical-relative:page;z-index:251692032"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Cazuri la %ooo</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7"/>
        </w:rPr>
      </w:pPr>
    </w:p>
    <w:p>
      <w:pPr>
        <w:pStyle w:val="BodyText"/>
        <w:ind w:left="279"/>
        <w:rPr>
          <w:sz w:val="20"/>
        </w:rPr>
      </w:pPr>
      <w:r>
        <w:rPr>
          <w:sz w:val="20"/>
        </w:rPr>
        <w:pict>
          <v:group style="width:427pt;height:260.6500pt;mso-position-horizontal-relative:char;mso-position-vertical-relative:line" coordorigin="0,0" coordsize="8540,5213">
            <v:rect style="position:absolute;left:0;top:0;width:8538;height:5211" filled="true" fillcolor="#ffff99" stroked="false">
              <v:fill type="solid"/>
            </v:rect>
            <v:rect style="position:absolute;left:0;top:0;width:8538;height:5211" filled="false" stroked="true" strokeweight=".082444pt" strokecolor="#000000">
              <v:stroke dashstyle="solid"/>
            </v:rect>
            <v:rect style="position:absolute;left:328;top:817;width:6836;height:3814" filled="true" fillcolor="#ccffff" stroked="false">
              <v:fill type="solid"/>
            </v:rect>
            <v:rect style="position:absolute;left:328;top:817;width:6836;height:3814" filled="false" stroked="true" strokeweight=".565328pt" strokecolor="#808080">
              <v:stroke dashstyle="solid"/>
            </v:rect>
            <v:line style="position:absolute" from="1403,4441" to="1403,4632" stroked="true" strokeweight="3.887365pt" strokecolor="#ffcc00">
              <v:stroke dashstyle="solid"/>
            </v:line>
            <v:rect style="position:absolute;left:1363;top:4440;width:78;height:191" filled="false" stroked="true" strokeweight=".565415pt" strokecolor="#000000">
              <v:stroke dashstyle="solid"/>
            </v:rect>
            <v:line style="position:absolute" from="1598,4441" to="1598,4632" stroked="true" strokeweight="3.887365pt" strokecolor="#ffcc00">
              <v:stroke dashstyle="solid"/>
            </v:line>
            <v:rect style="position:absolute;left:1558;top:4440;width:78;height:191" filled="false" stroked="true" strokeweight=".565415pt" strokecolor="#000000">
              <v:stroke dashstyle="solid"/>
            </v:rect>
            <v:line style="position:absolute" from="1988,4441" to="1988,4632" stroked="true" strokeweight="3.887365pt" strokecolor="#ffcc00">
              <v:stroke dashstyle="solid"/>
            </v:line>
            <v:rect style="position:absolute;left:1948;top:4440;width:78;height:191" filled="false" stroked="true" strokeweight=".565415pt" strokecolor="#000000">
              <v:stroke dashstyle="solid"/>
            </v:rect>
            <v:line style="position:absolute" from="2183,3297" to="2183,4632" stroked="true" strokeweight="3.887365pt" strokecolor="#ffcc00">
              <v:stroke dashstyle="solid"/>
            </v:line>
            <v:rect style="position:absolute;left:2144;top:3297;width:78;height:1335" filled="false" stroked="true" strokeweight=".565434pt" strokecolor="#000000">
              <v:stroke dashstyle="solid"/>
            </v:rect>
            <v:line style="position:absolute" from="2379,3679" to="2379,4632" stroked="true" strokeweight="3.958044pt" strokecolor="#ffcc00">
              <v:stroke dashstyle="solid"/>
            </v:line>
            <v:rect style="position:absolute;left:2339;top:3678;width:80;height:953" filled="false" stroked="true" strokeweight=".565434pt" strokecolor="#000000">
              <v:stroke dashstyle="solid"/>
            </v:rect>
            <v:line style="position:absolute" from="2574,3107" to="2574,4632" stroked="true" strokeweight="3.887365pt" strokecolor="#ffcc00">
              <v:stroke dashstyle="solid"/>
            </v:line>
            <v:rect style="position:absolute;left:2535;top:3106;width:78;height:1526" filled="false" stroked="true" strokeweight=".565434pt" strokecolor="#000000">
              <v:stroke dashstyle="solid"/>
            </v:rect>
            <v:line style="position:absolute" from="2770,3107" to="2770,4632" stroked="true" strokeweight="3.887365pt" strokecolor="#ffcc00">
              <v:stroke dashstyle="solid"/>
            </v:line>
            <v:rect style="position:absolute;left:2730;top:3106;width:78;height:1526" filled="false" stroked="true" strokeweight=".565434pt" strokecolor="#000000">
              <v:stroke dashstyle="solid"/>
            </v:rect>
            <v:line style="position:absolute" from="2965,3107" to="2965,4632" stroked="true" strokeweight="3.887365pt" strokecolor="#ffcc00">
              <v:stroke dashstyle="solid"/>
            </v:line>
            <v:rect style="position:absolute;left:2926;top:3106;width:78;height:1526" filled="false" stroked="true" strokeweight=".565434pt" strokecolor="#000000">
              <v:stroke dashstyle="solid"/>
            </v:rect>
            <v:line style="position:absolute" from="3160,3488" to="3160,4632" stroked="true" strokeweight="3.887365pt" strokecolor="#ffcc00">
              <v:stroke dashstyle="solid"/>
            </v:line>
            <v:rect style="position:absolute;left:3121;top:3488;width:78;height:1144" filled="false" stroked="true" strokeweight=".565434pt" strokecolor="#000000">
              <v:stroke dashstyle="solid"/>
            </v:rect>
            <v:line style="position:absolute" from="3355,3869" to="3355,4632" stroked="true" strokeweight="3.887365pt" strokecolor="#ffcc00">
              <v:stroke dashstyle="solid"/>
            </v:line>
            <v:rect style="position:absolute;left:3316;top:3868;width:78;height:764" filled="false" stroked="true" strokeweight=".565433pt" strokecolor="#000000">
              <v:stroke dashstyle="solid"/>
            </v:rect>
            <v:line style="position:absolute" from="3550,3679" to="3550,4632" stroked="true" strokeweight="3.887365pt" strokecolor="#ffcc00">
              <v:stroke dashstyle="solid"/>
            </v:line>
            <v:rect style="position:absolute;left:3511;top:3678;width:78;height:953" filled="false" stroked="true" strokeweight=".565434pt" strokecolor="#000000">
              <v:stroke dashstyle="solid"/>
            </v:rect>
            <v:line style="position:absolute" from="3746,3297" to="3746,4632" stroked="true" strokeweight="3.958044pt" strokecolor="#ffcc00">
              <v:stroke dashstyle="solid"/>
            </v:line>
            <v:rect style="position:absolute;left:3706;top:3297;width:80;height:1335" filled="false" stroked="true" strokeweight=".565434pt" strokecolor="#000000">
              <v:stroke dashstyle="solid"/>
            </v:rect>
            <v:line style="position:absolute" from="3942,4250" to="3942,4632" stroked="true" strokeweight="3.887365pt" strokecolor="#ffcc00">
              <v:stroke dashstyle="solid"/>
            </v:line>
            <v:rect style="position:absolute;left:3902;top:4250;width:78;height:382" filled="false" stroked="true" strokeweight=".565429pt" strokecolor="#000000">
              <v:stroke dashstyle="solid"/>
            </v:rect>
            <v:line style="position:absolute" from="4137,3297" to="4137,4632" stroked="true" strokeweight="3.887365pt" strokecolor="#ffcc00">
              <v:stroke dashstyle="solid"/>
            </v:line>
            <v:rect style="position:absolute;left:4097;top:3297;width:78;height:1335" filled="false" stroked="true" strokeweight=".565434pt" strokecolor="#000000">
              <v:stroke dashstyle="solid"/>
            </v:rect>
            <v:line style="position:absolute" from="4332,3488" to="4332,4632" stroked="true" strokeweight="3.887365pt" strokecolor="#ffcc00">
              <v:stroke dashstyle="solid"/>
            </v:line>
            <v:rect style="position:absolute;left:4293;top:3488;width:78;height:1144" filled="false" stroked="true" strokeweight=".565434pt" strokecolor="#000000">
              <v:stroke dashstyle="solid"/>
            </v:rect>
            <v:line style="position:absolute" from="4527,3297" to="4527,4632" stroked="true" strokeweight="3.887365pt" strokecolor="#ffcc00">
              <v:stroke dashstyle="solid"/>
            </v:line>
            <v:rect style="position:absolute;left:4488;top:3297;width:78;height:1335" filled="false" stroked="true" strokeweight=".565434pt" strokecolor="#000000">
              <v:stroke dashstyle="solid"/>
            </v:rect>
            <v:line style="position:absolute" from="4722,2534" to="4722,4632" stroked="true" strokeweight="3.887365pt" strokecolor="#ffcc00">
              <v:stroke dashstyle="solid"/>
            </v:line>
            <v:rect style="position:absolute;left:4683;top:2533;width:78;height:2098" filled="false" stroked="true" strokeweight=".565435pt" strokecolor="#000000">
              <v:stroke dashstyle="solid"/>
            </v:rect>
            <v:line style="position:absolute" from="4917,2343" to="4917,4632" stroked="true" strokeweight="3.887365pt" strokecolor="#ffcc00">
              <v:stroke dashstyle="solid"/>
            </v:line>
            <v:rect style="position:absolute;left:4878;top:2343;width:78;height:2289" filled="false" stroked="true" strokeweight=".565435pt" strokecolor="#000000">
              <v:stroke dashstyle="solid"/>
            </v:rect>
            <v:line style="position:absolute" from="5113,1200" to="5113,4632" stroked="true" strokeweight="3.958044pt" strokecolor="#ffcc00">
              <v:stroke dashstyle="solid"/>
            </v:line>
            <v:rect style="position:absolute;left:5073;top:1199;width:80;height:3433" filled="false" stroked="true" strokeweight=".565435pt" strokecolor="#000000">
              <v:stroke dashstyle="solid"/>
            </v:rect>
            <v:line style="position:absolute" from="5309,1200" to="5309,4632" stroked="true" strokeweight="3.887365pt" strokecolor="#ffcc00">
              <v:stroke dashstyle="solid"/>
            </v:line>
            <v:rect style="position:absolute;left:5270;top:1199;width:78;height:3433" filled="false" stroked="true" strokeweight=".565435pt" strokecolor="#000000">
              <v:stroke dashstyle="solid"/>
            </v:rect>
            <v:line style="position:absolute" from="5504,2725" to="5504,4632" stroked="true" strokeweight="3.887365pt" strokecolor="#ffcc00">
              <v:stroke dashstyle="solid"/>
            </v:line>
            <v:rect style="position:absolute;left:5465;top:2725;width:78;height:1907" filled="false" stroked="true" strokeweight=".565435pt" strokecolor="#000000">
              <v:stroke dashstyle="solid"/>
            </v:rect>
            <v:line style="position:absolute" from="5699,1009" to="5699,4632" stroked="true" strokeweight="3.887365pt" strokecolor="#ffcc00">
              <v:stroke dashstyle="solid"/>
            </v:line>
            <v:rect style="position:absolute;left:5660;top:1008;width:78;height:3623" filled="false" stroked="true" strokeweight=".565435pt" strokecolor="#000000">
              <v:stroke dashstyle="solid"/>
            </v:rect>
            <v:line style="position:absolute" from="5894,4250" to="5894,4632" stroked="true" strokeweight="3.887365pt" strokecolor="#ffcc00">
              <v:stroke dashstyle="solid"/>
            </v:line>
            <v:rect style="position:absolute;left:5855;top:4250;width:78;height:382" filled="false" stroked="true" strokeweight=".565429pt" strokecolor="#000000">
              <v:stroke dashstyle="solid"/>
            </v:rect>
            <v:line style="position:absolute" from="329,819" to="329,4631" stroked="true" strokeweight=".082459pt" strokecolor="#000000">
              <v:stroke dashstyle="solid"/>
            </v:line>
            <v:line style="position:absolute" from="294,4632" to="363,4632" stroked="true" strokeweight=".082439pt" strokecolor="#000000">
              <v:stroke dashstyle="solid"/>
            </v:line>
            <v:line style="position:absolute" from="294,4251" to="363,4251" stroked="true" strokeweight=".082439pt" strokecolor="#000000">
              <v:stroke dashstyle="solid"/>
            </v:line>
            <v:line style="position:absolute" from="294,3869" to="363,3869" stroked="true" strokeweight=".082439pt" strokecolor="#000000">
              <v:stroke dashstyle="solid"/>
            </v:line>
            <v:line style="position:absolute" from="294,3489" to="363,3489" stroked="true" strokeweight=".082439pt" strokecolor="#000000">
              <v:stroke dashstyle="solid"/>
            </v:line>
            <v:line style="position:absolute" from="294,3107" to="363,3107" stroked="true" strokeweight=".082439pt" strokecolor="#000000">
              <v:stroke dashstyle="solid"/>
            </v:line>
            <v:line style="position:absolute" from="294,2726" to="363,2726" stroked="true" strokeweight=".082439pt" strokecolor="#000000">
              <v:stroke dashstyle="solid"/>
            </v:line>
            <v:line style="position:absolute" from="294,2344" to="363,2344" stroked="true" strokeweight=".082439pt" strokecolor="#000000">
              <v:stroke dashstyle="solid"/>
            </v:line>
            <v:line style="position:absolute" from="294,1962" to="363,1962" stroked="true" strokeweight=".082439pt" strokecolor="#000000">
              <v:stroke dashstyle="solid"/>
            </v:line>
            <v:line style="position:absolute" from="294,1582" to="363,1582" stroked="true" strokeweight=".082439pt" strokecolor="#000000">
              <v:stroke dashstyle="solid"/>
            </v:line>
            <v:line style="position:absolute" from="294,1200" to="363,1200" stroked="true" strokeweight=".082439pt" strokecolor="#000000">
              <v:stroke dashstyle="solid"/>
            </v:line>
            <v:line style="position:absolute" from="294,819" to="363,819" stroked="true" strokeweight=".082439pt" strokecolor="#000000">
              <v:stroke dashstyle="solid"/>
            </v:line>
            <v:line style="position:absolute" from="329,4632" to="7164,4632" stroked="true" strokeweight=".082439pt" strokecolor="#000000">
              <v:stroke dashstyle="solid"/>
            </v:line>
            <v:line style="position:absolute" from="329,4668" to="329,4599" stroked="true" strokeweight=".082459pt" strokecolor="#000000">
              <v:stroke dashstyle="solid"/>
            </v:line>
            <v:line style="position:absolute" from="525,4668" to="525,4599" stroked="true" strokeweight=".082459pt" strokecolor="#000000">
              <v:stroke dashstyle="solid"/>
            </v:line>
            <v:line style="position:absolute" from="720,4668" to="720,4599" stroked="true" strokeweight=".082459pt" strokecolor="#000000">
              <v:stroke dashstyle="solid"/>
            </v:line>
            <v:line style="position:absolute" from="915,4668" to="915,4599" stroked="true" strokeweight=".082459pt" strokecolor="#000000">
              <v:stroke dashstyle="solid"/>
            </v:line>
            <v:line style="position:absolute" from="1111,4668" to="1111,4599" stroked="true" strokeweight=".082459pt" strokecolor="#000000">
              <v:stroke dashstyle="solid"/>
            </v:line>
            <v:line style="position:absolute" from="1307,4668" to="1307,4599" stroked="true" strokeweight=".082459pt" strokecolor="#000000">
              <v:stroke dashstyle="solid"/>
            </v:line>
            <v:line style="position:absolute" from="1502,4668" to="1502,4599" stroked="true" strokeweight=".082459pt" strokecolor="#000000">
              <v:stroke dashstyle="solid"/>
            </v:line>
            <v:line style="position:absolute" from="1697,4668" to="1697,4599" stroked="true" strokeweight=".082459pt" strokecolor="#000000">
              <v:stroke dashstyle="solid"/>
            </v:line>
            <v:line style="position:absolute" from="1892,4668" to="1892,4599" stroked="true" strokeweight=".082459pt" strokecolor="#000000">
              <v:stroke dashstyle="solid"/>
            </v:line>
            <v:line style="position:absolute" from="2087,4668" to="2087,4599" stroked="true" strokeweight=".082459pt" strokecolor="#000000">
              <v:stroke dashstyle="solid"/>
            </v:line>
            <v:line style="position:absolute" from="2282,4668" to="2282,4599" stroked="true" strokeweight=".082459pt" strokecolor="#000000">
              <v:stroke dashstyle="solid"/>
            </v:line>
            <v:line style="position:absolute" from="2478,4668" to="2478,4599" stroked="true" strokeweight=".082459pt" strokecolor="#000000">
              <v:stroke dashstyle="solid"/>
            </v:line>
            <v:line style="position:absolute" from="2673,4668" to="2673,4599" stroked="true" strokeweight=".082459pt" strokecolor="#000000">
              <v:stroke dashstyle="solid"/>
            </v:line>
            <v:line style="position:absolute" from="2869,4668" to="2869,4599" stroked="true" strokeweight=".082459pt" strokecolor="#000000">
              <v:stroke dashstyle="solid"/>
            </v:line>
            <v:line style="position:absolute" from="3064,4668" to="3064,4599" stroked="true" strokeweight=".082459pt" strokecolor="#000000">
              <v:stroke dashstyle="solid"/>
            </v:line>
            <v:line style="position:absolute" from="3259,4668" to="3259,4599" stroked="true" strokeweight=".082459pt" strokecolor="#000000">
              <v:stroke dashstyle="solid"/>
            </v:line>
            <v:line style="position:absolute" from="3454,4668" to="3454,4599" stroked="true" strokeweight=".082459pt" strokecolor="#000000">
              <v:stroke dashstyle="solid"/>
            </v:line>
            <v:line style="position:absolute" from="3649,4668" to="3649,4599" stroked="true" strokeweight=".082459pt" strokecolor="#000000">
              <v:stroke dashstyle="solid"/>
            </v:line>
            <v:line style="position:absolute" from="3846,4668" to="3846,4599" stroked="true" strokeweight=".082459pt" strokecolor="#000000">
              <v:stroke dashstyle="solid"/>
            </v:line>
            <v:line style="position:absolute" from="4041,4668" to="4041,4599" stroked="true" strokeweight=".082459pt" strokecolor="#000000">
              <v:stroke dashstyle="solid"/>
            </v:line>
            <v:line style="position:absolute" from="4236,4668" to="4236,4599" stroked="true" strokeweight=".082459pt" strokecolor="#000000">
              <v:stroke dashstyle="solid"/>
            </v:line>
            <v:line style="position:absolute" from="4431,4668" to="4431,4599" stroked="true" strokeweight=".082459pt" strokecolor="#000000">
              <v:stroke dashstyle="solid"/>
            </v:line>
            <v:line style="position:absolute" from="4626,4668" to="4626,4599" stroked="true" strokeweight=".082459pt" strokecolor="#000000">
              <v:stroke dashstyle="solid"/>
            </v:line>
            <v:line style="position:absolute" from="4821,4668" to="4821,4599" stroked="true" strokeweight=".082459pt" strokecolor="#000000">
              <v:stroke dashstyle="solid"/>
            </v:line>
            <v:line style="position:absolute" from="5016,4668" to="5016,4599" stroked="true" strokeweight=".082459pt" strokecolor="#000000">
              <v:stroke dashstyle="solid"/>
            </v:line>
            <v:line style="position:absolute" from="5213,4668" to="5213,4599" stroked="true" strokeweight=".082459pt" strokecolor="#000000">
              <v:stroke dashstyle="solid"/>
            </v:line>
            <v:line style="position:absolute" from="5408,4668" to="5408,4599" stroked="true" strokeweight=".082459pt" strokecolor="#000000">
              <v:stroke dashstyle="solid"/>
            </v:line>
            <v:line style="position:absolute" from="5603,4668" to="5603,4599" stroked="true" strokeweight=".082459pt" strokecolor="#000000">
              <v:stroke dashstyle="solid"/>
            </v:line>
            <v:line style="position:absolute" from="5798,4668" to="5798,4599" stroked="true" strokeweight=".082459pt" strokecolor="#000000">
              <v:stroke dashstyle="solid"/>
            </v:line>
            <v:line style="position:absolute" from="5993,4668" to="5993,4599" stroked="true" strokeweight=".082459pt" strokecolor="#000000">
              <v:stroke dashstyle="solid"/>
            </v:line>
            <v:line style="position:absolute" from="6188,4668" to="6188,4599" stroked="true" strokeweight=".082459pt" strokecolor="#000000">
              <v:stroke dashstyle="solid"/>
            </v:line>
            <v:line style="position:absolute" from="6383,4668" to="6383,4599" stroked="true" strokeweight=".082459pt" strokecolor="#000000">
              <v:stroke dashstyle="solid"/>
            </v:line>
            <v:line style="position:absolute" from="6580,4668" to="6580,4599" stroked="true" strokeweight=".082459pt" strokecolor="#000000">
              <v:stroke dashstyle="solid"/>
            </v:line>
            <v:line style="position:absolute" from="6775,4668" to="6775,4599" stroked="true" strokeweight=".082459pt" strokecolor="#000000">
              <v:stroke dashstyle="solid"/>
            </v:line>
            <v:line style="position:absolute" from="6970,4668" to="6970,4599" stroked="true" strokeweight=".082459pt" strokecolor="#000000">
              <v:stroke dashstyle="solid"/>
            </v:line>
            <v:line style="position:absolute" from="7165,4668" to="7165,4599" stroked="true" strokeweight=".082459pt" strokecolor="#000000">
              <v:stroke dashstyle="solid"/>
            </v:line>
            <v:line style="position:absolute" from="7165,819" to="7165,4631" stroked="true" strokeweight=".082459pt" strokecolor="#000000">
              <v:stroke dashstyle="solid"/>
            </v:line>
            <v:line style="position:absolute" from="7130,4632" to="7199,4632" stroked="true" strokeweight=".082439pt" strokecolor="#000000">
              <v:stroke dashstyle="solid"/>
            </v:line>
            <v:line style="position:absolute" from="7130,4088" to="7199,4088" stroked="true" strokeweight=".082439pt" strokecolor="#000000">
              <v:stroke dashstyle="solid"/>
            </v:line>
            <v:line style="position:absolute" from="7130,3543" to="7199,3543" stroked="true" strokeweight=".082439pt" strokecolor="#000000">
              <v:stroke dashstyle="solid"/>
            </v:line>
            <v:line style="position:absolute" from="7130,2998" to="7199,2998" stroked="true" strokeweight=".082439pt" strokecolor="#000000">
              <v:stroke dashstyle="solid"/>
            </v:line>
            <v:line style="position:absolute" from="7130,2453" to="7199,2453" stroked="true" strokeweight=".082439pt" strokecolor="#000000">
              <v:stroke dashstyle="solid"/>
            </v:line>
            <v:line style="position:absolute" from="7130,1909" to="7199,1909" stroked="true" strokeweight=".082439pt" strokecolor="#000000">
              <v:stroke dashstyle="solid"/>
            </v:line>
            <v:line style="position:absolute" from="7130,1363" to="7199,1363" stroked="true" strokeweight=".082439pt" strokecolor="#000000">
              <v:stroke dashstyle="solid"/>
            </v:line>
            <v:line style="position:absolute" from="7130,819" to="7199,819" stroked="true" strokeweight=".082439pt" strokecolor="#000000">
              <v:stroke dashstyle="solid"/>
            </v:line>
            <v:shape style="position:absolute;left:426;top:1188;width:6641;height:3444" coordorigin="426,1188" coordsize="6641,3444" path="m426,4632l621,2796,816,2968,1013,2889,1208,2586,1403,2104,1598,1957,1793,2289,1989,2424,2184,2378,2380,2028,2575,1188,2770,2400,2966,2626,3161,1317,3356,1935,3551,2028,3747,2288,3942,2312,4138,1796,4333,1704,4528,1530,4723,1906,4918,2169,5115,2619,5310,2178,5505,2292,5700,2547,5895,2576,6090,2643,6285,2692,6482,3032,6677,4632,6872,4632,7067,4632e" filled="false" stroked="true" strokeweight="1.695974pt" strokecolor="#000080">
              <v:path arrowok="t"/>
              <v:stroke dashstyle="solid"/>
            </v:shape>
            <v:shape style="position:absolute;left:366;top:4572;width:119;height:119" type="#_x0000_t75" stroked="false">
              <v:imagedata r:id="rId10" o:title=""/>
            </v:shape>
            <v:shape style="position:absolute;left:562;top:2736;width:119;height:119" type="#_x0000_t75" stroked="false">
              <v:imagedata r:id="rId10" o:title=""/>
            </v:shape>
            <v:shape style="position:absolute;left:757;top:2908;width:119;height:119" type="#_x0000_t75" stroked="false">
              <v:imagedata r:id="rId10" o:title=""/>
            </v:shape>
            <v:shape style="position:absolute;left:953;top:2829;width:119;height:119" type="#_x0000_t75" stroked="false">
              <v:imagedata r:id="rId11" o:title=""/>
            </v:shape>
            <v:shape style="position:absolute;left:1148;top:2526;width:119;height:119" type="#_x0000_t75" stroked="false">
              <v:imagedata r:id="rId11" o:title=""/>
            </v:shape>
            <v:shape style="position:absolute;left:1343;top:2044;width:119;height:119" type="#_x0000_t75" stroked="false">
              <v:imagedata r:id="rId11" o:title=""/>
            </v:shape>
            <v:shape style="position:absolute;left:1539;top:1897;width:119;height:119" type="#_x0000_t75" stroked="false">
              <v:imagedata r:id="rId11" o:title=""/>
            </v:shape>
            <v:shape style="position:absolute;left:1734;top:2230;width:119;height:119" type="#_x0000_t75" stroked="false">
              <v:imagedata r:id="rId11" o:title=""/>
            </v:shape>
            <v:shape style="position:absolute;left:1929;top:2364;width:119;height:119" type="#_x0000_t75" stroked="false">
              <v:imagedata r:id="rId11" o:title=""/>
            </v:shape>
            <v:shape style="position:absolute;left:2124;top:2319;width:119;height:119" type="#_x0000_t75" stroked="false">
              <v:imagedata r:id="rId11" o:title=""/>
            </v:shape>
            <v:shape style="position:absolute;left:2320;top:1968;width:119;height:119" type="#_x0000_t75" stroked="false">
              <v:imagedata r:id="rId12" o:title=""/>
            </v:shape>
            <v:shape style="position:absolute;left:2515;top:1128;width:119;height:119" type="#_x0000_t75" stroked="false">
              <v:imagedata r:id="rId10" o:title=""/>
            </v:shape>
            <v:shape style="position:absolute;left:2710;top:2340;width:119;height:119" type="#_x0000_t75" stroked="false">
              <v:imagedata r:id="rId10" o:title=""/>
            </v:shape>
            <v:shape style="position:absolute;left:2906;top:2566;width:119;height:119" type="#_x0000_t75" stroked="false">
              <v:imagedata r:id="rId10" o:title=""/>
            </v:shape>
            <v:shape style="position:absolute;left:3101;top:1257;width:119;height:119" type="#_x0000_t75" stroked="false">
              <v:imagedata r:id="rId10" o:title=""/>
            </v:shape>
            <v:shape style="position:absolute;left:3296;top:1875;width:119;height:119" type="#_x0000_t75" stroked="false">
              <v:imagedata r:id="rId10" o:title=""/>
            </v:shape>
            <v:shape style="position:absolute;left:3491;top:1968;width:119;height:119" type="#_x0000_t75" stroked="false">
              <v:imagedata r:id="rId12" o:title=""/>
            </v:shape>
            <v:shape style="position:absolute;left:3688;top:2228;width:119;height:119" type="#_x0000_t75" stroked="false">
              <v:imagedata r:id="rId10" o:title=""/>
            </v:shape>
            <v:shape style="position:absolute;left:3883;top:2252;width:119;height:119" type="#_x0000_t75" stroked="false">
              <v:imagedata r:id="rId12" o:title=""/>
            </v:shape>
            <v:shape style="position:absolute;left:4078;top:1736;width:119;height:119" type="#_x0000_t75" stroked="false">
              <v:imagedata r:id="rId10" o:title=""/>
            </v:shape>
            <v:shape style="position:absolute;left:4273;top:1644;width:119;height:119" type="#_x0000_t75" stroked="false">
              <v:imagedata r:id="rId10" o:title=""/>
            </v:shape>
            <v:shape style="position:absolute;left:4468;top:1470;width:119;height:119" type="#_x0000_t75" stroked="false">
              <v:imagedata r:id="rId10" o:title=""/>
            </v:shape>
            <v:shape style="position:absolute;left:4663;top:1847;width:119;height:119" type="#_x0000_t75" stroked="false">
              <v:imagedata r:id="rId13" o:title=""/>
            </v:shape>
            <v:shape style="position:absolute;left:4858;top:2109;width:119;height:119" type="#_x0000_t75" stroked="false">
              <v:imagedata r:id="rId10" o:title=""/>
            </v:shape>
            <v:shape style="position:absolute;left:5055;top:2559;width:119;height:119" type="#_x0000_t75" stroked="false">
              <v:imagedata r:id="rId10" o:title=""/>
            </v:shape>
            <v:shape style="position:absolute;left:5250;top:2118;width:119;height:119" type="#_x0000_t75" stroked="false">
              <v:imagedata r:id="rId12" o:title=""/>
            </v:shape>
            <v:shape style="position:absolute;left:5445;top:2232;width:119;height:119" type="#_x0000_t75" stroked="false">
              <v:imagedata r:id="rId10" o:title=""/>
            </v:shape>
            <v:shape style="position:absolute;left:5640;top:2487;width:119;height:119" type="#_x0000_t75" stroked="false">
              <v:imagedata r:id="rId10" o:title=""/>
            </v:shape>
            <v:shape style="position:absolute;left:5835;top:2516;width:119;height:119" type="#_x0000_t75" stroked="false">
              <v:imagedata r:id="rId10" o:title=""/>
            </v:shape>
            <v:shape style="position:absolute;left:6030;top:2583;width:119;height:119" type="#_x0000_t75" stroked="false">
              <v:imagedata r:id="rId12" o:title=""/>
            </v:shape>
            <v:shape style="position:absolute;left:6225;top:2632;width:119;height:120" type="#_x0000_t75" stroked="false">
              <v:imagedata r:id="rId14" o:title=""/>
            </v:shape>
            <v:shape style="position:absolute;left:6422;top:2972;width:119;height:119" type="#_x0000_t75" stroked="false">
              <v:imagedata r:id="rId11" o:title=""/>
            </v:shape>
            <v:shape style="position:absolute;left:6617;top:4572;width:120;height:119" type="#_x0000_t75" stroked="false">
              <v:imagedata r:id="rId15" o:title=""/>
            </v:shape>
            <v:shape style="position:absolute;left:6812;top:4572;width:119;height:119" type="#_x0000_t75" stroked="false">
              <v:imagedata r:id="rId10" o:title=""/>
            </v:shape>
            <v:shape style="position:absolute;left:7007;top:4572;width:119;height:119" type="#_x0000_t75" stroked="false">
              <v:imagedata r:id="rId10" o:title=""/>
            </v:shape>
            <v:rect style="position:absolute;left:7557;top:2550;width:946;height:348" filled="true" fillcolor="#ffffff" stroked="false">
              <v:fill type="solid"/>
            </v:rect>
            <v:rect style="position:absolute;left:7557;top:2550;width:946;height:348" filled="false" stroked="true" strokeweight=".082441pt" strokecolor="#000000">
              <v:stroke dashstyle="solid"/>
            </v:rect>
            <v:line style="position:absolute" from="7597,2640" to="7845,2640" stroked="true" strokeweight="3.533095pt" strokecolor="#ffcc00">
              <v:stroke dashstyle="solid"/>
            </v:line>
            <v:rect style="position:absolute;left:7597;top:2604;width:248;height:71" filled="false" stroked="true" strokeweight=".565306pt" strokecolor="#000000">
              <v:stroke dashstyle="solid"/>
            </v:rect>
            <v:shape style="position:absolute;left:7686;top:2767;width:71;height:71" coordorigin="7686,2767" coordsize="71,71" path="m7722,2767l7686,2803,7722,2838,7757,2803,7722,2767xe" filled="true" fillcolor="#000080" stroked="false">
              <v:path arrowok="t"/>
              <v:fill type="solid"/>
            </v:shape>
            <v:shape style="position:absolute;left:7686;top:2767;width:71;height:71" coordorigin="7686,2767" coordsize="71,71" path="m7722,2767l7757,2803,7722,2838,7686,2803,7722,2767xe" filled="false" stroked="true" strokeweight=".565365pt" strokecolor="#000080">
              <v:path arrowok="t"/>
              <v:stroke dashstyle="solid"/>
            </v:shape>
            <v:rect style="position:absolute;left:0;top:0;width:8538;height:5211" filled="false" stroked="true" strokeweight=".082444pt" strokecolor="#000000">
              <v:stroke dashstyle="solid"/>
            </v:rect>
            <v:shape style="position:absolute;left:1192;top:144;width:6171;height:336" type="#_x0000_t202" filled="false" stroked="false">
              <v:textbox inset="0,0,0,0">
                <w:txbxContent>
                  <w:p>
                    <w:pPr>
                      <w:spacing w:line="266" w:lineRule="auto" w:before="0"/>
                      <w:ind w:left="1022" w:right="0" w:hanging="1023"/>
                      <w:jc w:val="left"/>
                      <w:rPr>
                        <w:rFonts w:ascii="Arial"/>
                        <w:b/>
                        <w:sz w:val="14"/>
                      </w:rPr>
                    </w:pPr>
                    <w:r>
                      <w:rPr>
                        <w:rFonts w:ascii="Arial"/>
                        <w:b/>
                        <w:sz w:val="14"/>
                      </w:rPr>
                      <w:t>Incidente saptamanale viroze respiratorii raportate *) &amp; frecventa cazuri gripa confirmate cu laboratorul dupa saptamana debutului: 2016 - 2017 Bucuresti</w:t>
                    </w:r>
                  </w:p>
                </w:txbxContent>
              </v:textbox>
              <w10:wrap type="none"/>
            </v:shape>
            <v:shape style="position:absolute;left:111;top:748;width:151;height:132" type="#_x0000_t202" filled="false" stroked="false">
              <v:textbox inset="0,0,0,0">
                <w:txbxContent>
                  <w:p>
                    <w:pPr>
                      <w:spacing w:before="3"/>
                      <w:ind w:left="0" w:right="0" w:firstLine="0"/>
                      <w:jc w:val="left"/>
                      <w:rPr>
                        <w:rFonts w:ascii="Arial"/>
                        <w:sz w:val="11"/>
                      </w:rPr>
                    </w:pPr>
                    <w:r>
                      <w:rPr>
                        <w:rFonts w:ascii="Arial"/>
                        <w:w w:val="105"/>
                        <w:sz w:val="11"/>
                      </w:rPr>
                      <w:t>20</w:t>
                    </w:r>
                  </w:p>
                </w:txbxContent>
              </v:textbox>
              <w10:wrap type="none"/>
            </v:shape>
            <v:shape style="position:absolute;left:7252;top:748;width:216;height:132" type="#_x0000_t202" filled="false" stroked="false">
              <v:textbox inset="0,0,0,0">
                <w:txbxContent>
                  <w:p>
                    <w:pPr>
                      <w:spacing w:before="3"/>
                      <w:ind w:left="0" w:right="0" w:firstLine="0"/>
                      <w:jc w:val="left"/>
                      <w:rPr>
                        <w:rFonts w:ascii="Arial"/>
                        <w:sz w:val="11"/>
                      </w:rPr>
                    </w:pPr>
                    <w:r>
                      <w:rPr>
                        <w:rFonts w:ascii="Arial"/>
                        <w:w w:val="105"/>
                        <w:sz w:val="11"/>
                      </w:rPr>
                      <w:t>140</w:t>
                    </w:r>
                  </w:p>
                </w:txbxContent>
              </v:textbox>
              <w10:wrap type="none"/>
            </v:shape>
            <v:shape style="position:absolute;left:1212;top:1021;width:1551;height:132" type="#_x0000_t202" filled="false" stroked="false">
              <v:textbox inset="0,0,0,0">
                <w:txbxContent>
                  <w:p>
                    <w:pPr>
                      <w:spacing w:before="3"/>
                      <w:ind w:left="0" w:right="0" w:firstLine="0"/>
                      <w:jc w:val="left"/>
                      <w:rPr>
                        <w:rFonts w:ascii="Arial"/>
                        <w:sz w:val="11"/>
                      </w:rPr>
                    </w:pPr>
                    <w:r>
                      <w:rPr>
                        <w:rFonts w:ascii="Arial"/>
                        <w:w w:val="105"/>
                        <w:sz w:val="11"/>
                      </w:rPr>
                      <w:t>*) IACRS, pneumonie si gripa</w:t>
                    </w:r>
                  </w:p>
                </w:txbxContent>
              </v:textbox>
              <w10:wrap type="none"/>
            </v:shape>
            <v:shape style="position:absolute;left:111;top:1130;width:151;height:132" type="#_x0000_t202" filled="false" stroked="false">
              <v:textbox inset="0,0,0,0">
                <w:txbxContent>
                  <w:p>
                    <w:pPr>
                      <w:spacing w:before="3"/>
                      <w:ind w:left="0" w:right="0" w:firstLine="0"/>
                      <w:jc w:val="left"/>
                      <w:rPr>
                        <w:rFonts w:ascii="Arial"/>
                        <w:sz w:val="11"/>
                      </w:rPr>
                    </w:pPr>
                    <w:r>
                      <w:rPr>
                        <w:rFonts w:ascii="Arial"/>
                        <w:w w:val="105"/>
                        <w:sz w:val="11"/>
                      </w:rPr>
                      <w:t>18</w:t>
                    </w:r>
                  </w:p>
                </w:txbxContent>
              </v:textbox>
              <w10:wrap type="none"/>
            </v:shape>
            <v:shape style="position:absolute;left:7252;top:1292;width:216;height:132" type="#_x0000_t202" filled="false" stroked="false">
              <v:textbox inset="0,0,0,0">
                <w:txbxContent>
                  <w:p>
                    <w:pPr>
                      <w:spacing w:before="3"/>
                      <w:ind w:left="0" w:right="0" w:firstLine="0"/>
                      <w:jc w:val="left"/>
                      <w:rPr>
                        <w:rFonts w:ascii="Arial"/>
                        <w:sz w:val="11"/>
                      </w:rPr>
                    </w:pPr>
                    <w:r>
                      <w:rPr>
                        <w:rFonts w:ascii="Arial"/>
                        <w:w w:val="105"/>
                        <w:sz w:val="11"/>
                      </w:rPr>
                      <w:t>120</w:t>
                    </w:r>
                  </w:p>
                </w:txbxContent>
              </v:textbox>
              <w10:wrap type="none"/>
            </v:shape>
            <v:shape style="position:absolute;left:111;top:1511;width:151;height:512" type="#_x0000_t202" filled="false" stroked="false">
              <v:textbox inset="0,0,0,0">
                <w:txbxContent>
                  <w:p>
                    <w:pPr>
                      <w:spacing w:before="3"/>
                      <w:ind w:left="0" w:right="0" w:firstLine="0"/>
                      <w:jc w:val="left"/>
                      <w:rPr>
                        <w:rFonts w:ascii="Arial"/>
                        <w:sz w:val="11"/>
                      </w:rPr>
                    </w:pPr>
                    <w:r>
                      <w:rPr>
                        <w:rFonts w:ascii="Arial"/>
                        <w:w w:val="105"/>
                        <w:sz w:val="11"/>
                      </w:rPr>
                      <w:t>16</w:t>
                    </w:r>
                  </w:p>
                  <w:p>
                    <w:pPr>
                      <w:spacing w:line="240" w:lineRule="auto" w:before="0"/>
                      <w:rPr>
                        <w:rFonts w:ascii="Arial"/>
                        <w:sz w:val="12"/>
                      </w:rPr>
                    </w:pPr>
                  </w:p>
                  <w:p>
                    <w:pPr>
                      <w:spacing w:line="240" w:lineRule="auto" w:before="0"/>
                      <w:rPr>
                        <w:rFonts w:ascii="Arial"/>
                        <w:sz w:val="10"/>
                      </w:rPr>
                    </w:pPr>
                  </w:p>
                  <w:p>
                    <w:pPr>
                      <w:spacing w:before="0"/>
                      <w:ind w:left="0" w:right="0" w:firstLine="0"/>
                      <w:jc w:val="left"/>
                      <w:rPr>
                        <w:rFonts w:ascii="Arial"/>
                        <w:sz w:val="11"/>
                      </w:rPr>
                    </w:pPr>
                    <w:r>
                      <w:rPr>
                        <w:rFonts w:ascii="Arial"/>
                        <w:w w:val="105"/>
                        <w:sz w:val="11"/>
                      </w:rPr>
                      <w:t>14</w:t>
                    </w:r>
                  </w:p>
                </w:txbxContent>
              </v:textbox>
              <w10:wrap type="none"/>
            </v:shape>
            <v:shape style="position:absolute;left:7252;top:1838;width:216;height:132" type="#_x0000_t202" filled="false" stroked="false">
              <v:textbox inset="0,0,0,0">
                <w:txbxContent>
                  <w:p>
                    <w:pPr>
                      <w:spacing w:before="3"/>
                      <w:ind w:left="0" w:right="0" w:firstLine="0"/>
                      <w:jc w:val="left"/>
                      <w:rPr>
                        <w:rFonts w:ascii="Arial"/>
                        <w:sz w:val="11"/>
                      </w:rPr>
                    </w:pPr>
                    <w:r>
                      <w:rPr>
                        <w:rFonts w:ascii="Arial"/>
                        <w:w w:val="105"/>
                        <w:sz w:val="11"/>
                      </w:rPr>
                      <w:t>100</w:t>
                    </w:r>
                  </w:p>
                </w:txbxContent>
              </v:textbox>
              <w10:wrap type="none"/>
            </v:shape>
            <v:shape style="position:absolute;left:111;top:2273;width:151;height:132" type="#_x0000_t202" filled="false" stroked="false">
              <v:textbox inset="0,0,0,0">
                <w:txbxContent>
                  <w:p>
                    <w:pPr>
                      <w:spacing w:before="3"/>
                      <w:ind w:left="0" w:right="0" w:firstLine="0"/>
                      <w:jc w:val="left"/>
                      <w:rPr>
                        <w:rFonts w:ascii="Arial"/>
                        <w:sz w:val="11"/>
                      </w:rPr>
                    </w:pPr>
                    <w:r>
                      <w:rPr>
                        <w:rFonts w:ascii="Arial"/>
                        <w:w w:val="105"/>
                        <w:sz w:val="11"/>
                      </w:rPr>
                      <w:t>12</w:t>
                    </w:r>
                  </w:p>
                </w:txbxContent>
              </v:textbox>
              <w10:wrap type="none"/>
            </v:shape>
            <v:shape style="position:absolute;left:7252;top:2382;width:151;height:132" type="#_x0000_t202" filled="false" stroked="false">
              <v:textbox inset="0,0,0,0">
                <w:txbxContent>
                  <w:p>
                    <w:pPr>
                      <w:spacing w:before="3"/>
                      <w:ind w:left="0" w:right="0" w:firstLine="0"/>
                      <w:jc w:val="left"/>
                      <w:rPr>
                        <w:rFonts w:ascii="Arial"/>
                        <w:sz w:val="11"/>
                      </w:rPr>
                    </w:pPr>
                    <w:r>
                      <w:rPr>
                        <w:rFonts w:ascii="Arial"/>
                        <w:w w:val="105"/>
                        <w:sz w:val="11"/>
                      </w:rPr>
                      <w:t>80</w:t>
                    </w:r>
                  </w:p>
                </w:txbxContent>
              </v:textbox>
              <w10:wrap type="none"/>
            </v:shape>
            <v:shape style="position:absolute;left:111;top:2655;width:151;height:132" type="#_x0000_t202" filled="false" stroked="false">
              <v:textbox inset="0,0,0,0">
                <w:txbxContent>
                  <w:p>
                    <w:pPr>
                      <w:spacing w:before="3"/>
                      <w:ind w:left="0" w:right="0" w:firstLine="0"/>
                      <w:jc w:val="left"/>
                      <w:rPr>
                        <w:rFonts w:ascii="Arial"/>
                        <w:sz w:val="11"/>
                      </w:rPr>
                    </w:pPr>
                    <w:r>
                      <w:rPr>
                        <w:rFonts w:ascii="Arial"/>
                        <w:w w:val="105"/>
                        <w:sz w:val="11"/>
                      </w:rPr>
                      <w:t>10</w:t>
                    </w:r>
                  </w:p>
                </w:txbxContent>
              </v:textbox>
              <w10:wrap type="none"/>
            </v:shape>
            <v:shape style="position:absolute;left:7252;top:2928;width:151;height:132" type="#_x0000_t202" filled="false" stroked="false">
              <v:textbox inset="0,0,0,0">
                <w:txbxContent>
                  <w:p>
                    <w:pPr>
                      <w:spacing w:before="3"/>
                      <w:ind w:left="0" w:right="0" w:firstLine="0"/>
                      <w:jc w:val="left"/>
                      <w:rPr>
                        <w:rFonts w:ascii="Arial"/>
                        <w:sz w:val="11"/>
                      </w:rPr>
                    </w:pPr>
                    <w:r>
                      <w:rPr>
                        <w:rFonts w:ascii="Arial"/>
                        <w:w w:val="105"/>
                        <w:sz w:val="11"/>
                      </w:rPr>
                      <w:t>60</w:t>
                    </w:r>
                  </w:p>
                </w:txbxContent>
              </v:textbox>
              <w10:wrap type="none"/>
            </v:shape>
            <v:shape style="position:absolute;left:176;top:3037;width:86;height:513" type="#_x0000_t202" filled="false" stroked="false">
              <v:textbox inset="0,0,0,0">
                <w:txbxContent>
                  <w:p>
                    <w:pPr>
                      <w:spacing w:before="3"/>
                      <w:ind w:left="0" w:right="0" w:firstLine="0"/>
                      <w:jc w:val="left"/>
                      <w:rPr>
                        <w:rFonts w:ascii="Arial"/>
                        <w:sz w:val="11"/>
                      </w:rPr>
                    </w:pPr>
                    <w:r>
                      <w:rPr>
                        <w:rFonts w:ascii="Arial"/>
                        <w:w w:val="106"/>
                        <w:sz w:val="11"/>
                      </w:rPr>
                      <w:t>8</w:t>
                    </w:r>
                  </w:p>
                  <w:p>
                    <w:pPr>
                      <w:spacing w:line="240" w:lineRule="auto" w:before="0"/>
                      <w:rPr>
                        <w:rFonts w:ascii="Arial"/>
                        <w:sz w:val="12"/>
                      </w:rPr>
                    </w:pPr>
                  </w:p>
                  <w:p>
                    <w:pPr>
                      <w:spacing w:line="240" w:lineRule="auto" w:before="2"/>
                      <w:rPr>
                        <w:rFonts w:ascii="Arial"/>
                        <w:sz w:val="10"/>
                      </w:rPr>
                    </w:pPr>
                  </w:p>
                  <w:p>
                    <w:pPr>
                      <w:spacing w:before="0"/>
                      <w:ind w:left="0" w:right="0" w:firstLine="0"/>
                      <w:jc w:val="left"/>
                      <w:rPr>
                        <w:rFonts w:ascii="Arial"/>
                        <w:sz w:val="11"/>
                      </w:rPr>
                    </w:pPr>
                    <w:r>
                      <w:rPr>
                        <w:rFonts w:ascii="Arial"/>
                        <w:w w:val="106"/>
                        <w:sz w:val="11"/>
                      </w:rPr>
                      <w:t>6</w:t>
                    </w:r>
                  </w:p>
                </w:txbxContent>
              </v:textbox>
              <w10:wrap type="none"/>
            </v:shape>
            <v:shape style="position:absolute;left:7252;top:3472;width:151;height:132" type="#_x0000_t202" filled="false" stroked="false">
              <v:textbox inset="0,0,0,0">
                <w:txbxContent>
                  <w:p>
                    <w:pPr>
                      <w:spacing w:before="3"/>
                      <w:ind w:left="0" w:right="0" w:firstLine="0"/>
                      <w:jc w:val="left"/>
                      <w:rPr>
                        <w:rFonts w:ascii="Arial"/>
                        <w:sz w:val="11"/>
                      </w:rPr>
                    </w:pPr>
                    <w:r>
                      <w:rPr>
                        <w:rFonts w:ascii="Arial"/>
                        <w:w w:val="105"/>
                        <w:sz w:val="11"/>
                      </w:rPr>
                      <w:t>40</w:t>
                    </w:r>
                  </w:p>
                </w:txbxContent>
              </v:textbox>
              <w10:wrap type="none"/>
            </v:shape>
            <v:shape style="position:absolute;left:176;top:3799;width:86;height:132" type="#_x0000_t202" filled="false" stroked="false">
              <v:textbox inset="0,0,0,0">
                <w:txbxContent>
                  <w:p>
                    <w:pPr>
                      <w:spacing w:before="3"/>
                      <w:ind w:left="0" w:right="0" w:firstLine="0"/>
                      <w:jc w:val="left"/>
                      <w:rPr>
                        <w:rFonts w:ascii="Arial"/>
                        <w:sz w:val="11"/>
                      </w:rPr>
                    </w:pPr>
                    <w:r>
                      <w:rPr>
                        <w:rFonts w:ascii="Arial"/>
                        <w:w w:val="106"/>
                        <w:sz w:val="11"/>
                      </w:rPr>
                      <w:t>4</w:t>
                    </w:r>
                  </w:p>
                </w:txbxContent>
              </v:textbox>
              <w10:wrap type="none"/>
            </v:shape>
            <v:shape style="position:absolute;left:7252;top:4018;width:151;height:132" type="#_x0000_t202" filled="false" stroked="false">
              <v:textbox inset="0,0,0,0">
                <w:txbxContent>
                  <w:p>
                    <w:pPr>
                      <w:spacing w:before="3"/>
                      <w:ind w:left="0" w:right="0" w:firstLine="0"/>
                      <w:jc w:val="left"/>
                      <w:rPr>
                        <w:rFonts w:ascii="Arial"/>
                        <w:sz w:val="11"/>
                      </w:rPr>
                    </w:pPr>
                    <w:r>
                      <w:rPr>
                        <w:rFonts w:ascii="Arial"/>
                        <w:w w:val="105"/>
                        <w:sz w:val="11"/>
                      </w:rPr>
                      <w:t>20</w:t>
                    </w:r>
                  </w:p>
                </w:txbxContent>
              </v:textbox>
              <w10:wrap type="none"/>
            </v:shape>
            <v:shape style="position:absolute;left:176;top:4180;width:86;height:513" type="#_x0000_t202" filled="false" stroked="false">
              <v:textbox inset="0,0,0,0">
                <w:txbxContent>
                  <w:p>
                    <w:pPr>
                      <w:spacing w:before="3"/>
                      <w:ind w:left="0" w:right="0" w:firstLine="0"/>
                      <w:jc w:val="left"/>
                      <w:rPr>
                        <w:rFonts w:ascii="Arial"/>
                        <w:sz w:val="11"/>
                      </w:rPr>
                    </w:pPr>
                    <w:r>
                      <w:rPr>
                        <w:rFonts w:ascii="Arial"/>
                        <w:w w:val="106"/>
                        <w:sz w:val="11"/>
                      </w:rPr>
                      <w:t>2</w:t>
                    </w:r>
                  </w:p>
                  <w:p>
                    <w:pPr>
                      <w:spacing w:line="240" w:lineRule="auto" w:before="0"/>
                      <w:rPr>
                        <w:rFonts w:ascii="Arial"/>
                        <w:sz w:val="12"/>
                      </w:rPr>
                    </w:pPr>
                  </w:p>
                  <w:p>
                    <w:pPr>
                      <w:spacing w:line="240" w:lineRule="auto" w:before="2"/>
                      <w:rPr>
                        <w:rFonts w:ascii="Arial"/>
                        <w:sz w:val="10"/>
                      </w:rPr>
                    </w:pPr>
                  </w:p>
                  <w:p>
                    <w:pPr>
                      <w:spacing w:before="0"/>
                      <w:ind w:left="0" w:right="0" w:firstLine="0"/>
                      <w:jc w:val="left"/>
                      <w:rPr>
                        <w:rFonts w:ascii="Arial"/>
                        <w:sz w:val="11"/>
                      </w:rPr>
                    </w:pPr>
                    <w:r>
                      <w:rPr>
                        <w:rFonts w:ascii="Arial"/>
                        <w:w w:val="106"/>
                        <w:sz w:val="11"/>
                      </w:rPr>
                      <w:t>0</w:t>
                    </w:r>
                  </w:p>
                </w:txbxContent>
              </v:textbox>
              <w10:wrap type="none"/>
            </v:shape>
            <v:shape style="position:absolute;left:7252;top:4562;width:86;height:132" type="#_x0000_t202" filled="false" stroked="false">
              <v:textbox inset="0,0,0,0">
                <w:txbxContent>
                  <w:p>
                    <w:pPr>
                      <w:spacing w:before="3"/>
                      <w:ind w:left="0" w:right="0" w:firstLine="0"/>
                      <w:jc w:val="left"/>
                      <w:rPr>
                        <w:rFonts w:ascii="Arial"/>
                        <w:sz w:val="11"/>
                      </w:rPr>
                    </w:pPr>
                    <w:r>
                      <w:rPr>
                        <w:rFonts w:ascii="Arial"/>
                        <w:w w:val="106"/>
                        <w:sz w:val="11"/>
                      </w:rPr>
                      <w:t>0</w:t>
                    </w:r>
                  </w:p>
                </w:txbxContent>
              </v:textbox>
              <w10:wrap type="none"/>
            </v:shape>
            <v:shape style="position:absolute;left:7557;top:2550;width:946;height:348" type="#_x0000_t202" filled="false" stroked="false">
              <v:textbox inset="0,0,0,0">
                <w:txbxContent>
                  <w:p>
                    <w:pPr>
                      <w:tabs>
                        <w:tab w:pos="315" w:val="left" w:leader="none"/>
                      </w:tabs>
                      <w:spacing w:before="26"/>
                      <w:ind w:left="39" w:right="0" w:firstLine="0"/>
                      <w:jc w:val="left"/>
                      <w:rPr>
                        <w:rFonts w:ascii="Arial"/>
                        <w:sz w:val="11"/>
                      </w:rPr>
                    </w:pPr>
                    <w:r>
                      <w:rPr>
                        <w:rFonts w:ascii="Arial"/>
                        <w:w w:val="106"/>
                        <w:sz w:val="11"/>
                        <w:u w:val="thick" w:color="000080"/>
                      </w:rPr>
                      <w:t> </w:t>
                    </w:r>
                    <w:r>
                      <w:rPr>
                        <w:rFonts w:ascii="Arial"/>
                        <w:sz w:val="11"/>
                        <w:u w:val="thick" w:color="000080"/>
                      </w:rPr>
                      <w:tab/>
                    </w:r>
                    <w:r>
                      <w:rPr>
                        <w:rFonts w:ascii="Arial"/>
                        <w:w w:val="105"/>
                        <w:sz w:val="11"/>
                      </w:rPr>
                      <w:t>Virusuri</w:t>
                    </w:r>
                  </w:p>
                  <w:p>
                    <w:pPr>
                      <w:spacing w:before="48"/>
                      <w:ind w:left="315" w:right="0" w:firstLine="0"/>
                      <w:jc w:val="left"/>
                      <w:rPr>
                        <w:rFonts w:ascii="Arial"/>
                        <w:sz w:val="11"/>
                      </w:rPr>
                    </w:pPr>
                    <w:r>
                      <w:rPr>
                        <w:rFonts w:ascii="Arial"/>
                        <w:w w:val="105"/>
                        <w:sz w:val="11"/>
                      </w:rPr>
                      <w:t>2016_2017</w:t>
                    </w:r>
                  </w:p>
                </w:txbxContent>
              </v:textbox>
              <w10:wrap type="none"/>
            </v:shape>
          </v:group>
        </w:pict>
      </w:r>
      <w:r>
        <w:rPr>
          <w:sz w:val="20"/>
        </w:rPr>
      </w:r>
    </w:p>
    <w:p>
      <w:pPr>
        <w:pStyle w:val="BodyText"/>
        <w:spacing w:before="1"/>
        <w:ind w:left="0"/>
        <w:rPr>
          <w:sz w:val="14"/>
        </w:rPr>
      </w:pPr>
    </w:p>
    <w:p>
      <w:pPr>
        <w:pStyle w:val="BodyText"/>
        <w:spacing w:before="90"/>
        <w:ind w:left="233"/>
      </w:pPr>
      <w:r>
        <w:rPr/>
        <w:pict>
          <v:shape style="position:absolute;margin-left:68.332581pt;margin-top:-29.196516pt;width:10.45pt;height:5.9pt;mso-position-horizontal-relative:page;mso-position-vertical-relative:paragraph;z-index:-265504768;rotation:316" type="#_x0000_t136" fillcolor="#000000" stroked="f">
            <o:extrusion v:ext="view" autorotationcenter="t"/>
            <v:textpath style="font-family:&quot;Arial&quot;;font-size:5pt;v-text-kern:t;mso-text-shadow:auto" string="S40"/>
            <w10:wrap type="none"/>
          </v:shape>
        </w:pict>
      </w:r>
      <w:r>
        <w:rPr/>
        <w:pict>
          <v:shape style="position:absolute;margin-left:78.086327pt;margin-top:-29.196516pt;width:10.45pt;height:5.9pt;mso-position-horizontal-relative:page;mso-position-vertical-relative:paragraph;z-index:-265503744;rotation:316" type="#_x0000_t136" fillcolor="#000000" stroked="f">
            <o:extrusion v:ext="view" autorotationcenter="t"/>
            <v:textpath style="font-family:&quot;Arial&quot;;font-size:5pt;v-text-kern:t;mso-text-shadow:auto" string="S41"/>
            <w10:wrap type="none"/>
          </v:shape>
        </w:pict>
      </w:r>
      <w:r>
        <w:rPr/>
        <w:pict>
          <v:shape style="position:absolute;margin-left:87.84008pt;margin-top:-29.196516pt;width:10.45pt;height:5.9pt;mso-position-horizontal-relative:page;mso-position-vertical-relative:paragraph;z-index:-265502720;rotation:316" type="#_x0000_t136" fillcolor="#000000" stroked="f">
            <o:extrusion v:ext="view" autorotationcenter="t"/>
            <v:textpath style="font-family:&quot;Arial&quot;;font-size:5pt;v-text-kern:t;mso-text-shadow:auto" string="S42"/>
            <w10:wrap type="none"/>
          </v:shape>
        </w:pict>
      </w:r>
      <w:r>
        <w:rPr/>
        <w:pict>
          <v:shape style="position:absolute;margin-left:97.664513pt;margin-top:-29.196516pt;width:10.45pt;height:5.9pt;mso-position-horizontal-relative:page;mso-position-vertical-relative:paragraph;z-index:-265501696;rotation:316" type="#_x0000_t136" fillcolor="#000000" stroked="f">
            <o:extrusion v:ext="view" autorotationcenter="t"/>
            <v:textpath style="font-family:&quot;Arial&quot;;font-size:5pt;v-text-kern:t;mso-text-shadow:auto" string="S43"/>
            <w10:wrap type="none"/>
          </v:shape>
        </w:pict>
      </w:r>
      <w:r>
        <w:rPr/>
        <w:pict>
          <v:shape style="position:absolute;margin-left:100.524208pt;margin-top:-26.297115pt;width:18.45pt;height:5.9pt;mso-position-horizontal-relative:page;mso-position-vertical-relative:paragraph;z-index:-265500672;rotation:316" type="#_x0000_t136" fillcolor="#000000" stroked="f">
            <o:extrusion v:ext="view" autorotationcenter="t"/>
            <v:textpath style="font-family:&quot;Arial&quot;;font-size:5pt;v-text-kern:t;mso-text-shadow:auto" string="S44/16"/>
            <w10:wrap type="none"/>
          </v:shape>
        </w:pict>
      </w:r>
      <w:r>
        <w:rPr/>
        <w:pict>
          <v:shape style="position:absolute;margin-left:110.292099pt;margin-top:-26.297117pt;width:18.45pt;height:5.9pt;mso-position-horizontal-relative:page;mso-position-vertical-relative:paragraph;z-index:-265499648;rotation:316" type="#_x0000_t136" fillcolor="#000000" stroked="f">
            <o:extrusion v:ext="view" autorotationcenter="t"/>
            <v:textpath style="font-family:&quot;Arial&quot;;font-size:5pt;v-text-kern:t;mso-text-shadow:auto" string="S45/16"/>
            <w10:wrap type="none"/>
          </v:shape>
        </w:pict>
      </w:r>
      <w:r>
        <w:rPr/>
        <w:pict>
          <v:shape style="position:absolute;margin-left:120.043488pt;margin-top:-26.297117pt;width:18.45pt;height:5.9pt;mso-position-horizontal-relative:page;mso-position-vertical-relative:paragraph;z-index:-265498624;rotation:316" type="#_x0000_t136" fillcolor="#000000" stroked="f">
            <o:extrusion v:ext="view" autorotationcenter="t"/>
            <v:textpath style="font-family:&quot;Arial&quot;;font-size:5pt;v-text-kern:t;mso-text-shadow:auto" string="S46/16"/>
            <w10:wrap type="none"/>
          </v:shape>
        </w:pict>
      </w:r>
      <w:r>
        <w:rPr/>
        <w:pict>
          <v:shape style="position:absolute;margin-left:129.797241pt;margin-top:-26.297117pt;width:18.45pt;height:5.9pt;mso-position-horizontal-relative:page;mso-position-vertical-relative:paragraph;z-index:-265497600;rotation:316" type="#_x0000_t136" fillcolor="#000000" stroked="f">
            <o:extrusion v:ext="view" autorotationcenter="t"/>
            <v:textpath style="font-family:&quot;Arial&quot;;font-size:5pt;v-text-kern:t;mso-text-shadow:auto" string="S47/16"/>
            <w10:wrap type="none"/>
          </v:shape>
        </w:pict>
      </w:r>
      <w:r>
        <w:rPr/>
        <w:pict>
          <v:shape style="position:absolute;margin-left:139.550995pt;margin-top:-26.297117pt;width:18.45pt;height:5.9pt;mso-position-horizontal-relative:page;mso-position-vertical-relative:paragraph;z-index:-265496576;rotation:316" type="#_x0000_t136" fillcolor="#000000" stroked="f">
            <o:extrusion v:ext="view" autorotationcenter="t"/>
            <v:textpath style="font-family:&quot;Arial&quot;;font-size:5pt;v-text-kern:t;mso-text-shadow:auto" string="S48/16"/>
            <w10:wrap type="none"/>
          </v:shape>
        </w:pict>
      </w:r>
      <w:r>
        <w:rPr/>
        <w:pict>
          <v:shape style="position:absolute;margin-left:149.304749pt;margin-top:-26.297117pt;width:18.45pt;height:5.9pt;mso-position-horizontal-relative:page;mso-position-vertical-relative:paragraph;z-index:-265495552;rotation:316" type="#_x0000_t136" fillcolor="#000000" stroked="f">
            <o:extrusion v:ext="view" autorotationcenter="t"/>
            <v:textpath style="font-family:&quot;Arial&quot;;font-size:5pt;v-text-kern:t;mso-text-shadow:auto" string="S49/16"/>
            <w10:wrap type="none"/>
          </v:shape>
        </w:pict>
      </w:r>
      <w:r>
        <w:rPr/>
        <w:pict>
          <v:shape style="position:absolute;margin-left:159.129166pt;margin-top:-26.297117pt;width:18.45pt;height:5.9pt;mso-position-horizontal-relative:page;mso-position-vertical-relative:paragraph;z-index:-265494528;rotation:316" type="#_x0000_t136" fillcolor="#000000" stroked="f">
            <o:extrusion v:ext="view" autorotationcenter="t"/>
            <v:textpath style="font-family:&quot;Arial&quot;;font-size:5pt;v-text-kern:t;mso-text-shadow:auto" string="S50/16"/>
            <w10:wrap type="none"/>
          </v:shape>
        </w:pict>
      </w:r>
      <w:r>
        <w:rPr/>
        <w:pict>
          <v:shape style="position:absolute;margin-left:168.882919pt;margin-top:-26.297117pt;width:18.45pt;height:5.9pt;mso-position-horizontal-relative:page;mso-position-vertical-relative:paragraph;z-index:-265493504;rotation:316" type="#_x0000_t136" fillcolor="#000000" stroked="f">
            <o:extrusion v:ext="view" autorotationcenter="t"/>
            <v:textpath style="font-family:&quot;Arial&quot;;font-size:5pt;v-text-kern:t;mso-text-shadow:auto" string="S51/16"/>
            <w10:wrap type="none"/>
          </v:shape>
        </w:pict>
      </w:r>
      <w:r>
        <w:rPr/>
        <w:pict>
          <v:shape style="position:absolute;margin-left:178.636673pt;margin-top:-26.297119pt;width:18.45pt;height:5.9pt;mso-position-horizontal-relative:page;mso-position-vertical-relative:paragraph;z-index:-265492480;rotation:316" type="#_x0000_t136" fillcolor="#000000" stroked="f">
            <o:extrusion v:ext="view" autorotationcenter="t"/>
            <v:textpath style="font-family:&quot;Arial&quot;;font-size:5pt;v-text-kern:t;mso-text-shadow:auto" string="S52/16"/>
            <w10:wrap type="none"/>
          </v:shape>
        </w:pict>
      </w:r>
      <w:r>
        <w:rPr/>
        <w:pict>
          <v:shape style="position:absolute;margin-left:188.390427pt;margin-top:-26.297119pt;width:18.45pt;height:5.9pt;mso-position-horizontal-relative:page;mso-position-vertical-relative:paragraph;z-index:-265491456;rotation:316" type="#_x0000_t136" fillcolor="#000000" stroked="f">
            <o:extrusion v:ext="view" autorotationcenter="t"/>
            <v:textpath style="font-family:&quot;Arial&quot;;font-size:5pt;v-text-kern:t;mso-text-shadow:auto" string="S01/17"/>
            <w10:wrap type="none"/>
          </v:shape>
        </w:pict>
      </w:r>
      <w:r>
        <w:rPr/>
        <w:pict>
          <v:shape style="position:absolute;margin-left:198.16185pt;margin-top:-26.297119pt;width:18.45pt;height:5.9pt;mso-position-horizontal-relative:page;mso-position-vertical-relative:paragraph;z-index:-265490432;rotation:316" type="#_x0000_t136" fillcolor="#000000" stroked="f">
            <o:extrusion v:ext="view" autorotationcenter="t"/>
            <v:textpath style="font-family:&quot;Arial&quot;;font-size:5pt;v-text-kern:t;mso-text-shadow:auto" string="S02/17"/>
            <w10:wrap type="none"/>
          </v:shape>
        </w:pict>
      </w:r>
      <w:r>
        <w:rPr/>
        <w:pict>
          <v:shape style="position:absolute;margin-left:207.915604pt;margin-top:-26.297119pt;width:18.45pt;height:5.9pt;mso-position-horizontal-relative:page;mso-position-vertical-relative:paragraph;z-index:-265489408;rotation:316" type="#_x0000_t136" fillcolor="#000000" stroked="f">
            <o:extrusion v:ext="view" autorotationcenter="t"/>
            <v:textpath style="font-family:&quot;Arial&quot;;font-size:5pt;v-text-kern:t;mso-text-shadow:auto" string="S03/17"/>
            <w10:wrap type="none"/>
          </v:shape>
        </w:pict>
      </w:r>
      <w:r>
        <w:rPr/>
        <w:pict>
          <v:shape style="position:absolute;margin-left:217.669342pt;margin-top:-26.297119pt;width:18.45pt;height:5.9pt;mso-position-horizontal-relative:page;mso-position-vertical-relative:paragraph;z-index:-265488384;rotation:316" type="#_x0000_t136" fillcolor="#000000" stroked="f">
            <o:extrusion v:ext="view" autorotationcenter="t"/>
            <v:textpath style="font-family:&quot;Arial&quot;;font-size:5pt;v-text-kern:t;mso-text-shadow:auto" string="S04/17"/>
            <w10:wrap type="none"/>
          </v:shape>
        </w:pict>
      </w:r>
      <w:r>
        <w:rPr/>
        <w:pict>
          <v:shape style="position:absolute;margin-left:227.493774pt;margin-top:-26.297119pt;width:18.45pt;height:5.9pt;mso-position-horizontal-relative:page;mso-position-vertical-relative:paragraph;z-index:-265487360;rotation:316" type="#_x0000_t136" fillcolor="#000000" stroked="f">
            <o:extrusion v:ext="view" autorotationcenter="t"/>
            <v:textpath style="font-family:&quot;Arial&quot;;font-size:5pt;v-text-kern:t;mso-text-shadow:auto" string="S05/17"/>
            <w10:wrap type="none"/>
          </v:shape>
        </w:pict>
      </w:r>
      <w:r>
        <w:rPr/>
        <w:pict>
          <v:shape style="position:absolute;margin-left:237.247528pt;margin-top:-26.297119pt;width:18.45pt;height:5.9pt;mso-position-horizontal-relative:page;mso-position-vertical-relative:paragraph;z-index:-265486336;rotation:316" type="#_x0000_t136" fillcolor="#000000" stroked="f">
            <o:extrusion v:ext="view" autorotationcenter="t"/>
            <v:textpath style="font-family:&quot;Arial&quot;;font-size:5pt;v-text-kern:t;mso-text-shadow:auto" string="S06/17"/>
            <w10:wrap type="none"/>
          </v:shape>
        </w:pict>
      </w:r>
      <w:r>
        <w:rPr/>
        <w:pict>
          <v:shape style="position:absolute;margin-left:247.001282pt;margin-top:-26.297121pt;width:18.45pt;height:5.9pt;mso-position-horizontal-relative:page;mso-position-vertical-relative:paragraph;z-index:-265485312;rotation:316" type="#_x0000_t136" fillcolor="#000000" stroked="f">
            <o:extrusion v:ext="view" autorotationcenter="t"/>
            <v:textpath style="font-family:&quot;Arial&quot;;font-size:5pt;v-text-kern:t;mso-text-shadow:auto" string="S07/17"/>
            <w10:wrap type="none"/>
          </v:shape>
        </w:pict>
      </w:r>
      <w:r>
        <w:rPr/>
        <w:pict>
          <v:shape style="position:absolute;margin-left:256.755035pt;margin-top:-26.297121pt;width:18.45pt;height:5.9pt;mso-position-horizontal-relative:page;mso-position-vertical-relative:paragraph;z-index:-265484288;rotation:316" type="#_x0000_t136" fillcolor="#000000" stroked="f">
            <o:extrusion v:ext="view" autorotationcenter="t"/>
            <v:textpath style="font-family:&quot;Arial&quot;;font-size:5pt;v-text-kern:t;mso-text-shadow:auto" string="S08/17"/>
            <w10:wrap type="none"/>
          </v:shape>
        </w:pict>
      </w:r>
      <w:r>
        <w:rPr/>
        <w:pict>
          <v:shape style="position:absolute;margin-left:266.508789pt;margin-top:-26.297121pt;width:18.45pt;height:5.9pt;mso-position-horizontal-relative:page;mso-position-vertical-relative:paragraph;z-index:-265483264;rotation:316" type="#_x0000_t136" fillcolor="#000000" stroked="f">
            <o:extrusion v:ext="view" autorotationcenter="t"/>
            <v:textpath style="font-family:&quot;Arial&quot;;font-size:5pt;v-text-kern:t;mso-text-shadow:auto" string="S09/17"/>
            <w10:wrap type="none"/>
          </v:shape>
        </w:pict>
      </w:r>
      <w:r>
        <w:rPr/>
        <w:pict>
          <v:shape style="position:absolute;margin-left:276.262543pt;margin-top:-26.297121pt;width:18.45pt;height:5.9pt;mso-position-horizontal-relative:page;mso-position-vertical-relative:paragraph;z-index:-265482240;rotation:316" type="#_x0000_t136" fillcolor="#000000" stroked="f">
            <o:extrusion v:ext="view" autorotationcenter="t"/>
            <v:textpath style="font-family:&quot;Arial&quot;;font-size:5pt;v-text-kern:t;mso-text-shadow:auto" string="S10/17"/>
            <w10:wrap type="none"/>
          </v:shape>
        </w:pict>
      </w:r>
      <w:r>
        <w:rPr/>
        <w:pict>
          <v:shape style="position:absolute;margin-left:286.016266pt;margin-top:-26.297121pt;width:18.45pt;height:5.9pt;mso-position-horizontal-relative:page;mso-position-vertical-relative:paragraph;z-index:-265481216;rotation:316" type="#_x0000_t136" fillcolor="#000000" stroked="f">
            <o:extrusion v:ext="view" autorotationcenter="t"/>
            <v:textpath style="font-family:&quot;Arial&quot;;font-size:5pt;v-text-kern:t;mso-text-shadow:auto" string="S11/17"/>
            <w10:wrap type="none"/>
          </v:shape>
        </w:pict>
      </w:r>
      <w:r>
        <w:rPr/>
        <w:pict>
          <v:shape style="position:absolute;margin-left:295.852478pt;margin-top:-26.297121pt;width:18.45pt;height:5.9pt;mso-position-horizontal-relative:page;mso-position-vertical-relative:paragraph;z-index:-265480192;rotation:316" type="#_x0000_t136" fillcolor="#000000" stroked="f">
            <o:extrusion v:ext="view" autorotationcenter="t"/>
            <v:textpath style="font-family:&quot;Arial&quot;;font-size:5pt;v-text-kern:t;mso-text-shadow:auto" string="S12/17"/>
            <w10:wrap type="none"/>
          </v:shape>
        </w:pict>
      </w:r>
      <w:r>
        <w:rPr/>
        <w:pict>
          <v:shape style="position:absolute;margin-left:305.606232pt;margin-top:-26.297123pt;width:18.45pt;height:5.9pt;mso-position-horizontal-relative:page;mso-position-vertical-relative:paragraph;z-index:-265479168;rotation:316" type="#_x0000_t136" fillcolor="#000000" stroked="f">
            <o:extrusion v:ext="view" autorotationcenter="t"/>
            <v:textpath style="font-family:&quot;Arial&quot;;font-size:5pt;v-text-kern:t;mso-text-shadow:auto" string="S13/17"/>
            <w10:wrap type="none"/>
          </v:shape>
        </w:pict>
      </w:r>
      <w:r>
        <w:rPr/>
        <w:pict>
          <v:shape style="position:absolute;margin-left:315.359985pt;margin-top:-26.297123pt;width:18.45pt;height:5.9pt;mso-position-horizontal-relative:page;mso-position-vertical-relative:paragraph;z-index:-265478144;rotation:316" type="#_x0000_t136" fillcolor="#000000" stroked="f">
            <o:extrusion v:ext="view" autorotationcenter="t"/>
            <v:textpath style="font-family:&quot;Arial&quot;;font-size:5pt;v-text-kern:t;mso-text-shadow:auto" string="S14/17"/>
            <w10:wrap type="none"/>
          </v:shape>
        </w:pict>
      </w:r>
      <w:r>
        <w:rPr/>
        <w:pict>
          <v:shape style="position:absolute;margin-left:325.113739pt;margin-top:-26.297123pt;width:18.45pt;height:5.9pt;mso-position-horizontal-relative:page;mso-position-vertical-relative:paragraph;z-index:-265477120;rotation:316" type="#_x0000_t136" fillcolor="#000000" stroked="f">
            <o:extrusion v:ext="view" autorotationcenter="t"/>
            <v:textpath style="font-family:&quot;Arial&quot;;font-size:5pt;v-text-kern:t;mso-text-shadow:auto" string="S15/17"/>
            <w10:wrap type="none"/>
          </v:shape>
        </w:pict>
      </w:r>
      <w:r>
        <w:rPr/>
        <w:pict>
          <v:shape style="position:absolute;margin-left:334.867493pt;margin-top:-26.297123pt;width:18.45pt;height:5.9pt;mso-position-horizontal-relative:page;mso-position-vertical-relative:paragraph;z-index:-265476096;rotation:316" type="#_x0000_t136" fillcolor="#000000" stroked="f">
            <o:extrusion v:ext="view" autorotationcenter="t"/>
            <v:textpath style="font-family:&quot;Arial&quot;;font-size:5pt;v-text-kern:t;mso-text-shadow:auto" string="S16/17"/>
            <w10:wrap type="none"/>
          </v:shape>
        </w:pict>
      </w:r>
      <w:r>
        <w:rPr/>
        <w:pict>
          <v:shape style="position:absolute;margin-left:344.621246pt;margin-top:-26.297123pt;width:18.45pt;height:5.9pt;mso-position-horizontal-relative:page;mso-position-vertical-relative:paragraph;z-index:-265475072;rotation:316" type="#_x0000_t136" fillcolor="#000000" stroked="f">
            <o:extrusion v:ext="view" autorotationcenter="t"/>
            <v:textpath style="font-family:&quot;Arial&quot;;font-size:5pt;v-text-kern:t;mso-text-shadow:auto" string="S17/17"/>
            <w10:wrap type="none"/>
          </v:shape>
        </w:pict>
      </w:r>
      <w:r>
        <w:rPr/>
        <w:pict>
          <v:shape style="position:absolute;margin-left:354.375pt;margin-top:-26.297123pt;width:18.45pt;height:5.9pt;mso-position-horizontal-relative:page;mso-position-vertical-relative:paragraph;z-index:-265474048;rotation:316" type="#_x0000_t136" fillcolor="#000000" stroked="f">
            <o:extrusion v:ext="view" autorotationcenter="t"/>
            <v:textpath style="font-family:&quot;Arial&quot;;font-size:5pt;v-text-kern:t;mso-text-shadow:auto" string="S18/17"/>
            <w10:wrap type="none"/>
          </v:shape>
        </w:pict>
      </w:r>
      <w:r>
        <w:rPr/>
        <w:pict>
          <v:shape style="position:absolute;margin-left:364.199432pt;margin-top:-26.297123pt;width:18.45pt;height:5.9pt;mso-position-horizontal-relative:page;mso-position-vertical-relative:paragraph;z-index:-265473024;rotation:316" type="#_x0000_t136" fillcolor="#000000" stroked="f">
            <o:extrusion v:ext="view" autorotationcenter="t"/>
            <v:textpath style="font-family:&quot;Arial&quot;;font-size:5pt;v-text-kern:t;mso-text-shadow:auto" string="S19/17"/>
            <w10:wrap type="none"/>
          </v:shape>
        </w:pict>
      </w:r>
      <w:r>
        <w:rPr/>
        <w:pict>
          <v:shape style="position:absolute;margin-left:373.953186pt;margin-top:-26.297125pt;width:18.45pt;height:5.9pt;mso-position-horizontal-relative:page;mso-position-vertical-relative:paragraph;z-index:-265472000;rotation:316" type="#_x0000_t136" fillcolor="#000000" stroked="f">
            <o:extrusion v:ext="view" autorotationcenter="t"/>
            <v:textpath style="font-family:&quot;Arial&quot;;font-size:5pt;v-text-kern:t;mso-text-shadow:auto" string="S20/17"/>
            <w10:wrap type="none"/>
          </v:shape>
        </w:pict>
      </w:r>
      <w:r>
        <w:rPr/>
        <w:pict>
          <v:shape style="position:absolute;margin-left:383.70694pt;margin-top:-26.297125pt;width:18.45pt;height:5.9pt;mso-position-horizontal-relative:page;mso-position-vertical-relative:paragraph;z-index:-265470976;rotation:316" type="#_x0000_t136" fillcolor="#000000" stroked="f">
            <o:extrusion v:ext="view" autorotationcenter="t"/>
            <v:textpath style="font-family:&quot;Arial&quot;;font-size:5pt;v-text-kern:t;mso-text-shadow:auto" string="S21/17"/>
            <w10:wrap type="none"/>
          </v:shape>
        </w:pict>
      </w:r>
      <w:r>
        <w:rPr/>
        <w:t>Morbiditatea specifica spitalizata (IACRS, pneumonie si gripa), a crescut in perioada saptamanilor S50</w:t>
      </w:r>
    </w:p>
    <w:p>
      <w:pPr>
        <w:pStyle w:val="BodyText"/>
        <w:ind w:left="233" w:right="1697"/>
      </w:pPr>
      <w:r>
        <w:rPr/>
        <w:t>/ 2016 pana in saptamana S17/2017, cu valori maxime (&gt; 5 cazuri la 105 locuitori) in perioada S51/2016 – S03/2017 (vezi diagrama urmatoare) .</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BodyText"/>
        <w:spacing w:before="90"/>
        <w:ind w:left="233" w:right="1068"/>
      </w:pPr>
      <w:r>
        <w:rPr/>
        <w:pict>
          <v:group style="position:absolute;margin-left:59.00119pt;margin-top:-272.100739pt;width:427pt;height:260.55pt;mso-position-horizontal-relative:page;mso-position-vertical-relative:paragraph;z-index:251691008" coordorigin="1180,-5442" coordsize="8540,5211">
            <v:rect style="position:absolute;left:1180;top:-5442;width:8538;height:5209" filled="false" stroked="true" strokeweight=".082455pt" strokecolor="#000000">
              <v:stroke dashstyle="solid"/>
            </v:rect>
            <v:shape style="position:absolute;left:1749;top:-1670;width:7242;height:488" coordorigin="1750,-1670" coordsize="7242,488" path="m8921,-1182l8991,-1182m8688,-1182l8828,-1182m8454,-1182l8593,-1182m8220,-1182l8360,-1182m7987,-1182l8127,-1182m7753,-1182l7894,-1182m7519,-1182l7659,-1182m7286,-1182l7425,-1182m7052,-1182l7192,-1182m6819,-1182l6959,-1182m6584,-1182l6724,-1182m6351,-1182l6491,-1182m6118,-1182l6258,-1182m5884,-1182l6025,-1182m5650,-1182l5790,-1182m5417,-1182l5556,-1182m5183,-1182l5323,-1182m4950,-1182l5090,-1182m4715,-1182l4855,-1182m4482,-1182l4622,-1182m4249,-1182l4389,-1182m4015,-1182l4156,-1182m3781,-1182l3921,-1182m3547,-1182l3687,-1182m3314,-1182l3454,-1182m3081,-1182l3221,-1182m2846,-1182l2986,-1182m2613,-1182l2753,-1182m2380,-1182l2520,-1182m2147,-1182l2287,-1182m1912,-1182l2052,-1182m1750,-1182l1818,-1182m8921,-1670l8991,-1670m8688,-1670l8828,-1670m8454,-1670l8593,-1670m8220,-1670l8360,-1670m7987,-1670l8127,-1670m7753,-1670l7894,-1670m7519,-1670l7659,-1670m7286,-1670l7425,-1670m7052,-1670l7192,-1670m6819,-1670l6959,-1670m6584,-1670l6724,-1670m6351,-1670l6491,-1670m6118,-1670l6258,-1670m5884,-1670l6025,-1670m5650,-1670l5790,-1670m5417,-1670l5556,-1670m5183,-1670l5323,-1670m4950,-1670l5090,-1670m4715,-1670l4855,-1670m4482,-1670l4622,-1670m4249,-1670l4389,-1670m4015,-1670l4156,-1670m3781,-1670l3921,-1670m3547,-1670l3687,-1670m3314,-1670l3454,-1670m3081,-1670l3221,-1670m2846,-1670l2986,-1670m2613,-1670l2753,-1670m2380,-1670l2520,-1670m2147,-1670l2287,-1670m1912,-1670l2052,-1670m1750,-1670l1818,-1670e" filled="false" stroked="true" strokeweight=".082454pt" strokecolor="#000000">
              <v:path arrowok="t"/>
              <v:stroke dashstyle="solid"/>
            </v:shape>
            <v:shape style="position:absolute;left:1749;top:-4113;width:7242;height:1955" coordorigin="1750,-4113" coordsize="7242,1955" path="m8921,-2159l8991,-2159m8688,-2159l8828,-2159m8454,-2159l8593,-2159m8220,-2159l8360,-2159m7987,-2159l8127,-2159m7753,-2159l7894,-2159m7519,-2159l7659,-2159m7286,-2159l7425,-2159m7052,-2159l7192,-2159m6819,-2159l6959,-2159m6584,-2159l6724,-2159m6351,-2159l6491,-2159m6118,-2159l6258,-2159m5884,-2159l6025,-2159m5650,-2159l5790,-2159m5417,-2159l5556,-2159m5183,-2159l5323,-2159m4950,-2159l5090,-2159m4715,-2159l4855,-2159m4482,-2159l4622,-2159m4249,-2159l4389,-2159m4015,-2159l4156,-2159m3781,-2159l3921,-2159m3547,-2159l3687,-2159m3314,-2159l3454,-2159m3081,-2159l3221,-2159m2846,-2159l2986,-2159m2613,-2159l2753,-2159m2380,-2159l2520,-2159m2147,-2159l2287,-2159m1912,-2159l2052,-2159m1750,-2159l1818,-2159m8688,-2647l8991,-2647m8454,-2647l8593,-2647m8220,-2647l8360,-2647m7987,-2647l8127,-2647m7753,-2647l7894,-2647m7286,-2647l7659,-2647m7052,-2647l7192,-2647m6819,-2647l6959,-2647m6584,-2647l6724,-2647m6351,-2647l6491,-2647m5884,-2647l6258,-2647m5650,-2647l5790,-2647m5417,-2647l5556,-2647m5183,-2647l5323,-2647m4950,-2647l5090,-2647m4715,-2647l4855,-2647m4482,-2647l4622,-2647m4249,-2647l4389,-2647m4015,-2647l4156,-2647m1912,-2647l3921,-2647m1750,-2647l1818,-2647m7987,-3136l8991,-3136m7753,-3136l7894,-3136m5417,-3136l7659,-3136m5183,-3136l5323,-3136m4950,-3136l5090,-3136m4715,-3136l4855,-3136m4482,-3136l4622,-3136m4015,-3136l4389,-3136m1750,-3136l3921,-3136m5183,-3625l8991,-3625m4950,-3625l5090,-3625m4715,-3625l4855,-3625m4482,-3625l4622,-3625m1750,-3625l4389,-3625m4715,-4113l8991,-4113m1750,-4113l4622,-4113e" filled="false" stroked="true" strokeweight=".082454pt" strokecolor="#000000">
              <v:path arrowok="t"/>
              <v:stroke dashstyle="solid"/>
            </v:shape>
            <v:line style="position:absolute" from="1750,-4602" to="8991,-4602" stroked="true" strokeweight=".082454pt" strokecolor="#000000">
              <v:stroke dashstyle="solid"/>
            </v:line>
            <v:rect style="position:absolute;left:1749;top:-4603;width:7243;height:3910" filled="false" stroked="true" strokeweight=".565407pt" strokecolor="#808080">
              <v:stroke dashstyle="solid"/>
            </v:rect>
            <v:line style="position:absolute" from="1865,-1481" to="1865,-693" stroked="true" strokeweight="4.664837pt" strokecolor="#9999ff">
              <v:stroke dashstyle="solid"/>
            </v:line>
            <v:rect style="position:absolute;left:1818;top:-1481;width:94;height:788" filled="false" stroked="true" strokeweight=".565434pt" strokecolor="#000000">
              <v:stroke dashstyle="solid"/>
            </v:rect>
            <v:line style="position:absolute" from="2099,-1383" to="2099,-693" stroked="true" strokeweight="4.749653pt" strokecolor="#9999ff">
              <v:stroke dashstyle="solid"/>
            </v:line>
            <v:rect style="position:absolute;left:2051;top:-1384;width:95;height:691" filled="false" stroked="true" strokeweight=".565434pt" strokecolor="#000000">
              <v:stroke dashstyle="solid"/>
            </v:rect>
            <v:line style="position:absolute" from="2333,-1481" to="2333,-693" stroked="true" strokeweight="4.664837pt" strokecolor="#9999ff">
              <v:stroke dashstyle="solid"/>
            </v:line>
            <v:rect style="position:absolute;left:2286;top:-1481;width:94;height:788" filled="false" stroked="true" strokeweight=".565434pt" strokecolor="#000000">
              <v:stroke dashstyle="solid"/>
            </v:rect>
            <v:line style="position:absolute" from="2566,-1334" to="2566,-693" stroked="true" strokeweight="4.664837pt" strokecolor="#9999ff">
              <v:stroke dashstyle="solid"/>
            </v:line>
            <v:rect style="position:absolute;left:2519;top:-1334;width:94;height:641" filled="false" stroked="true" strokeweight=".565434pt" strokecolor="#000000">
              <v:stroke dashstyle="solid"/>
            </v:rect>
            <v:line style="position:absolute" from="2800,-1629" to="2800,-693" stroked="true" strokeweight="4.664837pt" strokecolor="#9999ff">
              <v:stroke dashstyle="solid"/>
            </v:line>
            <v:rect style="position:absolute;left:2753;top:-1630;width:94;height:937" filled="false" stroked="true" strokeweight=".565434pt" strokecolor="#000000">
              <v:stroke dashstyle="solid"/>
            </v:rect>
            <v:line style="position:absolute" from="3034,-1137" to="3034,-693" stroked="true" strokeweight="4.735517pt" strokecolor="#9999ff">
              <v:stroke dashstyle="solid"/>
            </v:line>
            <v:rect style="position:absolute;left:2986;top:-1138;width:95;height:445" filled="false" stroked="true" strokeweight=".565433pt" strokecolor="#000000">
              <v:stroke dashstyle="solid"/>
            </v:rect>
            <v:line style="position:absolute" from="3268,-1679" to="3268,-693" stroked="true" strokeweight="4.664837pt" strokecolor="#9999ff">
              <v:stroke dashstyle="solid"/>
            </v:line>
            <v:rect style="position:absolute;left:3220;top:-1679;width:94;height:986" filled="false" stroked="true" strokeweight=".565435pt" strokecolor="#000000">
              <v:stroke dashstyle="solid"/>
            </v:rect>
            <v:line style="position:absolute" from="3501,-1433" to="3501,-693" stroked="true" strokeweight="4.664837pt" strokecolor="#9999ff">
              <v:stroke dashstyle="solid"/>
            </v:line>
            <v:rect style="position:absolute;left:3454;top:-1433;width:94;height:740" filled="false" stroked="true" strokeweight=".565434pt" strokecolor="#000000">
              <v:stroke dashstyle="solid"/>
            </v:rect>
            <v:line style="position:absolute" from="3734,-1481" to="3734,-693" stroked="true" strokeweight="4.664837pt" strokecolor="#9999ff">
              <v:stroke dashstyle="solid"/>
            </v:line>
            <v:rect style="position:absolute;left:3687;top:-1481;width:94;height:788" filled="false" stroked="true" strokeweight=".565434pt" strokecolor="#000000">
              <v:stroke dashstyle="solid"/>
            </v:rect>
            <v:line style="position:absolute" from="3968,-2121" to="3968,-693" stroked="true" strokeweight="4.735517pt" strokecolor="#9999ff">
              <v:stroke dashstyle="solid"/>
            </v:line>
            <v:rect style="position:absolute;left:3920;top:-2122;width:95;height:1429" filled="false" stroked="true" strokeweight=".565435pt" strokecolor="#000000">
              <v:stroke dashstyle="solid"/>
            </v:rect>
            <v:line style="position:absolute" from="4202,-1728" to="4202,-693" stroked="true" strokeweight="4.664837pt" strokecolor="#9999ff">
              <v:stroke dashstyle="solid"/>
            </v:line>
            <v:rect style="position:absolute;left:4155;top:-1729;width:94;height:1035" filled="false" stroked="true" strokeweight=".565435pt" strokecolor="#000000">
              <v:stroke dashstyle="solid"/>
            </v:rect>
            <v:line style="position:absolute" from="4436,-2367" to="4436,-693" stroked="true" strokeweight="4.664837pt" strokecolor="#9999ff">
              <v:stroke dashstyle="solid"/>
            </v:line>
            <v:rect style="position:absolute;left:4388;top:-2368;width:94;height:1675" filled="false" stroked="true" strokeweight=".565435pt" strokecolor="#000000">
              <v:stroke dashstyle="solid"/>
            </v:rect>
            <v:line style="position:absolute" from="4669,-2615" to="4669,-693" stroked="true" strokeweight="4.664837pt" strokecolor="#9999ff">
              <v:stroke dashstyle="solid"/>
            </v:line>
            <v:rect style="position:absolute;left:4622;top:-2615;width:94;height:1922" filled="false" stroked="true" strokeweight=".565435pt" strokecolor="#000000">
              <v:stroke dashstyle="solid"/>
            </v:rect>
            <v:line style="position:absolute" from="4903,-2466" to="4903,-693" stroked="true" strokeweight="4.735517pt" strokecolor="#9999ff">
              <v:stroke dashstyle="solid"/>
            </v:line>
            <v:rect style="position:absolute;left:4855;top:-2467;width:95;height:1774" filled="false" stroked="true" strokeweight=".565435pt" strokecolor="#000000">
              <v:stroke dashstyle="solid"/>
            </v:rect>
            <v:line style="position:absolute" from="5137,-2663" to="5137,-693" stroked="true" strokeweight="4.664837pt" strokecolor="#9999ff">
              <v:stroke dashstyle="solid"/>
            </v:line>
            <v:rect style="position:absolute;left:5090;top:-2663;width:94;height:1970" filled="false" stroked="true" strokeweight=".565435pt" strokecolor="#000000">
              <v:stroke dashstyle="solid"/>
            </v:rect>
            <v:line style="position:absolute" from="5370,-2171" to="5370,-693" stroked="true" strokeweight="4.664837pt" strokecolor="#9999ff">
              <v:stroke dashstyle="solid"/>
            </v:line>
            <v:rect style="position:absolute;left:5323;top:-2171;width:94;height:1478" filled="false" stroked="true" strokeweight=".565435pt" strokecolor="#000000">
              <v:stroke dashstyle="solid"/>
            </v:rect>
            <v:line style="position:absolute" from="5603,-1629" to="5603,-693" stroked="true" strokeweight="4.664837pt" strokecolor="#9999ff">
              <v:stroke dashstyle="solid"/>
            </v:line>
            <v:rect style="position:absolute;left:5556;top:-1630;width:94;height:937" filled="false" stroked="true" strokeweight=".565434pt" strokecolor="#000000">
              <v:stroke dashstyle="solid"/>
            </v:rect>
            <v:line style="position:absolute" from="5837,-2171" to="5837,-693" stroked="true" strokeweight="4.735517pt" strokecolor="#9999ff">
              <v:stroke dashstyle="solid"/>
            </v:line>
            <v:rect style="position:absolute;left:5789;top:-2171;width:95;height:1478" filled="false" stroked="true" strokeweight=".565435pt" strokecolor="#000000">
              <v:stroke dashstyle="solid"/>
            </v:rect>
            <v:line style="position:absolute" from="6071,-1481" to="6071,-693" stroked="true" strokeweight="4.664837pt" strokecolor="#9999ff">
              <v:stroke dashstyle="solid"/>
            </v:line>
            <v:rect style="position:absolute;left:6024;top:-1481;width:94;height:788" filled="false" stroked="true" strokeweight=".565434pt" strokecolor="#000000">
              <v:stroke dashstyle="solid"/>
            </v:rect>
            <v:line style="position:absolute" from="6305,-1974" to="6305,-693" stroked="true" strokeweight="4.664837pt" strokecolor="#9999ff">
              <v:stroke dashstyle="solid"/>
            </v:line>
            <v:rect style="position:absolute;left:6257;top:-1975;width:94;height:1281" filled="false" stroked="true" strokeweight=".565435pt" strokecolor="#000000">
              <v:stroke dashstyle="solid"/>
            </v:rect>
            <v:line style="position:absolute" from="6538,-2024" to="6538,-693" stroked="true" strokeweight="4.664837pt" strokecolor="#9999ff">
              <v:stroke dashstyle="solid"/>
            </v:line>
            <v:rect style="position:absolute;left:6491;top:-2024;width:94;height:1331" filled="false" stroked="true" strokeweight=".565435pt" strokecolor="#000000">
              <v:stroke dashstyle="solid"/>
            </v:rect>
            <v:line style="position:absolute" from="6772,-2072" to="6772,-693" stroked="true" strokeweight="4.735517pt" strokecolor="#9999ff">
              <v:stroke dashstyle="solid"/>
            </v:line>
            <v:rect style="position:absolute;left:6724;top:-2072;width:95;height:1379" filled="false" stroked="true" strokeweight=".565435pt" strokecolor="#000000">
              <v:stroke dashstyle="solid"/>
            </v:rect>
            <v:line style="position:absolute" from="7006,-1826" to="7006,-693" stroked="true" strokeweight="4.664837pt" strokecolor="#9999ff">
              <v:stroke dashstyle="solid"/>
            </v:line>
            <v:rect style="position:absolute;left:6959;top:-1826;width:94;height:1133" filled="false" stroked="true" strokeweight=".565435pt" strokecolor="#000000">
              <v:stroke dashstyle="solid"/>
            </v:rect>
            <v:line style="position:absolute" from="7239,-1826" to="7239,-693" stroked="true" strokeweight="4.664837pt" strokecolor="#9999ff">
              <v:stroke dashstyle="solid"/>
            </v:line>
            <v:rect style="position:absolute;left:7192;top:-1826;width:94;height:1133" filled="false" stroked="true" strokeweight=".565435pt" strokecolor="#000000">
              <v:stroke dashstyle="solid"/>
            </v:rect>
            <v:line style="position:absolute" from="7472,-1580" to="7472,-693" stroked="true" strokeweight="4.664837pt" strokecolor="#9999ff">
              <v:stroke dashstyle="solid"/>
            </v:line>
            <v:rect style="position:absolute;left:7425;top:-1580;width:94;height:887" filled="false" stroked="true" strokeweight=".565434pt" strokecolor="#000000">
              <v:stroke dashstyle="solid"/>
            </v:rect>
            <v:line style="position:absolute" from="7706,-1679" to="7706,-693" stroked="true" strokeweight="4.735517pt" strokecolor="#9999ff">
              <v:stroke dashstyle="solid"/>
            </v:line>
            <v:rect style="position:absolute;left:7658;top:-1679;width:95;height:986" filled="false" stroked="true" strokeweight=".565435pt" strokecolor="#000000">
              <v:stroke dashstyle="solid"/>
            </v:rect>
            <v:line style="position:absolute" from="7940,-1629" to="7940,-693" stroked="true" strokeweight="4.664837pt" strokecolor="#9999ff">
              <v:stroke dashstyle="solid"/>
            </v:line>
            <v:rect style="position:absolute;left:7893;top:-1630;width:94;height:937" filled="false" stroked="true" strokeweight=".565434pt" strokecolor="#000000">
              <v:stroke dashstyle="solid"/>
            </v:rect>
            <v:line style="position:absolute" from="8174,-1334" to="8174,-693" stroked="true" strokeweight="4.664837pt" strokecolor="#9999ff">
              <v:stroke dashstyle="solid"/>
            </v:line>
            <v:rect style="position:absolute;left:8126;top:-1334;width:94;height:641" filled="false" stroked="true" strokeweight=".565434pt" strokecolor="#000000">
              <v:stroke dashstyle="solid"/>
            </v:rect>
            <v:line style="position:absolute" from="8407,-1481" to="8407,-693" stroked="true" strokeweight="4.664837pt" strokecolor="#9999ff">
              <v:stroke dashstyle="solid"/>
            </v:line>
            <v:rect style="position:absolute;left:8360;top:-1481;width:94;height:788" filled="false" stroked="true" strokeweight=".565434pt" strokecolor="#000000">
              <v:stroke dashstyle="solid"/>
            </v:rect>
            <v:line style="position:absolute" from="8641,-1728" to="8641,-693" stroked="true" strokeweight="4.735517pt" strokecolor="#9999ff">
              <v:stroke dashstyle="solid"/>
            </v:line>
            <v:rect style="position:absolute;left:8593;top:-1729;width:95;height:1035" filled="false" stroked="true" strokeweight=".565435pt" strokecolor="#000000">
              <v:stroke dashstyle="solid"/>
            </v:rect>
            <v:line style="position:absolute" from="8875,-1334" to="8875,-693" stroked="true" strokeweight="4.664837pt" strokecolor="#9999ff">
              <v:stroke dashstyle="solid"/>
            </v:line>
            <v:rect style="position:absolute;left:8828;top:-1334;width:94;height:641" filled="false" stroked="true" strokeweight=".565434pt" strokecolor="#000000">
              <v:stroke dashstyle="solid"/>
            </v:rect>
            <v:line style="position:absolute" from="1865,-2958" to="1865,-1481" stroked="true" strokeweight="4.664837pt" strokecolor="#993366">
              <v:stroke dashstyle="solid"/>
            </v:line>
            <v:rect style="position:absolute;left:1818;top:-2959;width:94;height:1478" filled="false" stroked="true" strokeweight=".565435pt" strokecolor="#000000">
              <v:stroke dashstyle="solid"/>
            </v:rect>
            <v:line style="position:absolute" from="2099,-2466" to="2099,-1383" stroked="true" strokeweight="4.749653pt" strokecolor="#993366">
              <v:stroke dashstyle="solid"/>
            </v:line>
            <v:rect style="position:absolute;left:2051;top:-2467;width:95;height:1084" filled="false" stroked="true" strokeweight=".565435pt" strokecolor="#000000">
              <v:stroke dashstyle="solid"/>
            </v:rect>
            <v:line style="position:absolute" from="2333,-2367" to="2333,-1481" stroked="true" strokeweight="4.664837pt" strokecolor="#993366">
              <v:stroke dashstyle="solid"/>
            </v:line>
            <v:rect style="position:absolute;left:2286;top:-2368;width:94;height:887" filled="false" stroked="true" strokeweight=".565434pt" strokecolor="#000000">
              <v:stroke dashstyle="solid"/>
            </v:rect>
            <v:line style="position:absolute" from="2566,-2319" to="2566,-1334" stroked="true" strokeweight="4.664837pt" strokecolor="#993366">
              <v:stroke dashstyle="solid"/>
            </v:line>
            <v:rect style="position:absolute;left:2519;top:-2320;width:94;height:986" filled="false" stroked="true" strokeweight=".565435pt" strokecolor="#000000">
              <v:stroke dashstyle="solid"/>
            </v:rect>
            <v:line style="position:absolute" from="2800,-2319" to="2800,-1629" stroked="true" strokeweight="4.664837pt" strokecolor="#993366">
              <v:stroke dashstyle="solid"/>
            </v:line>
            <v:rect style="position:absolute;left:2753;top:-2320;width:94;height:691" filled="false" stroked="true" strokeweight=".565434pt" strokecolor="#000000">
              <v:stroke dashstyle="solid"/>
            </v:rect>
            <v:line style="position:absolute" from="3034,-2121" to="3034,-1137" stroked="true" strokeweight="4.735517pt" strokecolor="#993366">
              <v:stroke dashstyle="solid"/>
            </v:line>
            <v:rect style="position:absolute;left:2986;top:-2122;width:95;height:985" filled="false" stroked="true" strokeweight=".565435pt" strokecolor="#000000">
              <v:stroke dashstyle="solid"/>
            </v:rect>
            <v:line style="position:absolute" from="3268,-2171" to="3268,-1679" stroked="true" strokeweight="4.664837pt" strokecolor="#993366">
              <v:stroke dashstyle="solid"/>
            </v:line>
            <v:rect style="position:absolute;left:3220;top:-2171;width:94;height:493" filled="false" stroked="true" strokeweight=".565434pt" strokecolor="#000000">
              <v:stroke dashstyle="solid"/>
            </v:rect>
            <v:line style="position:absolute" from="3501,-2417" to="3501,-1433" stroked="true" strokeweight="4.664837pt" strokecolor="#993366">
              <v:stroke dashstyle="solid"/>
            </v:line>
            <v:rect style="position:absolute;left:3454;top:-2417;width:94;height:985" filled="false" stroked="true" strokeweight=".565435pt" strokecolor="#000000">
              <v:stroke dashstyle="solid"/>
            </v:rect>
            <v:line style="position:absolute" from="3734,-2516" to="3734,-1481" stroked="true" strokeweight="4.664837pt" strokecolor="#993366">
              <v:stroke dashstyle="solid"/>
            </v:line>
            <v:rect style="position:absolute;left:3687;top:-2516;width:94;height:1035" filled="false" stroked="true" strokeweight=".565435pt" strokecolor="#000000">
              <v:stroke dashstyle="solid"/>
            </v:rect>
            <v:line style="position:absolute" from="3968,-3402" to="3968,-2121" stroked="true" strokeweight="4.735517pt" strokecolor="#993366">
              <v:stroke dashstyle="solid"/>
            </v:line>
            <v:rect style="position:absolute;left:3920;top:-3403;width:95;height:1281" filled="false" stroked="true" strokeweight=".565435pt" strokecolor="#000000">
              <v:stroke dashstyle="solid"/>
            </v:rect>
            <v:line style="position:absolute" from="4202,-2712" to="4202,-1728" stroked="true" strokeweight="4.664837pt" strokecolor="#993366">
              <v:stroke dashstyle="solid"/>
            </v:line>
            <v:rect style="position:absolute;left:4155;top:-2713;width:94;height:985" filled="false" stroked="true" strokeweight=".565435pt" strokecolor="#000000">
              <v:stroke dashstyle="solid"/>
            </v:rect>
            <v:line style="position:absolute" from="4436,-3353" to="4436,-2367" stroked="true" strokeweight="4.664837pt" strokecolor="#993366">
              <v:stroke dashstyle="solid"/>
            </v:line>
            <v:rect style="position:absolute;left:4388;top:-3353;width:94;height:986" filled="false" stroked="true" strokeweight=".565435pt" strokecolor="#000000">
              <v:stroke dashstyle="solid"/>
            </v:rect>
            <v:line style="position:absolute" from="4669,-3353" to="4669,-2615" stroked="true" strokeweight="4.664837pt" strokecolor="#993366">
              <v:stroke dashstyle="solid"/>
            </v:line>
            <v:rect style="position:absolute;left:4622;top:-3353;width:94;height:739" filled="false" stroked="true" strokeweight=".565434pt" strokecolor="#000000">
              <v:stroke dashstyle="solid"/>
            </v:rect>
            <v:line style="position:absolute" from="4903,-3107" to="4903,-2466" stroked="true" strokeweight="4.735517pt" strokecolor="#993366">
              <v:stroke dashstyle="solid"/>
            </v:line>
            <v:rect style="position:absolute;left:4855;top:-3107;width:95;height:641" filled="false" stroked="true" strokeweight=".565434pt" strokecolor="#000000">
              <v:stroke dashstyle="solid"/>
            </v:rect>
            <v:line style="position:absolute" from="5137,-3303" to="5137,-2663" stroked="true" strokeweight="4.664837pt" strokecolor="#993366">
              <v:stroke dashstyle="solid"/>
            </v:line>
            <v:rect style="position:absolute;left:5090;top:-3304;width:94;height:641" filled="false" stroked="true" strokeweight=".565434pt" strokecolor="#000000">
              <v:stroke dashstyle="solid"/>
            </v:rect>
            <v:line style="position:absolute" from="5370,-2565" to="5370,-2171" stroked="true" strokeweight="4.664837pt" strokecolor="#993366">
              <v:stroke dashstyle="solid"/>
            </v:line>
            <v:rect style="position:absolute;left:5323;top:-2566;width:94;height:395" filled="false" stroked="true" strokeweight=".565433pt" strokecolor="#000000">
              <v:stroke dashstyle="solid"/>
            </v:rect>
            <v:line style="position:absolute" from="5603,-2417" to="5603,-1629" stroked="true" strokeweight="4.664837pt" strokecolor="#993366">
              <v:stroke dashstyle="solid"/>
            </v:line>
            <v:rect style="position:absolute;left:5556;top:-2417;width:94;height:788" filled="false" stroked="true" strokeweight=".565434pt" strokecolor="#000000">
              <v:stroke dashstyle="solid"/>
            </v:rect>
            <v:line style="position:absolute" from="5837,-2615" to="5837,-2171" stroked="true" strokeweight="4.735517pt" strokecolor="#993366">
              <v:stroke dashstyle="solid"/>
            </v:line>
            <v:rect style="position:absolute;left:5789;top:-2615;width:95;height:444" filled="false" stroked="true" strokeweight=".565433pt" strokecolor="#000000">
              <v:stroke dashstyle="solid"/>
            </v:rect>
            <v:line style="position:absolute" from="6071,-1974" to="6071,-1481" stroked="true" strokeweight="4.664837pt" strokecolor="#993366">
              <v:stroke dashstyle="solid"/>
            </v:line>
            <v:rect style="position:absolute;left:6024;top:-1975;width:94;height:494" filled="false" stroked="true" strokeweight=".565434pt" strokecolor="#000000">
              <v:stroke dashstyle="solid"/>
            </v:rect>
            <v:line style="position:absolute" from="6305,-2663" to="6305,-1974" stroked="true" strokeweight="4.664837pt" strokecolor="#993366">
              <v:stroke dashstyle="solid"/>
            </v:line>
            <v:rect style="position:absolute;left:6257;top:-2663;width:94;height:689" filled="false" stroked="true" strokeweight=".565434pt" strokecolor="#000000">
              <v:stroke dashstyle="solid"/>
            </v:rect>
            <v:line style="position:absolute" from="6538,-2663" to="6538,-2024" stroked="true" strokeweight="4.664837pt" strokecolor="#993366">
              <v:stroke dashstyle="solid"/>
            </v:line>
            <v:rect style="position:absolute;left:6491;top:-2663;width:94;height:640" filled="false" stroked="true" strokeweight=".565434pt" strokecolor="#000000">
              <v:stroke dashstyle="solid"/>
            </v:rect>
            <v:line style="position:absolute" from="6772,-2712" to="6772,-2072" stroked="true" strokeweight="4.735517pt" strokecolor="#993366">
              <v:stroke dashstyle="solid"/>
            </v:line>
            <v:rect style="position:absolute;left:6724;top:-2713;width:95;height:641" filled="false" stroked="true" strokeweight=".565434pt" strokecolor="#000000">
              <v:stroke dashstyle="solid"/>
            </v:rect>
            <v:line style="position:absolute" from="7006,-2565" to="7006,-1826" stroked="true" strokeweight="4.664837pt" strokecolor="#993366">
              <v:stroke dashstyle="solid"/>
            </v:line>
            <v:rect style="position:absolute;left:6959;top:-2566;width:94;height:740" filled="false" stroked="true" strokeweight=".565434pt" strokecolor="#000000">
              <v:stroke dashstyle="solid"/>
            </v:rect>
            <v:line style="position:absolute" from="7239,-2663" to="7239,-1826" stroked="true" strokeweight="4.664837pt" strokecolor="#993366">
              <v:stroke dashstyle="solid"/>
            </v:line>
            <v:rect style="position:absolute;left:7192;top:-2663;width:94;height:838" filled="false" stroked="true" strokeweight=".565434pt" strokecolor="#000000">
              <v:stroke dashstyle="solid"/>
            </v:rect>
            <v:line style="position:absolute" from="7472,-2565" to="7472,-1580" stroked="true" strokeweight="4.664837pt" strokecolor="#993366">
              <v:stroke dashstyle="solid"/>
            </v:line>
            <v:rect style="position:absolute;left:7425;top:-2566;width:94;height:986" filled="false" stroked="true" strokeweight=".565435pt" strokecolor="#000000">
              <v:stroke dashstyle="solid"/>
            </v:rect>
            <v:line style="position:absolute" from="7706,-2766" to="7706,-1679" stroked="true" strokeweight="4.735517pt" strokecolor="#993366">
              <v:stroke dashstyle="solid"/>
            </v:line>
            <v:rect style="position:absolute;left:7658;top:-2766;width:95;height:1088" filled="false" stroked="true" strokeweight=".565435pt" strokecolor="#000000">
              <v:stroke dashstyle="solid"/>
            </v:rect>
            <v:line style="position:absolute" from="7940,-2565" to="7940,-1629" stroked="true" strokeweight="4.664837pt" strokecolor="#993366">
              <v:stroke dashstyle="solid"/>
            </v:line>
            <v:rect style="position:absolute;left:7893;top:-2566;width:94;height:937" filled="false" stroked="true" strokeweight=".565434pt" strokecolor="#000000">
              <v:stroke dashstyle="solid"/>
            </v:rect>
            <v:line style="position:absolute" from="8174,-2121" to="8174,-1334" stroked="true" strokeweight="4.664837pt" strokecolor="#993366">
              <v:stroke dashstyle="solid"/>
            </v:line>
            <v:rect style="position:absolute;left:8126;top:-2122;width:94;height:788" filled="false" stroked="true" strokeweight=".565434pt" strokecolor="#000000">
              <v:stroke dashstyle="solid"/>
            </v:rect>
            <v:line style="position:absolute" from="8407,-2174" to="8407,-1481" stroked="true" strokeweight="4.664837pt" strokecolor="#993366">
              <v:stroke dashstyle="solid"/>
            </v:line>
            <v:rect style="position:absolute;left:8360;top:-2174;width:94;height:693" filled="false" stroked="true" strokeweight=".565434pt" strokecolor="#000000">
              <v:stroke dashstyle="solid"/>
            </v:rect>
            <v:line style="position:absolute" from="8641,-2222" to="8641,-1728" stroked="true" strokeweight="4.735517pt" strokecolor="#993366">
              <v:stroke dashstyle="solid"/>
            </v:line>
            <v:rect style="position:absolute;left:8593;top:-2222;width:95;height:494" filled="false" stroked="true" strokeweight=".565434pt" strokecolor="#000000">
              <v:stroke dashstyle="solid"/>
            </v:rect>
            <v:line style="position:absolute" from="8875,-2273" to="8875,-1334" stroked="true" strokeweight="4.664837pt" strokecolor="#993366">
              <v:stroke dashstyle="solid"/>
            </v:line>
            <v:rect style="position:absolute;left:8828;top:-2273;width:94;height:939" filled="false" stroked="true" strokeweight=".565434pt" strokecolor="#000000">
              <v:stroke dashstyle="solid"/>
            </v:rect>
            <v:rect style="position:absolute;left:2519;top:-2368;width:94;height:49" filled="true" fillcolor="#ffffcc" stroked="false">
              <v:fill type="solid"/>
            </v:rect>
            <v:rect style="position:absolute;left:2519;top:-2368;width:94;height:49" filled="false" stroked="true" strokeweight=".565406pt" strokecolor="#000000">
              <v:stroke dashstyle="solid"/>
            </v:rect>
            <v:line style="position:absolute" from="2800,-2516" to="2800,-2319" stroked="true" strokeweight="4.664837pt" strokecolor="#ffffcc">
              <v:stroke dashstyle="solid"/>
            </v:line>
            <v:rect style="position:absolute;left:2753;top:-2516;width:94;height:197" filled="false" stroked="true" strokeweight=".565428pt" strokecolor="#000000">
              <v:stroke dashstyle="solid"/>
            </v:rect>
            <v:rect style="position:absolute;left:2986;top:-2221;width:95;height:99" filled="true" fillcolor="#ffffcc" stroked="false">
              <v:fill type="solid"/>
            </v:rect>
            <v:rect style="position:absolute;left:2986;top:-2221;width:95;height:99" filled="false" stroked="true" strokeweight=".565417pt" strokecolor="#000000">
              <v:stroke dashstyle="solid"/>
            </v:rect>
            <v:rect style="position:absolute;left:3454;top:-2467;width:94;height:50" filled="true" fillcolor="#ffffcc" stroked="false">
              <v:fill type="solid"/>
            </v:rect>
            <v:rect style="position:absolute;left:3454;top:-2467;width:94;height:50" filled="false" stroked="true" strokeweight=".565406pt" strokecolor="#000000">
              <v:stroke dashstyle="solid"/>
            </v:rect>
            <v:line style="position:absolute" from="4202,-3008" to="4202,-2712" stroked="true" strokeweight="4.664837pt" strokecolor="#ffffcc">
              <v:stroke dashstyle="solid"/>
            </v:line>
            <v:rect style="position:absolute;left:4155;top:-3008;width:94;height:296" filled="false" stroked="true" strokeweight=".565432pt" strokecolor="#000000">
              <v:stroke dashstyle="solid"/>
            </v:rect>
            <v:line style="position:absolute" from="4436,-3993" to="4436,-3353" stroked="true" strokeweight="4.664837pt" strokecolor="#ffffcc">
              <v:stroke dashstyle="solid"/>
            </v:line>
            <v:rect style="position:absolute;left:4388;top:-3994;width:94;height:641" filled="false" stroked="true" strokeweight=".565434pt" strokecolor="#000000">
              <v:stroke dashstyle="solid"/>
            </v:rect>
            <v:line style="position:absolute" from="4669,-4239" to="4669,-3353" stroked="true" strokeweight="4.664837pt" strokecolor="#ffffcc">
              <v:stroke dashstyle="solid"/>
            </v:line>
            <v:rect style="position:absolute;left:4622;top:-4240;width:94;height:887" filled="false" stroked="true" strokeweight=".565434pt" strokecolor="#000000">
              <v:stroke dashstyle="solid"/>
            </v:rect>
            <v:line style="position:absolute" from="4903,-3993" to="4903,-3107" stroked="true" strokeweight="4.735517pt" strokecolor="#ffffcc">
              <v:stroke dashstyle="solid"/>
            </v:line>
            <v:rect style="position:absolute;left:4855;top:-3994;width:95;height:887" filled="false" stroked="true" strokeweight=".565434pt" strokecolor="#000000">
              <v:stroke dashstyle="solid"/>
            </v:rect>
            <v:line style="position:absolute" from="5137,-3747" to="5137,-3303" stroked="true" strokeweight="4.664837pt" strokecolor="#ffffcc">
              <v:stroke dashstyle="solid"/>
            </v:line>
            <v:rect style="position:absolute;left:5090;top:-3748;width:94;height:444" filled="false" stroked="true" strokeweight=".565433pt" strokecolor="#000000">
              <v:stroke dashstyle="solid"/>
            </v:rect>
            <v:line style="position:absolute" from="5370,-3254" to="5370,-2565" stroked="true" strokeweight="4.664837pt" strokecolor="#ffffcc">
              <v:stroke dashstyle="solid"/>
            </v:line>
            <v:rect style="position:absolute;left:5323;top:-3254;width:94;height:689" filled="false" stroked="true" strokeweight=".565434pt" strokecolor="#000000">
              <v:stroke dashstyle="solid"/>
            </v:rect>
            <v:line style="position:absolute" from="5603,-2762" to="5603,-2417" stroked="true" strokeweight="4.664837pt" strokecolor="#ffffcc">
              <v:stroke dashstyle="solid"/>
            </v:line>
            <v:rect style="position:absolute;left:5556;top:-2762;width:94;height:345" filled="false" stroked="true" strokeweight=".565432pt" strokecolor="#000000">
              <v:stroke dashstyle="solid"/>
            </v:rect>
            <v:line style="position:absolute" from="5837,-3008" to="5837,-2615" stroked="true" strokeweight="4.735517pt" strokecolor="#ffffcc">
              <v:stroke dashstyle="solid"/>
            </v:line>
            <v:rect style="position:absolute;left:5789;top:-3008;width:95;height:393" filled="false" stroked="true" strokeweight=".565433pt" strokecolor="#000000">
              <v:stroke dashstyle="solid"/>
            </v:rect>
            <v:line style="position:absolute" from="6071,-2270" to="6071,-1974" stroked="true" strokeweight="4.664837pt" strokecolor="#ffffcc">
              <v:stroke dashstyle="solid"/>
            </v:line>
            <v:rect style="position:absolute;left:6024;top:-2270;width:94;height:296" filled="false" stroked="true" strokeweight=".565432pt" strokecolor="#000000">
              <v:stroke dashstyle="solid"/>
            </v:rect>
            <v:line style="position:absolute" from="6305,-2861" to="6305,-2663" stroked="true" strokeweight="4.664837pt" strokecolor="#ffffcc">
              <v:stroke dashstyle="solid"/>
            </v:line>
            <v:rect style="position:absolute;left:6257;top:-2861;width:94;height:198" filled="false" stroked="true" strokeweight=".565428pt" strokecolor="#000000">
              <v:stroke dashstyle="solid"/>
            </v:rect>
            <v:line style="position:absolute" from="6538,-2861" to="6538,-2663" stroked="true" strokeweight="4.664837pt" strokecolor="#ffffcc">
              <v:stroke dashstyle="solid"/>
            </v:line>
            <v:rect style="position:absolute;left:6491;top:-2861;width:94;height:198" filled="false" stroked="true" strokeweight=".565428pt" strokecolor="#000000">
              <v:stroke dashstyle="solid"/>
            </v:rect>
            <v:rect style="position:absolute;left:6724;top:-2812;width:95;height:99" filled="true" fillcolor="#ffffcc" stroked="false">
              <v:fill type="solid"/>
            </v:rect>
            <v:rect style="position:absolute;left:6724;top:-2812;width:95;height:99" filled="false" stroked="true" strokeweight=".565417pt" strokecolor="#000000">
              <v:stroke dashstyle="solid"/>
            </v:rect>
            <v:line style="position:absolute" from="7006,-2811" to="7006,-2565" stroked="true" strokeweight="4.664837pt" strokecolor="#ffffcc">
              <v:stroke dashstyle="solid"/>
            </v:line>
            <v:rect style="position:absolute;left:6959;top:-2812;width:94;height:246" filled="false" stroked="true" strokeweight=".56543pt" strokecolor="#000000">
              <v:stroke dashstyle="solid"/>
            </v:rect>
            <v:line style="position:absolute" from="7239,-3058" to="7239,-2663" stroked="true" strokeweight="4.664837pt" strokecolor="#ffffcc">
              <v:stroke dashstyle="solid"/>
            </v:line>
            <v:rect style="position:absolute;left:7192;top:-3058;width:94;height:395" filled="false" stroked="true" strokeweight=".565433pt" strokecolor="#000000">
              <v:stroke dashstyle="solid"/>
            </v:rect>
            <v:rect style="position:absolute;left:7425;top:-2615;width:94;height:50" filled="true" fillcolor="#ffffcc" stroked="false">
              <v:fill type="solid"/>
            </v:rect>
            <v:rect style="position:absolute;left:7425;top:-2615;width:94;height:50" filled="false" stroked="true" strokeweight=".565406pt" strokecolor="#000000">
              <v:stroke dashstyle="solid"/>
            </v:rect>
            <v:line style="position:absolute" from="7706,-3258" to="7706,-2766" stroked="true" strokeweight="4.735517pt" strokecolor="#ffffcc">
              <v:stroke dashstyle="solid"/>
            </v:line>
            <v:rect style="position:absolute;left:7658;top:-3259;width:95;height:493" filled="false" stroked="true" strokeweight=".565434pt" strokecolor="#000000">
              <v:stroke dashstyle="solid"/>
            </v:rect>
            <v:line style="position:absolute" from="7940,-3156" to="7940,-2565" stroked="true" strokeweight="4.664837pt" strokecolor="#ffffcc">
              <v:stroke dashstyle="solid"/>
            </v:line>
            <v:rect style="position:absolute;left:7893;top:-3157;width:94;height:592" filled="false" stroked="true" strokeweight=".565434pt" strokecolor="#000000">
              <v:stroke dashstyle="solid"/>
            </v:rect>
            <v:line style="position:absolute" from="8174,-3107" to="8174,-2121" stroked="true" strokeweight="4.664837pt" strokecolor="#ffffcc">
              <v:stroke dashstyle="solid"/>
            </v:line>
            <v:rect style="position:absolute;left:8126;top:-3107;width:94;height:986" filled="false" stroked="true" strokeweight=".565435pt" strokecolor="#000000">
              <v:stroke dashstyle="solid"/>
            </v:rect>
            <v:line style="position:absolute" from="8407,-2965" to="8407,-2174" stroked="true" strokeweight="4.664837pt" strokecolor="#ffffcc">
              <v:stroke dashstyle="solid"/>
            </v:line>
            <v:rect style="position:absolute;left:8360;top:-2966;width:94;height:792" filled="false" stroked="true" strokeweight=".565434pt" strokecolor="#000000">
              <v:stroke dashstyle="solid"/>
            </v:rect>
            <v:line style="position:absolute" from="8641,-2816" to="8641,-2222" stroked="true" strokeweight="4.735517pt" strokecolor="#ffffcc">
              <v:stroke dashstyle="solid"/>
            </v:line>
            <v:rect style="position:absolute;left:8593;top:-2816;width:95;height:594" filled="false" stroked="true" strokeweight=".565434pt" strokecolor="#000000">
              <v:stroke dashstyle="solid"/>
            </v:rect>
            <v:shape style="position:absolute;left:985;top:-4227;width:12358;height:6699" coordorigin="985,-4227" coordsize="12358,6699" path="m1750,-4602l1750,-694m1714,-693l1748,-693m1714,-1182l1748,-1182m1714,-1670l1748,-1670m1714,-2159l1748,-2159m1714,-2647l1748,-2647m1714,-3136l1748,-3136m1714,-3625l1748,-3625m1714,-4113l1748,-4113m1714,-4602l1748,-4602m1750,-693l8991,-693m1750,-657l1750,-691m1983,-657l1983,-691m2218,-657l2218,-691m2451,-657l2451,-691m2684,-657l2684,-691m2918,-657l2918,-691m3152,-657l3152,-691m3386,-657l3386,-691m3619,-657l3619,-691m3852,-657l3852,-691m4087,-657l4087,-691m4320,-657l4320,-691m4554,-657l4554,-691m4787,-657l4787,-691m5021,-657l5021,-691m5255,-657l5255,-691m5488,-657l5488,-691m5721,-657l5721,-691m5956,-657l5956,-691m6189,-657l6189,-691m6423,-657l6423,-691m6656,-657l6656,-691m6890,-657l6890,-691m7124,-657l7124,-691m7357,-657l7357,-691m7590,-657l7590,-691m7825,-657l7825,-691m8058,-657l8058,-691m8292,-657l8292,-691m8525,-657l8525,-691m8760,-657l8760,-691m8993,-657l8993,-691e" filled="false" stroked="true" strokeweight=".082457pt" strokecolor="#000000">
              <v:path arrowok="t"/>
              <v:stroke dashstyle="solid"/>
            </v:shape>
            <v:rect style="position:absolute;left:9147;top:-2868;width:67;height:67" filled="true" fillcolor="#ffffcc" stroked="false">
              <v:fill type="solid"/>
            </v:rect>
            <v:rect style="position:absolute;left:9147;top:-2868;width:67;height:67" filled="false" stroked="true" strokeweight=".565417pt" strokecolor="#000000">
              <v:stroke dashstyle="solid"/>
            </v:rect>
            <v:rect style="position:absolute;left:9147;top:-2685;width:67;height:67" filled="true" fillcolor="#993366" stroked="false">
              <v:fill type="solid"/>
            </v:rect>
            <v:rect style="position:absolute;left:9147;top:-2685;width:67;height:67" filled="false" stroked="true" strokeweight=".565417pt" strokecolor="#000000">
              <v:stroke dashstyle="solid"/>
            </v:rect>
            <v:rect style="position:absolute;left:9147;top:-2501;width:67;height:67" filled="true" fillcolor="#9999ff" stroked="false">
              <v:fill type="solid"/>
            </v:rect>
            <v:rect style="position:absolute;left:9147;top:-2501;width:67;height:67" filled="false" stroked="true" strokeweight=".565417pt" strokecolor="#000000">
              <v:stroke dashstyle="solid"/>
            </v:rect>
            <v:rect style="position:absolute;left:1180;top:-5442;width:8538;height:5209" filled="false" stroked="true" strokeweight=".082455pt" strokecolor="#000000">
              <v:stroke dashstyle="solid"/>
            </v:rect>
            <v:shape style="position:absolute;left:3014;top:-5298;width:4939;height:337" type="#_x0000_t202" filled="false" stroked="false">
              <v:textbox inset="0,0,0,0">
                <w:txbxContent>
                  <w:p>
                    <w:pPr>
                      <w:spacing w:line="266" w:lineRule="auto" w:before="0"/>
                      <w:ind w:left="1756" w:right="0" w:hanging="1757"/>
                      <w:jc w:val="left"/>
                      <w:rPr>
                        <w:rFonts w:ascii="Arial"/>
                        <w:b/>
                        <w:sz w:val="14"/>
                      </w:rPr>
                    </w:pPr>
                    <w:r>
                      <w:rPr>
                        <w:rFonts w:ascii="Arial"/>
                        <w:b/>
                        <w:sz w:val="14"/>
                      </w:rPr>
                      <w:t>Morbiditate specifica saptamanala pe tip de viroza respiratorie spitalizata Bucuresti, 2016-2017</w:t>
                    </w:r>
                  </w:p>
                </w:txbxContent>
              </v:textbox>
              <w10:wrap type="none"/>
            </v:shape>
            <v:shape style="position:absolute;left:1498;top:-4673;width:183;height:4041" type="#_x0000_t202" filled="false" stroked="false">
              <v:textbox inset="0,0,0,0">
                <w:txbxContent>
                  <w:p>
                    <w:pPr>
                      <w:spacing w:before="3"/>
                      <w:ind w:left="0" w:right="0" w:firstLine="0"/>
                      <w:jc w:val="left"/>
                      <w:rPr>
                        <w:rFonts w:ascii="Arial"/>
                        <w:sz w:val="11"/>
                      </w:rPr>
                    </w:pPr>
                    <w:r>
                      <w:rPr>
                        <w:rFonts w:ascii="Arial"/>
                        <w:w w:val="105"/>
                        <w:sz w:val="11"/>
                      </w:rPr>
                      <w:t>8.0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7.0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6.0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5.0</w:t>
                    </w:r>
                  </w:p>
                  <w:p>
                    <w:pPr>
                      <w:spacing w:line="240" w:lineRule="auto" w:before="0"/>
                      <w:rPr>
                        <w:rFonts w:ascii="Arial"/>
                        <w:sz w:val="12"/>
                      </w:rPr>
                    </w:pPr>
                  </w:p>
                  <w:p>
                    <w:pPr>
                      <w:spacing w:line="240" w:lineRule="auto" w:before="0"/>
                      <w:rPr>
                        <w:rFonts w:ascii="Arial"/>
                        <w:sz w:val="12"/>
                      </w:rPr>
                    </w:pPr>
                  </w:p>
                  <w:p>
                    <w:pPr>
                      <w:spacing w:before="87"/>
                      <w:ind w:left="0" w:right="0" w:firstLine="0"/>
                      <w:jc w:val="left"/>
                      <w:rPr>
                        <w:rFonts w:ascii="Arial"/>
                        <w:sz w:val="11"/>
                      </w:rPr>
                    </w:pPr>
                    <w:r>
                      <w:rPr>
                        <w:rFonts w:ascii="Arial"/>
                        <w:w w:val="105"/>
                        <w:sz w:val="11"/>
                      </w:rPr>
                      <w:t>4.0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3.0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2.0</w:t>
                    </w:r>
                  </w:p>
                  <w:p>
                    <w:pPr>
                      <w:spacing w:line="240" w:lineRule="auto" w:before="0"/>
                      <w:rPr>
                        <w:rFonts w:ascii="Arial"/>
                        <w:sz w:val="12"/>
                      </w:rPr>
                    </w:pPr>
                  </w:p>
                  <w:p>
                    <w:pPr>
                      <w:spacing w:line="240" w:lineRule="auto" w:before="0"/>
                      <w:rPr>
                        <w:rFonts w:ascii="Arial"/>
                        <w:sz w:val="12"/>
                      </w:rPr>
                    </w:pPr>
                  </w:p>
                  <w:p>
                    <w:pPr>
                      <w:spacing w:before="86"/>
                      <w:ind w:left="0" w:right="0" w:firstLine="0"/>
                      <w:jc w:val="left"/>
                      <w:rPr>
                        <w:rFonts w:ascii="Arial"/>
                        <w:sz w:val="11"/>
                      </w:rPr>
                    </w:pPr>
                    <w:r>
                      <w:rPr>
                        <w:rFonts w:ascii="Arial"/>
                        <w:w w:val="105"/>
                        <w:sz w:val="11"/>
                      </w:rPr>
                      <w:t>1.0</w:t>
                    </w:r>
                  </w:p>
                  <w:p>
                    <w:pPr>
                      <w:spacing w:line="240" w:lineRule="auto" w:before="0"/>
                      <w:rPr>
                        <w:rFonts w:ascii="Arial"/>
                        <w:sz w:val="12"/>
                      </w:rPr>
                    </w:pPr>
                  </w:p>
                  <w:p>
                    <w:pPr>
                      <w:spacing w:line="240" w:lineRule="auto" w:before="0"/>
                      <w:rPr>
                        <w:rFonts w:ascii="Arial"/>
                        <w:sz w:val="12"/>
                      </w:rPr>
                    </w:pPr>
                  </w:p>
                  <w:p>
                    <w:pPr>
                      <w:spacing w:before="87"/>
                      <w:ind w:left="0" w:right="0" w:firstLine="0"/>
                      <w:jc w:val="left"/>
                      <w:rPr>
                        <w:rFonts w:ascii="Arial"/>
                        <w:sz w:val="11"/>
                      </w:rPr>
                    </w:pPr>
                    <w:r>
                      <w:rPr>
                        <w:rFonts w:ascii="Arial"/>
                        <w:w w:val="105"/>
                        <w:sz w:val="11"/>
                      </w:rPr>
                      <w:t>0.0</w:t>
                    </w:r>
                  </w:p>
                </w:txbxContent>
              </v:textbox>
              <w10:wrap type="none"/>
            </v:shape>
            <v:shape style="position:absolute;left:9088;top:-2928;width:631;height:555" type="#_x0000_t202" filled="false" stroked="true" strokeweight=".082455pt" strokecolor="#000000">
              <v:textbox inset="0,0,0,0">
                <w:txbxContent>
                  <w:p>
                    <w:pPr>
                      <w:spacing w:line="348" w:lineRule="auto" w:before="27"/>
                      <w:ind w:left="151" w:right="138" w:firstLine="0"/>
                      <w:jc w:val="left"/>
                      <w:rPr>
                        <w:rFonts w:ascii="Arial"/>
                        <w:sz w:val="11"/>
                      </w:rPr>
                    </w:pPr>
                    <w:r>
                      <w:rPr>
                        <w:rFonts w:ascii="Arial"/>
                        <w:sz w:val="11"/>
                      </w:rPr>
                      <w:t>Gripa </w:t>
                    </w:r>
                    <w:r>
                      <w:rPr>
                        <w:rFonts w:ascii="Arial"/>
                        <w:w w:val="95"/>
                        <w:sz w:val="11"/>
                      </w:rPr>
                      <w:t>IACRS</w:t>
                    </w:r>
                  </w:p>
                  <w:p>
                    <w:pPr>
                      <w:spacing w:before="1"/>
                      <w:ind w:left="151" w:right="0" w:firstLine="0"/>
                      <w:jc w:val="left"/>
                      <w:rPr>
                        <w:rFonts w:ascii="Arial"/>
                        <w:sz w:val="11"/>
                      </w:rPr>
                    </w:pPr>
                    <w:r>
                      <w:rPr>
                        <w:rFonts w:ascii="Arial"/>
                        <w:sz w:val="11"/>
                      </w:rPr>
                      <w:t>Pneumo</w:t>
                    </w:r>
                  </w:p>
                </w:txbxContent>
              </v:textbox>
              <v:stroke dashstyle="solid"/>
              <w10:wrap type="none"/>
            </v:shape>
            <w10:wrap type="none"/>
          </v:group>
        </w:pict>
      </w:r>
      <w:r>
        <w:rPr/>
        <w:pict>
          <v:shape style="position:absolute;margin-left:81.337418pt;margin-top:-25.584776pt;width:10.45pt;height:5.9pt;mso-position-horizontal-relative:page;mso-position-vertical-relative:paragraph;z-index:251727872;rotation:316" type="#_x0000_t136" fillcolor="#000000" stroked="f">
            <o:extrusion v:ext="view" autorotationcenter="t"/>
            <v:textpath style="font-family:&quot;Arial&quot;;font-size:5pt;v-text-kern:t;mso-text-shadow:auto" string="S40"/>
            <w10:wrap type="none"/>
          </v:shape>
        </w:pict>
      </w:r>
      <w:r>
        <w:rPr/>
        <w:pict>
          <v:shape style="position:absolute;margin-left:92.999512pt;margin-top:-25.584776pt;width:10.45pt;height:5.9pt;mso-position-horizontal-relative:page;mso-position-vertical-relative:paragraph;z-index:251728896;rotation:316" type="#_x0000_t136" fillcolor="#000000" stroked="f">
            <o:extrusion v:ext="view" autorotationcenter="t"/>
            <v:textpath style="font-family:&quot;Arial&quot;;font-size:5pt;v-text-kern:t;mso-text-shadow:auto" string="S41"/>
            <w10:wrap type="none"/>
          </v:shape>
        </w:pict>
      </w:r>
      <w:r>
        <w:rPr/>
        <w:pict>
          <v:shape style="position:absolute;margin-left:104.675743pt;margin-top:-25.584778pt;width:10.45pt;height:5.9pt;mso-position-horizontal-relative:page;mso-position-vertical-relative:paragraph;z-index:251729920;rotation:316" type="#_x0000_t136" fillcolor="#000000" stroked="f">
            <o:extrusion v:ext="view" autorotationcenter="t"/>
            <v:textpath style="font-family:&quot;Arial&quot;;font-size:5pt;v-text-kern:t;mso-text-shadow:auto" string="S42"/>
            <w10:wrap type="none"/>
          </v:shape>
        </w:pict>
      </w:r>
      <w:r>
        <w:rPr/>
        <w:pict>
          <v:shape style="position:absolute;margin-left:116.33548pt;margin-top:-25.584778pt;width:10.45pt;height:5.9pt;mso-position-horizontal-relative:page;mso-position-vertical-relative:paragraph;z-index:251730944;rotation:316" type="#_x0000_t136" fillcolor="#000000" stroked="f">
            <o:extrusion v:ext="view" autorotationcenter="t"/>
            <v:textpath style="font-family:&quot;Arial&quot;;font-size:5pt;v-text-kern:t;mso-text-shadow:auto" string="S43"/>
            <w10:wrap type="none"/>
          </v:shape>
        </w:pict>
      </w:r>
      <w:r>
        <w:rPr/>
        <w:pict>
          <v:shape style="position:absolute;margin-left:128.068253pt;margin-top:-25.584778pt;width:10.45pt;height:5.9pt;mso-position-horizontal-relative:page;mso-position-vertical-relative:paragraph;z-index:251731968;rotation:316" type="#_x0000_t136" fillcolor="#000000" stroked="f">
            <o:extrusion v:ext="view" autorotationcenter="t"/>
            <v:textpath style="font-family:&quot;Arial&quot;;font-size:5pt;v-text-kern:t;mso-text-shadow:auto" string="S44"/>
            <w10:wrap type="none"/>
          </v:shape>
        </w:pict>
      </w:r>
      <w:r>
        <w:rPr/>
        <w:pict>
          <v:shape style="position:absolute;margin-left:139.730347pt;margin-top:-25.584778pt;width:10.45pt;height:5.9pt;mso-position-horizontal-relative:page;mso-position-vertical-relative:paragraph;z-index:251732992;rotation:316" type="#_x0000_t136" fillcolor="#000000" stroked="f">
            <o:extrusion v:ext="view" autorotationcenter="t"/>
            <v:textpath style="font-family:&quot;Arial&quot;;font-size:5pt;v-text-kern:t;mso-text-shadow:auto" string="S45"/>
            <w10:wrap type="none"/>
          </v:shape>
        </w:pict>
      </w:r>
      <w:r>
        <w:rPr/>
        <w:pict>
          <v:shape style="position:absolute;margin-left:151.392441pt;margin-top:-25.584778pt;width:10.45pt;height:5.9pt;mso-position-horizontal-relative:page;mso-position-vertical-relative:paragraph;z-index:251734016;rotation:316" type="#_x0000_t136" fillcolor="#000000" stroked="f">
            <o:extrusion v:ext="view" autorotationcenter="t"/>
            <v:textpath style="font-family:&quot;Arial&quot;;font-size:5pt;v-text-kern:t;mso-text-shadow:auto" string="S46"/>
            <w10:wrap type="none"/>
          </v:shape>
        </w:pict>
      </w:r>
      <w:r>
        <w:rPr/>
        <w:pict>
          <v:shape style="position:absolute;margin-left:163.054535pt;margin-top:-25.58478pt;width:10.45pt;height:5.9pt;mso-position-horizontal-relative:page;mso-position-vertical-relative:paragraph;z-index:251735040;rotation:316" type="#_x0000_t136" fillcolor="#000000" stroked="f">
            <o:extrusion v:ext="view" autorotationcenter="t"/>
            <v:textpath style="font-family:&quot;Arial&quot;;font-size:5pt;v-text-kern:t;mso-text-shadow:auto" string="S47"/>
            <w10:wrap type="none"/>
          </v:shape>
        </w:pict>
      </w:r>
      <w:r>
        <w:rPr/>
        <w:pict>
          <v:shape style="position:absolute;margin-left:174.787308pt;margin-top:-25.58478pt;width:10.45pt;height:5.9pt;mso-position-horizontal-relative:page;mso-position-vertical-relative:paragraph;z-index:251736064;rotation:316" type="#_x0000_t136" fillcolor="#000000" stroked="f">
            <o:extrusion v:ext="view" autorotationcenter="t"/>
            <v:textpath style="font-family:&quot;Arial&quot;;font-size:5pt;v-text-kern:t;mso-text-shadow:auto" string="S48"/>
            <w10:wrap type="none"/>
          </v:shape>
        </w:pict>
      </w:r>
      <w:r>
        <w:rPr/>
        <w:pict>
          <v:shape style="position:absolute;margin-left:186.449402pt;margin-top:-25.58478pt;width:10.45pt;height:5.9pt;mso-position-horizontal-relative:page;mso-position-vertical-relative:paragraph;z-index:251737088;rotation:316" type="#_x0000_t136" fillcolor="#000000" stroked="f">
            <o:extrusion v:ext="view" autorotationcenter="t"/>
            <v:textpath style="font-family:&quot;Arial&quot;;font-size:5pt;v-text-kern:t;mso-text-shadow:auto" string="S49"/>
            <w10:wrap type="none"/>
          </v:shape>
        </w:pict>
      </w:r>
      <w:r>
        <w:rPr/>
        <w:pict>
          <v:shape style="position:absolute;margin-left:198.111496pt;margin-top:-25.58478pt;width:10.45pt;height:5.9pt;mso-position-horizontal-relative:page;mso-position-vertical-relative:paragraph;z-index:251738112;rotation:316" type="#_x0000_t136" fillcolor="#000000" stroked="f">
            <o:extrusion v:ext="view" autorotationcenter="t"/>
            <v:textpath style="font-family:&quot;Arial&quot;;font-size:5pt;v-text-kern:t;mso-text-shadow:auto" string="S50"/>
            <w10:wrap type="none"/>
          </v:shape>
        </w:pict>
      </w:r>
      <w:r>
        <w:rPr/>
        <w:pict>
          <v:shape style="position:absolute;margin-left:209.79126pt;margin-top:-25.58478pt;width:10.45pt;height:5.9pt;mso-position-horizontal-relative:page;mso-position-vertical-relative:paragraph;z-index:251739136;rotation:316" type="#_x0000_t136" fillcolor="#000000" stroked="f">
            <o:extrusion v:ext="view" autorotationcenter="t"/>
            <v:textpath style="font-family:&quot;Arial&quot;;font-size:5pt;v-text-kern:t;mso-text-shadow:auto" string="S51"/>
            <w10:wrap type="none"/>
          </v:shape>
        </w:pict>
      </w:r>
      <w:r>
        <w:rPr/>
        <w:pict>
          <v:shape style="position:absolute;margin-left:221.524033pt;margin-top:-25.58478pt;width:10.45pt;height:5.9pt;mso-position-horizontal-relative:page;mso-position-vertical-relative:paragraph;z-index:251740160;rotation:316" type="#_x0000_t136" fillcolor="#000000" stroked="f">
            <o:extrusion v:ext="view" autorotationcenter="t"/>
            <v:textpath style="font-family:&quot;Arial&quot;;font-size:5pt;v-text-kern:t;mso-text-shadow:auto" string="S52"/>
            <w10:wrap type="none"/>
          </v:shape>
        </w:pict>
      </w:r>
      <w:r>
        <w:rPr/>
        <w:pict>
          <v:shape style="position:absolute;margin-left:233.186111pt;margin-top:-25.584782pt;width:10.45pt;height:5.9pt;mso-position-horizontal-relative:page;mso-position-vertical-relative:paragraph;z-index:251741184;rotation:316" type="#_x0000_t136" fillcolor="#000000" stroked="f">
            <o:extrusion v:ext="view" autorotationcenter="t"/>
            <v:textpath style="font-family:&quot;Arial&quot;;font-size:5pt;v-text-kern:t;mso-text-shadow:auto" string="S01"/>
            <w10:wrap type="none"/>
          </v:shape>
        </w:pict>
      </w:r>
      <w:r>
        <w:rPr/>
        <w:pict>
          <v:shape style="position:absolute;margin-left:244.848206pt;margin-top:-25.584782pt;width:10.45pt;height:5.9pt;mso-position-horizontal-relative:page;mso-position-vertical-relative:paragraph;z-index:251742208;rotation:316" type="#_x0000_t136" fillcolor="#000000" stroked="f">
            <o:extrusion v:ext="view" autorotationcenter="t"/>
            <v:textpath style="font-family:&quot;Arial&quot;;font-size:5pt;v-text-kern:t;mso-text-shadow:auto" string="S02"/>
            <w10:wrap type="none"/>
          </v:shape>
        </w:pict>
      </w:r>
      <w:r>
        <w:rPr/>
        <w:pict>
          <v:shape style="position:absolute;margin-left:256.580994pt;margin-top:-25.584782pt;width:10.45pt;height:5.9pt;mso-position-horizontal-relative:page;mso-position-vertical-relative:paragraph;z-index:251743232;rotation:316" type="#_x0000_t136" fillcolor="#000000" stroked="f">
            <o:extrusion v:ext="view" autorotationcenter="t"/>
            <v:textpath style="font-family:&quot;Arial&quot;;font-size:5pt;v-text-kern:t;mso-text-shadow:auto" string="S03"/>
            <w10:wrap type="none"/>
          </v:shape>
        </w:pict>
      </w:r>
      <w:r>
        <w:rPr/>
        <w:pict>
          <v:shape style="position:absolute;margin-left:268.243073pt;margin-top:-25.584782pt;width:10.45pt;height:5.9pt;mso-position-horizontal-relative:page;mso-position-vertical-relative:paragraph;z-index:251744256;rotation:316" type="#_x0000_t136" fillcolor="#000000" stroked="f">
            <o:extrusion v:ext="view" autorotationcenter="t"/>
            <v:textpath style="font-family:&quot;Arial&quot;;font-size:5pt;v-text-kern:t;mso-text-shadow:auto" string="S04"/>
            <w10:wrap type="none"/>
          </v:shape>
        </w:pict>
      </w:r>
      <w:r>
        <w:rPr/>
        <w:pict>
          <v:shape style="position:absolute;margin-left:279.905182pt;margin-top:-25.584782pt;width:10.45pt;height:5.9pt;mso-position-horizontal-relative:page;mso-position-vertical-relative:paragraph;z-index:251745280;rotation:316" type="#_x0000_t136" fillcolor="#000000" stroked="f">
            <o:extrusion v:ext="view" autorotationcenter="t"/>
            <v:textpath style="font-family:&quot;Arial&quot;;font-size:5pt;v-text-kern:t;mso-text-shadow:auto" string="S05"/>
            <w10:wrap type="none"/>
          </v:shape>
        </w:pict>
      </w:r>
      <w:r>
        <w:rPr/>
        <w:pict>
          <v:shape style="position:absolute;margin-left:291.567261pt;margin-top:-25.584782pt;width:10.45pt;height:5.9pt;mso-position-horizontal-relative:page;mso-position-vertical-relative:paragraph;z-index:251746304;rotation:316" type="#_x0000_t136" fillcolor="#000000" stroked="f">
            <o:extrusion v:ext="view" autorotationcenter="t"/>
            <v:textpath style="font-family:&quot;Arial&quot;;font-size:5pt;v-text-kern:t;mso-text-shadow:auto" string="S06"/>
            <w10:wrap type="none"/>
          </v:shape>
        </w:pict>
      </w:r>
      <w:r>
        <w:rPr/>
        <w:pict>
          <v:shape style="position:absolute;margin-left:303.311829pt;margin-top:-25.584784pt;width:10.45pt;height:5.9pt;mso-position-horizontal-relative:page;mso-position-vertical-relative:paragraph;z-index:251747328;rotation:316" type="#_x0000_t136" fillcolor="#000000" stroked="f">
            <o:extrusion v:ext="view" autorotationcenter="t"/>
            <v:textpath style="font-family:&quot;Arial&quot;;font-size:5pt;v-text-kern:t;mso-text-shadow:auto" string="S07"/>
            <w10:wrap type="none"/>
          </v:shape>
        </w:pict>
      </w:r>
      <w:r>
        <w:rPr/>
        <w:pict>
          <v:shape style="position:absolute;margin-left:314.973907pt;margin-top:-25.584784pt;width:10.45pt;height:5.9pt;mso-position-horizontal-relative:page;mso-position-vertical-relative:paragraph;z-index:251748352;rotation:316" type="#_x0000_t136" fillcolor="#000000" stroked="f">
            <o:extrusion v:ext="view" autorotationcenter="t"/>
            <v:textpath style="font-family:&quot;Arial&quot;;font-size:5pt;v-text-kern:t;mso-text-shadow:auto" string="S08"/>
            <w10:wrap type="none"/>
          </v:shape>
        </w:pict>
      </w:r>
      <w:r>
        <w:rPr/>
        <w:pict>
          <v:shape style="position:absolute;margin-left:326.636017pt;margin-top:-25.584784pt;width:10.45pt;height:5.9pt;mso-position-horizontal-relative:page;mso-position-vertical-relative:paragraph;z-index:251749376;rotation:316" type="#_x0000_t136" fillcolor="#000000" stroked="f">
            <o:extrusion v:ext="view" autorotationcenter="t"/>
            <v:textpath style="font-family:&quot;Arial&quot;;font-size:5pt;v-text-kern:t;mso-text-shadow:auto" string="S09"/>
            <w10:wrap type="none"/>
          </v:shape>
        </w:pict>
      </w:r>
      <w:r>
        <w:rPr/>
        <w:pict>
          <v:shape style="position:absolute;margin-left:338.298096pt;margin-top:-25.584784pt;width:10.45pt;height:5.9pt;mso-position-horizontal-relative:page;mso-position-vertical-relative:paragraph;z-index:251750400;rotation:316" type="#_x0000_t136" fillcolor="#000000" stroked="f">
            <o:extrusion v:ext="view" autorotationcenter="t"/>
            <v:textpath style="font-family:&quot;Arial&quot;;font-size:5pt;v-text-kern:t;mso-text-shadow:auto" string="S10"/>
            <w10:wrap type="none"/>
          </v:shape>
        </w:pict>
      </w:r>
      <w:r>
        <w:rPr/>
        <w:pict>
          <v:shape style="position:absolute;margin-left:350.030884pt;margin-top:-25.584784pt;width:10.45pt;height:5.9pt;mso-position-horizontal-relative:page;mso-position-vertical-relative:paragraph;z-index:251751424;rotation:316" type="#_x0000_t136" fillcolor="#000000" stroked="f">
            <o:extrusion v:ext="view" autorotationcenter="t"/>
            <v:textpath style="font-family:&quot;Arial&quot;;font-size:5pt;v-text-kern:t;mso-text-shadow:auto" string="S11"/>
            <w10:wrap type="none"/>
          </v:shape>
        </w:pict>
      </w:r>
      <w:r>
        <w:rPr/>
        <w:pict>
          <v:shape style="position:absolute;margin-left:361.692963pt;margin-top:-25.584785pt;width:10.45pt;height:5.9pt;mso-position-horizontal-relative:page;mso-position-vertical-relative:paragraph;z-index:251752448;rotation:316" type="#_x0000_t136" fillcolor="#000000" stroked="f">
            <o:extrusion v:ext="view" autorotationcenter="t"/>
            <v:textpath style="font-family:&quot;Arial&quot;;font-size:5pt;v-text-kern:t;mso-text-shadow:auto" string="S12"/>
            <w10:wrap type="none"/>
          </v:shape>
        </w:pict>
      </w:r>
      <w:r>
        <w:rPr/>
        <w:pict>
          <v:shape style="position:absolute;margin-left:373.355042pt;margin-top:-25.584785pt;width:10.45pt;height:5.9pt;mso-position-horizontal-relative:page;mso-position-vertical-relative:paragraph;z-index:251753472;rotation:316" type="#_x0000_t136" fillcolor="#000000" stroked="f">
            <o:extrusion v:ext="view" autorotationcenter="t"/>
            <v:textpath style="font-family:&quot;Arial&quot;;font-size:5pt;v-text-kern:t;mso-text-shadow:auto" string="S13"/>
            <w10:wrap type="none"/>
          </v:shape>
        </w:pict>
      </w:r>
      <w:r>
        <w:rPr/>
        <w:pict>
          <v:shape style="position:absolute;margin-left:385.017151pt;margin-top:-25.584785pt;width:10.45pt;height:5.9pt;mso-position-horizontal-relative:page;mso-position-vertical-relative:paragraph;z-index:251754496;rotation:316" type="#_x0000_t136" fillcolor="#000000" stroked="f">
            <o:extrusion v:ext="view" autorotationcenter="t"/>
            <v:textpath style="font-family:&quot;Arial&quot;;font-size:5pt;v-text-kern:t;mso-text-shadow:auto" string="S14"/>
            <w10:wrap type="none"/>
          </v:shape>
        </w:pict>
      </w:r>
      <w:r>
        <w:rPr/>
        <w:pict>
          <v:shape style="position:absolute;margin-left:396.767578pt;margin-top:-25.584785pt;width:10.45pt;height:5.9pt;mso-position-horizontal-relative:page;mso-position-vertical-relative:paragraph;z-index:251755520;rotation:316" type="#_x0000_t136" fillcolor="#000000" stroked="f">
            <o:extrusion v:ext="view" autorotationcenter="t"/>
            <v:textpath style="font-family:&quot;Arial&quot;;font-size:5pt;v-text-kern:t;mso-text-shadow:auto" string="S15"/>
            <w10:wrap type="none"/>
          </v:shape>
        </w:pict>
      </w:r>
      <w:r>
        <w:rPr/>
        <w:pict>
          <v:shape style="position:absolute;margin-left:408.429688pt;margin-top:-25.584785pt;width:10.45pt;height:5.9pt;mso-position-horizontal-relative:page;mso-position-vertical-relative:paragraph;z-index:251756544;rotation:316" type="#_x0000_t136" fillcolor="#000000" stroked="f">
            <o:extrusion v:ext="view" autorotationcenter="t"/>
            <v:textpath style="font-family:&quot;Arial&quot;;font-size:5pt;v-text-kern:t;mso-text-shadow:auto" string="S16"/>
            <w10:wrap type="none"/>
          </v:shape>
        </w:pict>
      </w:r>
      <w:r>
        <w:rPr/>
        <w:pict>
          <v:shape style="position:absolute;margin-left:420.091766pt;margin-top:-25.584785pt;width:10.45pt;height:5.9pt;mso-position-horizontal-relative:page;mso-position-vertical-relative:paragraph;z-index:251757568;rotation:316" type="#_x0000_t136" fillcolor="#000000" stroked="f">
            <o:extrusion v:ext="view" autorotationcenter="t"/>
            <v:textpath style="font-family:&quot;Arial&quot;;font-size:5pt;v-text-kern:t;mso-text-shadow:auto" string="S17"/>
            <w10:wrap type="none"/>
          </v:shape>
        </w:pict>
      </w:r>
      <w:r>
        <w:rPr/>
        <w:pict>
          <v:shape style="position:absolute;margin-left:431.753876pt;margin-top:-25.584787pt;width:10.45pt;height:5.9pt;mso-position-horizontal-relative:page;mso-position-vertical-relative:paragraph;z-index:251758592;rotation:316" type="#_x0000_t136" fillcolor="#000000" stroked="f">
            <o:extrusion v:ext="view" autorotationcenter="t"/>
            <v:textpath style="font-family:&quot;Arial&quot;;font-size:5pt;v-text-kern:t;mso-text-shadow:auto" string="S18"/>
            <w10:wrap type="none"/>
          </v:shape>
        </w:pict>
      </w:r>
      <w:r>
        <w:rPr/>
        <w:t>Datele raportate de sentinela de medici de familie din Bucuresti au demonstrat rate de atac (cazuri de viroza respiratorie la 1000 persoane inscrise in liste), care au depasit pragul epidemic (media saptamanala din anul precedent + SD) in saptamanile S50 si S51 (vezi diagrama urmatoare).</w:t>
      </w:r>
    </w:p>
    <w:p>
      <w:pPr>
        <w:spacing w:after="0"/>
        <w:sectPr>
          <w:pgSz w:w="11910" w:h="16840"/>
          <w:pgMar w:header="0" w:footer="738" w:top="0" w:bottom="920" w:left="900" w:right="0"/>
        </w:sectPr>
      </w:pPr>
    </w:p>
    <w:p>
      <w:pPr>
        <w:pStyle w:val="BodyText"/>
        <w:ind w:left="0"/>
        <w:rPr>
          <w:sz w:val="20"/>
        </w:rPr>
      </w:pPr>
      <w:r>
        <w:rPr/>
        <w:pict>
          <v:shape style="position:absolute;margin-left:64.181786pt;margin-top:175.139496pt;width:8.6pt;height:71.05pt;mso-position-horizontal-relative:page;mso-position-vertical-relative:page;z-index:251765760"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 cazuri la 1000 asigurati</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7"/>
        </w:rPr>
      </w:pPr>
    </w:p>
    <w:p>
      <w:pPr>
        <w:pStyle w:val="BodyText"/>
        <w:spacing w:before="90"/>
        <w:ind w:left="233"/>
      </w:pPr>
      <w:r>
        <w:rPr/>
        <w:pict>
          <v:group style="position:absolute;margin-left:59.001198pt;margin-top:-269.872986pt;width:427pt;height:260.6500pt;mso-position-horizontal-relative:page;mso-position-vertical-relative:paragraph;z-index:251764736" coordorigin="1180,-5397" coordsize="8540,5213">
            <v:rect style="position:absolute;left:1180;top:-5397;width:8538;height:5211" filled="false" stroked="true" strokeweight=".082444pt" strokecolor="#000000">
              <v:stroke dashstyle="solid"/>
            </v:rect>
            <v:rect style="position:absolute;left:1775;top:-4580;width:6688;height:3814" filled="false" stroked="true" strokeweight=".565329pt" strokecolor="#808080">
              <v:stroke dashstyle="solid"/>
            </v:rect>
            <v:rect style="position:absolute;left:1775;top:-3024;width:203;height:2258" filled="true" fillcolor="#ffff99" stroked="false">
              <v:fill type="solid"/>
            </v:rect>
            <v:rect style="position:absolute;left:1775;top:-3024;width:203;height:2258" filled="false" stroked="true" strokeweight=".565434pt" strokecolor="#000000">
              <v:stroke dashstyle="solid"/>
            </v:rect>
            <v:rect style="position:absolute;left:1978;top:-3052;width:204;height:2286" filled="true" fillcolor="#ffff99" stroked="false">
              <v:fill type="solid"/>
            </v:rect>
            <v:rect style="position:absolute;left:1978;top:-3052;width:204;height:2286" filled="false" stroked="true" strokeweight=".565434pt" strokecolor="#000000">
              <v:stroke dashstyle="solid"/>
            </v:rect>
            <v:rect style="position:absolute;left:2181;top:-3018;width:203;height:2252" filled="true" fillcolor="#ffff99" stroked="false">
              <v:fill type="solid"/>
            </v:rect>
            <v:rect style="position:absolute;left:2181;top:-3018;width:203;height:2252" filled="false" stroked="true" strokeweight=".565434pt" strokecolor="#000000">
              <v:stroke dashstyle="solid"/>
            </v:rect>
            <v:rect style="position:absolute;left:2384;top:-3134;width:203;height:2368" filled="true" fillcolor="#ffff99" stroked="false">
              <v:fill type="solid"/>
            </v:rect>
            <v:rect style="position:absolute;left:2384;top:-3134;width:203;height:2368" filled="false" stroked="true" strokeweight=".565434pt" strokecolor="#000000">
              <v:stroke dashstyle="solid"/>
            </v:rect>
            <v:rect style="position:absolute;left:2586;top:-2925;width:204;height:2159" filled="true" fillcolor="#ffff99" stroked="false">
              <v:fill type="solid"/>
            </v:rect>
            <v:rect style="position:absolute;left:2586;top:-2925;width:204;height:2159" filled="false" stroked="true" strokeweight=".565434pt" strokecolor="#000000">
              <v:stroke dashstyle="solid"/>
            </v:rect>
            <v:rect style="position:absolute;left:2789;top:-2642;width:203;height:1876" filled="true" fillcolor="#ffff99" stroked="false">
              <v:fill type="solid"/>
            </v:rect>
            <v:rect style="position:absolute;left:2789;top:-2642;width:203;height:1876" filled="false" stroked="true" strokeweight=".565433pt" strokecolor="#000000">
              <v:stroke dashstyle="solid"/>
            </v:rect>
            <v:rect style="position:absolute;left:2991;top:-2426;width:203;height:1660" filled="true" fillcolor="#ffff99" stroked="false">
              <v:fill type="solid"/>
            </v:rect>
            <v:rect style="position:absolute;left:2991;top:-2426;width:203;height:1660" filled="false" stroked="true" strokeweight=".565433pt" strokecolor="#000000">
              <v:stroke dashstyle="solid"/>
            </v:rect>
            <v:rect style="position:absolute;left:3194;top:-2786;width:204;height:2021" filled="true" fillcolor="#ffff99" stroked="false">
              <v:fill type="solid"/>
            </v:rect>
            <v:rect style="position:absolute;left:3194;top:-2786;width:204;height:2021" filled="false" stroked="true" strokeweight=".565433pt" strokecolor="#000000">
              <v:stroke dashstyle="solid"/>
            </v:rect>
            <v:rect style="position:absolute;left:3397;top:-2050;width:203;height:1284" filled="true" fillcolor="#ffff99" stroked="false">
              <v:fill type="solid"/>
            </v:rect>
            <v:rect style="position:absolute;left:3397;top:-2050;width:203;height:1284" filled="false" stroked="true" strokeweight=".565431pt" strokecolor="#000000">
              <v:stroke dashstyle="solid"/>
            </v:rect>
            <v:rect style="position:absolute;left:3599;top:-3246;width:203;height:2480" filled="true" fillcolor="#ffff99" stroked="false">
              <v:fill type="solid"/>
            </v:rect>
            <v:rect style="position:absolute;left:3599;top:-3246;width:203;height:2480" filled="false" stroked="true" strokeweight=".565434pt" strokecolor="#000000">
              <v:stroke dashstyle="solid"/>
            </v:rect>
            <v:rect style="position:absolute;left:3801;top:-4047;width:204;height:3281" filled="true" fillcolor="#ffff99" stroked="false">
              <v:fill type="solid"/>
            </v:rect>
            <v:rect style="position:absolute;left:3801;top:-4047;width:204;height:3281" filled="false" stroked="true" strokeweight=".565434pt" strokecolor="#000000">
              <v:stroke dashstyle="solid"/>
            </v:rect>
            <v:rect style="position:absolute;left:4005;top:-3671;width:203;height:2905" filled="true" fillcolor="#ffff99" stroked="false">
              <v:fill type="solid"/>
            </v:rect>
            <v:rect style="position:absolute;left:4005;top:-3671;width:203;height:2905" filled="false" stroked="true" strokeweight=".565434pt" strokecolor="#000000">
              <v:stroke dashstyle="solid"/>
            </v:rect>
            <v:rect style="position:absolute;left:4207;top:-2819;width:203;height:2053" filled="true" fillcolor="#ffff99" stroked="false">
              <v:fill type="solid"/>
            </v:rect>
            <v:rect style="position:absolute;left:4207;top:-2819;width:203;height:2053" filled="false" stroked="true" strokeweight=".565433pt" strokecolor="#000000">
              <v:stroke dashstyle="solid"/>
            </v:rect>
            <v:rect style="position:absolute;left:4410;top:-3240;width:204;height:2474" filled="true" fillcolor="#ffff99" stroked="false">
              <v:fill type="solid"/>
            </v:rect>
            <v:rect style="position:absolute;left:4410;top:-3240;width:204;height:2474" filled="false" stroked="true" strokeweight=".565434pt" strokecolor="#000000">
              <v:stroke dashstyle="solid"/>
            </v:rect>
            <v:rect style="position:absolute;left:4613;top:-2792;width:203;height:2026" filled="true" fillcolor="#ffff99" stroked="false">
              <v:fill type="solid"/>
            </v:rect>
            <v:rect style="position:absolute;left:4613;top:-2792;width:203;height:2026" filled="false" stroked="true" strokeweight=".565433pt" strokecolor="#000000">
              <v:stroke dashstyle="solid"/>
            </v:rect>
            <v:rect style="position:absolute;left:4815;top:-3223;width:203;height:2457" filled="true" fillcolor="#ffff99" stroked="false">
              <v:fill type="solid"/>
            </v:rect>
            <v:rect style="position:absolute;left:4815;top:-3223;width:203;height:2457" filled="false" stroked="true" strokeweight=".565434pt" strokecolor="#000000">
              <v:stroke dashstyle="solid"/>
            </v:rect>
            <v:rect style="position:absolute;left:5017;top:-2692;width:204;height:1926" filled="true" fillcolor="#ffff99" stroked="false">
              <v:fill type="solid"/>
            </v:rect>
            <v:rect style="position:absolute;left:5017;top:-2692;width:204;height:1926" filled="false" stroked="true" strokeweight=".565433pt" strokecolor="#000000">
              <v:stroke dashstyle="solid"/>
            </v:rect>
            <v:rect style="position:absolute;left:5221;top:-2796;width:203;height:2030" filled="true" fillcolor="#ffff99" stroked="false">
              <v:fill type="solid"/>
            </v:rect>
            <v:rect style="position:absolute;left:5221;top:-2796;width:203;height:2030" filled="false" stroked="true" strokeweight=".565433pt" strokecolor="#000000">
              <v:stroke dashstyle="solid"/>
            </v:rect>
            <v:rect style="position:absolute;left:5423;top:-3183;width:203;height:2418" filled="true" fillcolor="#ffff99" stroked="false">
              <v:fill type="solid"/>
            </v:rect>
            <v:rect style="position:absolute;left:5423;top:-3183;width:203;height:2418" filled="false" stroked="true" strokeweight=".565434pt" strokecolor="#000000">
              <v:stroke dashstyle="solid"/>
            </v:rect>
            <v:rect style="position:absolute;left:5625;top:-3157;width:204;height:2391" filled="true" fillcolor="#ffff99" stroked="false">
              <v:fill type="solid"/>
            </v:rect>
            <v:rect style="position:absolute;left:5625;top:-3157;width:204;height:2391" filled="false" stroked="true" strokeweight=".565434pt" strokecolor="#000000">
              <v:stroke dashstyle="solid"/>
            </v:rect>
            <v:rect style="position:absolute;left:5829;top:-2847;width:203;height:2081" filled="true" fillcolor="#ffff99" stroked="false">
              <v:fill type="solid"/>
            </v:rect>
            <v:rect style="position:absolute;left:5829;top:-2847;width:203;height:2081" filled="false" stroked="true" strokeweight=".565434pt" strokecolor="#000000">
              <v:stroke dashstyle="solid"/>
            </v:rect>
            <v:rect style="position:absolute;left:6031;top:-2304;width:203;height:1538" filled="true" fillcolor="#ffff99" stroked="false">
              <v:fill type="solid"/>
            </v:rect>
            <v:rect style="position:absolute;left:6031;top:-2304;width:203;height:1538" filled="false" stroked="true" strokeweight=".565432pt" strokecolor="#000000">
              <v:stroke dashstyle="solid"/>
            </v:rect>
            <v:rect style="position:absolute;left:6233;top:-2443;width:204;height:1677" filled="true" fillcolor="#ffff99" stroked="false">
              <v:fill type="solid"/>
            </v:rect>
            <v:rect style="position:absolute;left:6233;top:-2443;width:204;height:1677" filled="false" stroked="true" strokeweight=".565433pt" strokecolor="#000000">
              <v:stroke dashstyle="solid"/>
            </v:rect>
            <v:rect style="position:absolute;left:6437;top:-3113;width:203;height:2347" filled="true" fillcolor="#ffff99" stroked="false">
              <v:fill type="solid"/>
            </v:rect>
            <v:rect style="position:absolute;left:6437;top:-3113;width:203;height:2347" filled="false" stroked="true" strokeweight=".565434pt" strokecolor="#000000">
              <v:stroke dashstyle="solid"/>
            </v:rect>
            <v:rect style="position:absolute;left:6639;top:-2183;width:203;height:1417" filled="true" fillcolor="#ffff99" stroked="false">
              <v:fill type="solid"/>
            </v:rect>
            <v:rect style="position:absolute;left:6639;top:-2183;width:203;height:1417" filled="false" stroked="true" strokeweight=".565432pt" strokecolor="#000000">
              <v:stroke dashstyle="solid"/>
            </v:rect>
            <v:rect style="position:absolute;left:6841;top:-2741;width:204;height:1975" filled="true" fillcolor="#ffff99" stroked="false">
              <v:fill type="solid"/>
            </v:rect>
            <v:rect style="position:absolute;left:6841;top:-2741;width:204;height:1975" filled="false" stroked="true" strokeweight=".565433pt" strokecolor="#000000">
              <v:stroke dashstyle="solid"/>
            </v:rect>
            <v:rect style="position:absolute;left:7045;top:-2669;width:203;height:1903" filled="true" fillcolor="#ffff99" stroked="false">
              <v:fill type="solid"/>
            </v:rect>
            <v:rect style="position:absolute;left:7045;top:-2669;width:203;height:1903" filled="false" stroked="true" strokeweight=".565433pt" strokecolor="#000000">
              <v:stroke dashstyle="solid"/>
            </v:rect>
            <v:rect style="position:absolute;left:7247;top:-2697;width:203;height:1932" filled="true" fillcolor="#ffff99" stroked="false">
              <v:fill type="solid"/>
            </v:rect>
            <v:rect style="position:absolute;left:7247;top:-2697;width:203;height:1932" filled="false" stroked="true" strokeweight=".565433pt" strokecolor="#000000">
              <v:stroke dashstyle="solid"/>
            </v:rect>
            <v:rect style="position:absolute;left:7449;top:-2443;width:204;height:1677" filled="true" fillcolor="#ffff99" stroked="false">
              <v:fill type="solid"/>
            </v:rect>
            <v:rect style="position:absolute;left:7449;top:-2443;width:204;height:1677" filled="false" stroked="true" strokeweight=".565433pt" strokecolor="#000000">
              <v:stroke dashstyle="solid"/>
            </v:rect>
            <v:rect style="position:absolute;left:7653;top:-2541;width:203;height:1776" filled="true" fillcolor="#ffff99" stroked="false">
              <v:fill type="solid"/>
            </v:rect>
            <v:rect style="position:absolute;left:7653;top:-2541;width:203;height:1776" filled="false" stroked="true" strokeweight=".565433pt" strokecolor="#000000">
              <v:stroke dashstyle="solid"/>
            </v:rect>
            <v:rect style="position:absolute;left:7855;top:-2509;width:203;height:1743" filled="true" fillcolor="#ffff99" stroked="false">
              <v:fill type="solid"/>
            </v:rect>
            <v:rect style="position:absolute;left:7855;top:-2509;width:203;height:1743" filled="false" stroked="true" strokeweight=".565433pt" strokecolor="#000000">
              <v:stroke dashstyle="solid"/>
            </v:rect>
            <v:rect style="position:absolute;left:8057;top:-2697;width:204;height:1932" filled="true" fillcolor="#ffff99" stroked="false">
              <v:fill type="solid"/>
            </v:rect>
            <v:rect style="position:absolute;left:8057;top:-2697;width:204;height:1932" filled="false" stroked="true" strokeweight=".565433pt" strokecolor="#000000">
              <v:stroke dashstyle="solid"/>
            </v:rect>
            <v:rect style="position:absolute;left:8261;top:-2796;width:203;height:2030" filled="true" fillcolor="#ffff99" stroked="false">
              <v:fill type="solid"/>
            </v:rect>
            <v:rect style="position:absolute;left:8261;top:-2796;width:203;height:2030" filled="false" stroked="true" strokeweight=".565433pt" strokecolor="#000000">
              <v:stroke dashstyle="solid"/>
            </v:rect>
            <v:shape style="position:absolute;left:1030;top:2414;width:11414;height:6537" coordorigin="1031,2415" coordsize="11414,6537" path="m1777,-4579l1777,-766m1741,-765l1811,-765m1741,-1189l1811,-1189m1741,-1613l1811,-1613m1741,-2036l1811,-2036m1741,-2460l1811,-2460m1741,-2884l1811,-2884m1741,-3308l1811,-3308m1741,-3731l1811,-3731m1741,-4155l1811,-4155m1741,-4579l1811,-4579m1777,-765l8463,-765m1777,-730l1777,-799m1979,-730l1979,-799m2183,-730l2183,-799m2385,-730l2385,-799m2587,-730l2587,-799m2790,-730l2790,-799m2993,-730l2993,-799m3195,-730l3195,-799m3398,-730l3398,-799m3600,-730l3600,-799m3803,-730l3803,-799m4006,-730l4006,-799m4209,-730l4209,-799m4411,-730l4411,-799m4614,-730l4614,-799m4816,-730l4816,-799m5019,-730l5019,-799m5222,-730l5222,-799m5424,-730l5424,-799m5626,-730l5626,-799m5830,-730l5830,-799m6032,-730l6032,-799m6235,-730l6235,-799m6438,-730l6438,-799m6640,-730l6640,-799m6842,-730l6842,-799m7046,-730l7046,-799m7248,-730l7248,-799m7450,-730l7450,-799m7654,-730l7654,-799m7856,-730l7856,-799m8058,-730l8058,-799m8262,-730l8262,-799m8464,-730l8464,-799e" filled="false" stroked="true" strokeweight=".082449pt" strokecolor="#000000">
              <v:path arrowok="t"/>
              <v:stroke dashstyle="solid"/>
            </v:shape>
            <v:line style="position:absolute" from="1872,-3563" to="8367,-3563" stroked="true" strokeweight=".565295pt" strokecolor="#800000">
              <v:stroke dashstyle="solid"/>
            </v:line>
            <v:shape style="position:absolute;left:1848;top:-3593;width:60;height:60" coordorigin="1848,-3593" coordsize="60,60" path="m1878,-3593l1848,-3533,1907,-3533,1878,-3593xe" filled="true" fillcolor="#800000" stroked="false">
              <v:path arrowok="t"/>
              <v:fill type="solid"/>
            </v:shape>
            <v:shape style="position:absolute;left:1848;top:-3593;width:60;height:60" coordorigin="1848,-3593" coordsize="60,60" path="m1878,-3593l1907,-3533,1848,-3533,1878,-3593xe" filled="false" stroked="true" strokeweight=".565365pt" strokecolor="#800000">
              <v:path arrowok="t"/>
              <v:stroke dashstyle="solid"/>
            </v:shape>
            <v:shape style="position:absolute;left:2050;top:-3593;width:60;height:60" coordorigin="2050,-3593" coordsize="60,60" path="m2080,-3593l2050,-3533,2110,-3533,2080,-3593xe" filled="true" fillcolor="#800000" stroked="false">
              <v:path arrowok="t"/>
              <v:fill type="solid"/>
            </v:shape>
            <v:shape style="position:absolute;left:2050;top:-3593;width:60;height:60" coordorigin="2050,-3593" coordsize="60,60" path="m2080,-3593l2110,-3533,2050,-3533,2080,-3593xe" filled="false" stroked="true" strokeweight=".565365pt" strokecolor="#800000">
              <v:path arrowok="t"/>
              <v:stroke dashstyle="solid"/>
            </v:shape>
            <v:shape style="position:absolute;left:2252;top:-3593;width:60;height:60" coordorigin="2253,-3593" coordsize="60,60" path="m2282,-3593l2253,-3533,2312,-3533,2282,-3593xe" filled="true" fillcolor="#800000" stroked="false">
              <v:path arrowok="t"/>
              <v:fill type="solid"/>
            </v:shape>
            <v:shape style="position:absolute;left:2252;top:-3593;width:60;height:60" coordorigin="2253,-3593" coordsize="60,60" path="m2282,-3593l2312,-3533,2253,-3533,2282,-3593xe" filled="false" stroked="true" strokeweight=".565365pt" strokecolor="#800000">
              <v:path arrowok="t"/>
              <v:stroke dashstyle="solid"/>
            </v:shape>
            <v:shape style="position:absolute;left:2456;top:-3593;width:60;height:60" coordorigin="2456,-3593" coordsize="60,60" path="m2486,-3593l2456,-3533,2516,-3533,2486,-3593xe" filled="true" fillcolor="#800000" stroked="false">
              <v:path arrowok="t"/>
              <v:fill type="solid"/>
            </v:shape>
            <v:shape style="position:absolute;left:2456;top:-3593;width:60;height:60" coordorigin="2456,-3593" coordsize="60,60" path="m2486,-3593l2516,-3533,2456,-3533,2486,-3593xe" filled="false" stroked="true" strokeweight=".565365pt" strokecolor="#800000">
              <v:path arrowok="t"/>
              <v:stroke dashstyle="solid"/>
            </v:shape>
            <v:shape style="position:absolute;left:2658;top:-3593;width:60;height:60" coordorigin="2658,-3593" coordsize="60,60" path="m2688,-3593l2658,-3533,2718,-3533,2688,-3593xe" filled="true" fillcolor="#800000" stroked="false">
              <v:path arrowok="t"/>
              <v:fill type="solid"/>
            </v:shape>
            <v:shape style="position:absolute;left:2658;top:-3593;width:60;height:60" coordorigin="2658,-3593" coordsize="60,60" path="m2688,-3593l2718,-3533,2658,-3533,2688,-3593xe" filled="false" stroked="true" strokeweight=".565365pt" strokecolor="#800000">
              <v:path arrowok="t"/>
              <v:stroke dashstyle="solid"/>
            </v:shape>
            <v:shape style="position:absolute;left:2860;top:-3593;width:60;height:60" coordorigin="2860,-3593" coordsize="60,60" path="m2890,-3593l2860,-3533,2920,-3533,2890,-3593xe" filled="true" fillcolor="#800000" stroked="false">
              <v:path arrowok="t"/>
              <v:fill type="solid"/>
            </v:shape>
            <v:shape style="position:absolute;left:2860;top:-3593;width:60;height:60" coordorigin="2860,-3593" coordsize="60,60" path="m2890,-3593l2920,-3533,2860,-3533,2890,-3593xe" filled="false" stroked="true" strokeweight=".565365pt" strokecolor="#800000">
              <v:path arrowok="t"/>
              <v:stroke dashstyle="solid"/>
            </v:shape>
            <v:shape style="position:absolute;left:3063;top:-3593;width:60;height:60" coordorigin="3064,-3593" coordsize="60,60" path="m3094,-3593l3064,-3533,3123,-3533,3094,-3593xe" filled="true" fillcolor="#800000" stroked="false">
              <v:path arrowok="t"/>
              <v:fill type="solid"/>
            </v:shape>
            <v:shape style="position:absolute;left:3063;top:-3593;width:60;height:60" coordorigin="3064,-3593" coordsize="60,60" path="m3094,-3593l3123,-3533,3064,-3533,3094,-3593xe" filled="false" stroked="true" strokeweight=".565365pt" strokecolor="#800000">
              <v:path arrowok="t"/>
              <v:stroke dashstyle="solid"/>
            </v:shape>
            <v:shape style="position:absolute;left:3266;top:-3593;width:60;height:60" coordorigin="3266,-3593" coordsize="60,60" path="m3296,-3593l3266,-3533,3325,-3533,3296,-3593xe" filled="true" fillcolor="#800000" stroked="false">
              <v:path arrowok="t"/>
              <v:fill type="solid"/>
            </v:shape>
            <v:shape style="position:absolute;left:3266;top:-3593;width:60;height:60" coordorigin="3266,-3593" coordsize="60,60" path="m3296,-3593l3325,-3533,3266,-3533,3296,-3593xe" filled="false" stroked="true" strokeweight=".565365pt" strokecolor="#800000">
              <v:path arrowok="t"/>
              <v:stroke dashstyle="solid"/>
            </v:shape>
            <v:shape style="position:absolute;left:3468;top:-3593;width:60;height:60" coordorigin="3468,-3593" coordsize="60,60" path="m3498,-3593l3468,-3533,3528,-3533,3498,-3593xe" filled="true" fillcolor="#800000" stroked="false">
              <v:path arrowok="t"/>
              <v:fill type="solid"/>
            </v:shape>
            <v:shape style="position:absolute;left:3468;top:-3593;width:60;height:60" coordorigin="3468,-3593" coordsize="60,60" path="m3498,-3593l3528,-3533,3468,-3533,3498,-3593xe" filled="false" stroked="true" strokeweight=".565365pt" strokecolor="#800000">
              <v:path arrowok="t"/>
              <v:stroke dashstyle="solid"/>
            </v:shape>
            <v:shape style="position:absolute;left:3671;top:-3593;width:60;height:60" coordorigin="3672,-3593" coordsize="60,60" path="m3702,-3593l3672,-3533,3731,-3533,3702,-3593xe" filled="true" fillcolor="#800000" stroked="false">
              <v:path arrowok="t"/>
              <v:fill type="solid"/>
            </v:shape>
            <v:shape style="position:absolute;left:3671;top:-3593;width:60;height:60" coordorigin="3672,-3593" coordsize="60,60" path="m3702,-3593l3731,-3533,3672,-3533,3702,-3593xe" filled="false" stroked="true" strokeweight=".565365pt" strokecolor="#800000">
              <v:path arrowok="t"/>
              <v:stroke dashstyle="solid"/>
            </v:shape>
            <v:shape style="position:absolute;left:3873;top:-3593;width:60;height:60" coordorigin="3874,-3593" coordsize="60,60" path="m3904,-3593l3874,-3533,3933,-3533,3904,-3593xe" filled="true" fillcolor="#800000" stroked="false">
              <v:path arrowok="t"/>
              <v:fill type="solid"/>
            </v:shape>
            <v:shape style="position:absolute;left:3873;top:-3593;width:60;height:60" coordorigin="3874,-3593" coordsize="60,60" path="m3904,-3593l3933,-3533,3874,-3533,3904,-3593xe" filled="false" stroked="true" strokeweight=".565365pt" strokecolor="#800000">
              <v:path arrowok="t"/>
              <v:stroke dashstyle="solid"/>
            </v:shape>
            <v:shape style="position:absolute;left:4076;top:-3593;width:60;height:60" coordorigin="4076,-3593" coordsize="60,60" path="m4106,-3593l4076,-3533,4136,-3533,4106,-3593xe" filled="true" fillcolor="#800000" stroked="false">
              <v:path arrowok="t"/>
              <v:fill type="solid"/>
            </v:shape>
            <v:shape style="position:absolute;left:4076;top:-3593;width:60;height:60" coordorigin="4076,-3593" coordsize="60,60" path="m4106,-3593l4136,-3533,4076,-3533,4106,-3593xe" filled="false" stroked="true" strokeweight=".565365pt" strokecolor="#800000">
              <v:path arrowok="t"/>
              <v:stroke dashstyle="solid"/>
            </v:shape>
            <v:shape style="position:absolute;left:4280;top:-3593;width:60;height:60" coordorigin="4280,-3593" coordsize="60,60" path="m4310,-3593l4280,-3533,4339,-3533,4310,-3593xe" filled="true" fillcolor="#800000" stroked="false">
              <v:path arrowok="t"/>
              <v:fill type="solid"/>
            </v:shape>
            <v:shape style="position:absolute;left:4280;top:-3593;width:60;height:60" coordorigin="4280,-3593" coordsize="60,60" path="m4310,-3593l4339,-3533,4280,-3533,4310,-3593xe" filled="false" stroked="true" strokeweight=".565365pt" strokecolor="#800000">
              <v:path arrowok="t"/>
              <v:stroke dashstyle="solid"/>
            </v:shape>
            <v:shape style="position:absolute;left:4482;top:-3593;width:60;height:60" coordorigin="4482,-3593" coordsize="60,60" path="m4512,-3593l4482,-3533,4542,-3533,4512,-3593xe" filled="true" fillcolor="#800000" stroked="false">
              <v:path arrowok="t"/>
              <v:fill type="solid"/>
            </v:shape>
            <v:shape style="position:absolute;left:4482;top:-3593;width:60;height:60" coordorigin="4482,-3593" coordsize="60,60" path="m4512,-3593l4542,-3533,4482,-3533,4512,-3593xe" filled="false" stroked="true" strokeweight=".565365pt" strokecolor="#800000">
              <v:path arrowok="t"/>
              <v:stroke dashstyle="solid"/>
            </v:shape>
            <v:shape style="position:absolute;left:4684;top:-3593;width:60;height:60" coordorigin="4684,-3593" coordsize="60,60" path="m4714,-3593l4684,-3533,4744,-3533,4714,-3593xe" filled="true" fillcolor="#800000" stroked="false">
              <v:path arrowok="t"/>
              <v:fill type="solid"/>
            </v:shape>
            <v:shape style="position:absolute;left:4684;top:-3593;width:60;height:60" coordorigin="4684,-3593" coordsize="60,60" path="m4714,-3593l4744,-3533,4684,-3533,4714,-3593xe" filled="false" stroked="true" strokeweight=".565365pt" strokecolor="#800000">
              <v:path arrowok="t"/>
              <v:stroke dashstyle="solid"/>
            </v:shape>
            <v:shape style="position:absolute;left:4887;top:-3593;width:60;height:60" coordorigin="4888,-3593" coordsize="60,60" path="m4918,-3593l4888,-3533,4947,-3533,4918,-3593xe" filled="true" fillcolor="#800000" stroked="false">
              <v:path arrowok="t"/>
              <v:fill type="solid"/>
            </v:shape>
            <v:shape style="position:absolute;left:4887;top:-3593;width:60;height:60" coordorigin="4888,-3593" coordsize="60,60" path="m4918,-3593l4947,-3533,4888,-3533,4918,-3593xe" filled="false" stroked="true" strokeweight=".565365pt" strokecolor="#800000">
              <v:path arrowok="t"/>
              <v:stroke dashstyle="solid"/>
            </v:shape>
            <v:shape style="position:absolute;left:5090;top:-3593;width:60;height:60" coordorigin="5090,-3593" coordsize="60,60" path="m5120,-3593l5090,-3533,5149,-3533,5120,-3593xe" filled="true" fillcolor="#800000" stroked="false">
              <v:path arrowok="t"/>
              <v:fill type="solid"/>
            </v:shape>
            <v:shape style="position:absolute;left:5090;top:-3593;width:60;height:60" coordorigin="5090,-3593" coordsize="60,60" path="m5120,-3593l5149,-3533,5090,-3533,5120,-3593xe" filled="false" stroked="true" strokeweight=".565365pt" strokecolor="#800000">
              <v:path arrowok="t"/>
              <v:stroke dashstyle="solid"/>
            </v:shape>
            <v:shape style="position:absolute;left:5292;top:-3593;width:60;height:60" coordorigin="5292,-3593" coordsize="60,60" path="m5322,-3593l5292,-3533,5352,-3533,5322,-3593xe" filled="true" fillcolor="#800000" stroked="false">
              <v:path arrowok="t"/>
              <v:fill type="solid"/>
            </v:shape>
            <v:shape style="position:absolute;left:5292;top:-3593;width:60;height:60" coordorigin="5292,-3593" coordsize="60,60" path="m5322,-3593l5352,-3533,5292,-3533,5322,-3593xe" filled="false" stroked="true" strokeweight=".565365pt" strokecolor="#800000">
              <v:path arrowok="t"/>
              <v:stroke dashstyle="solid"/>
            </v:shape>
            <v:shape style="position:absolute;left:5495;top:-3593;width:60;height:60" coordorigin="5496,-3593" coordsize="60,60" path="m5525,-3593l5496,-3533,5555,-3533,5525,-3593xe" filled="true" fillcolor="#800000" stroked="false">
              <v:path arrowok="t"/>
              <v:fill type="solid"/>
            </v:shape>
            <v:shape style="position:absolute;left:5495;top:-3593;width:60;height:60" coordorigin="5496,-3593" coordsize="60,60" path="m5525,-3593l5555,-3533,5496,-3533,5525,-3593xe" filled="false" stroked="true" strokeweight=".565365pt" strokecolor="#800000">
              <v:path arrowok="t"/>
              <v:stroke dashstyle="solid"/>
            </v:shape>
            <v:shape style="position:absolute;left:5697;top:-3593;width:60;height:60" coordorigin="5698,-3593" coordsize="60,60" path="m5728,-3593l5698,-3533,5757,-3533,5728,-3593xe" filled="true" fillcolor="#800000" stroked="false">
              <v:path arrowok="t"/>
              <v:fill type="solid"/>
            </v:shape>
            <v:shape style="position:absolute;left:5697;top:-3593;width:60;height:60" coordorigin="5698,-3593" coordsize="60,60" path="m5728,-3593l5757,-3533,5698,-3533,5728,-3593xe" filled="false" stroked="true" strokeweight=".565365pt" strokecolor="#800000">
              <v:path arrowok="t"/>
              <v:stroke dashstyle="solid"/>
            </v:shape>
            <v:shape style="position:absolute;left:5900;top:-3593;width:60;height:60" coordorigin="5900,-3593" coordsize="60,60" path="m5930,-3593l5900,-3533,5960,-3533,5930,-3593xe" filled="true" fillcolor="#800000" stroked="false">
              <v:path arrowok="t"/>
              <v:fill type="solid"/>
            </v:shape>
            <v:shape style="position:absolute;left:5900;top:-3593;width:60;height:60" coordorigin="5900,-3593" coordsize="60,60" path="m5930,-3593l5960,-3533,5900,-3533,5930,-3593xe" filled="false" stroked="true" strokeweight=".565365pt" strokecolor="#800000">
              <v:path arrowok="t"/>
              <v:stroke dashstyle="solid"/>
            </v:shape>
            <v:shape style="position:absolute;left:6103;top:-3593;width:60;height:60" coordorigin="6104,-3593" coordsize="60,60" path="m6133,-3593l6104,-3533,6163,-3533,6133,-3593xe" filled="true" fillcolor="#800000" stroked="false">
              <v:path arrowok="t"/>
              <v:fill type="solid"/>
            </v:shape>
            <v:shape style="position:absolute;left:6103;top:-3593;width:60;height:60" coordorigin="6104,-3593" coordsize="60,60" path="m6133,-3593l6163,-3533,6104,-3533,6133,-3593xe" filled="false" stroked="true" strokeweight=".565365pt" strokecolor="#800000">
              <v:path arrowok="t"/>
              <v:stroke dashstyle="solid"/>
            </v:shape>
            <v:shape style="position:absolute;left:6305;top:-3593;width:60;height:60" coordorigin="6306,-3593" coordsize="60,60" path="m6336,-3593l6306,-3533,6365,-3533,6336,-3593xe" filled="true" fillcolor="#800000" stroked="false">
              <v:path arrowok="t"/>
              <v:fill type="solid"/>
            </v:shape>
            <v:shape style="position:absolute;left:6305;top:-3593;width:60;height:60" coordorigin="6306,-3593" coordsize="60,60" path="m6336,-3593l6365,-3533,6306,-3533,6336,-3593xe" filled="false" stroked="true" strokeweight=".565365pt" strokecolor="#800000">
              <v:path arrowok="t"/>
              <v:stroke dashstyle="solid"/>
            </v:shape>
            <v:shape style="position:absolute;left:6508;top:-3593;width:60;height:60" coordorigin="6508,-3593" coordsize="60,60" path="m6538,-3593l6508,-3533,6567,-3533,6538,-3593xe" filled="true" fillcolor="#800000" stroked="false">
              <v:path arrowok="t"/>
              <v:fill type="solid"/>
            </v:shape>
            <v:shape style="position:absolute;left:6508;top:-3593;width:60;height:60" coordorigin="6508,-3593" coordsize="60,60" path="m6538,-3593l6567,-3533,6508,-3533,6538,-3593xe" filled="false" stroked="true" strokeweight=".565365pt" strokecolor="#800000">
              <v:path arrowok="t"/>
              <v:stroke dashstyle="solid"/>
            </v:shape>
            <v:shape style="position:absolute;left:6711;top:-3593;width:60;height:60" coordorigin="6712,-3593" coordsize="60,60" path="m6741,-3593l6712,-3533,6771,-3533,6741,-3593xe" filled="true" fillcolor="#800000" stroked="false">
              <v:path arrowok="t"/>
              <v:fill type="solid"/>
            </v:shape>
            <v:shape style="position:absolute;left:6711;top:-3593;width:60;height:60" coordorigin="6712,-3593" coordsize="60,60" path="m6741,-3593l6771,-3533,6712,-3533,6741,-3593xe" filled="false" stroked="true" strokeweight=".565365pt" strokecolor="#800000">
              <v:path arrowok="t"/>
              <v:stroke dashstyle="solid"/>
            </v:shape>
            <v:shape style="position:absolute;left:6913;top:-3593;width:60;height:60" coordorigin="6914,-3593" coordsize="60,60" path="m6943,-3593l6914,-3533,6973,-3533,6943,-3593xe" filled="true" fillcolor="#800000" stroked="false">
              <v:path arrowok="t"/>
              <v:fill type="solid"/>
            </v:shape>
            <v:shape style="position:absolute;left:6913;top:-3593;width:60;height:60" coordorigin="6914,-3593" coordsize="60,60" path="m6943,-3593l6973,-3533,6914,-3533,6943,-3593xe" filled="false" stroked="true" strokeweight=".565365pt" strokecolor="#800000">
              <v:path arrowok="t"/>
              <v:stroke dashstyle="solid"/>
            </v:shape>
            <v:shape style="position:absolute;left:7115;top:-3593;width:60;height:60" coordorigin="7116,-3593" coordsize="60,60" path="m7146,-3593l7116,-3533,7175,-3533,7146,-3593xe" filled="true" fillcolor="#800000" stroked="false">
              <v:path arrowok="t"/>
              <v:fill type="solid"/>
            </v:shape>
            <v:shape style="position:absolute;left:7115;top:-3593;width:60;height:60" coordorigin="7116,-3593" coordsize="60,60" path="m7146,-3593l7175,-3533,7116,-3533,7146,-3593xe" filled="false" stroked="true" strokeweight=".565365pt" strokecolor="#800000">
              <v:path arrowok="t"/>
              <v:stroke dashstyle="solid"/>
            </v:shape>
            <v:shape style="position:absolute;left:7319;top:-3593;width:60;height:60" coordorigin="7319,-3593" coordsize="60,60" path="m7349,-3593l7319,-3533,7379,-3533,7349,-3593xe" filled="true" fillcolor="#800000" stroked="false">
              <v:path arrowok="t"/>
              <v:fill type="solid"/>
            </v:shape>
            <v:shape style="position:absolute;left:7319;top:-3593;width:60;height:60" coordorigin="7319,-3593" coordsize="60,60" path="m7349,-3593l7379,-3533,7319,-3533,7349,-3593xe" filled="false" stroked="true" strokeweight=".565365pt" strokecolor="#800000">
              <v:path arrowok="t"/>
              <v:stroke dashstyle="solid"/>
            </v:shape>
            <v:shape style="position:absolute;left:7521;top:-3593;width:60;height:60" coordorigin="7522,-3593" coordsize="60,60" path="m7551,-3593l7522,-3533,7581,-3533,7551,-3593xe" filled="true" fillcolor="#800000" stroked="false">
              <v:path arrowok="t"/>
              <v:fill type="solid"/>
            </v:shape>
            <v:shape style="position:absolute;left:7521;top:-3593;width:60;height:60" coordorigin="7522,-3593" coordsize="60,60" path="m7551,-3593l7581,-3533,7522,-3533,7551,-3593xe" filled="false" stroked="true" strokeweight=".565365pt" strokecolor="#800000">
              <v:path arrowok="t"/>
              <v:stroke dashstyle="solid"/>
            </v:shape>
            <v:shape style="position:absolute;left:7723;top:-3593;width:60;height:60" coordorigin="7724,-3593" coordsize="60,60" path="m7753,-3593l7724,-3533,7783,-3533,7753,-3593xe" filled="true" fillcolor="#800000" stroked="false">
              <v:path arrowok="t"/>
              <v:fill type="solid"/>
            </v:shape>
            <v:shape style="position:absolute;left:7723;top:-3593;width:60;height:60" coordorigin="7724,-3593" coordsize="60,60" path="m7753,-3593l7783,-3533,7724,-3533,7753,-3593xe" filled="false" stroked="true" strokeweight=".565365pt" strokecolor="#800000">
              <v:path arrowok="t"/>
              <v:stroke dashstyle="solid"/>
            </v:shape>
            <v:shape style="position:absolute;left:7927;top:-3593;width:60;height:60" coordorigin="7928,-3593" coordsize="60,60" path="m7957,-3593l7928,-3533,7987,-3533,7957,-3593xe" filled="true" fillcolor="#800000" stroked="false">
              <v:path arrowok="t"/>
              <v:fill type="solid"/>
            </v:shape>
            <v:shape style="position:absolute;left:7927;top:-3593;width:60;height:60" coordorigin="7928,-3593" coordsize="60,60" path="m7957,-3593l7987,-3533,7928,-3533,7957,-3593xe" filled="false" stroked="true" strokeweight=".565365pt" strokecolor="#800000">
              <v:path arrowok="t"/>
              <v:stroke dashstyle="solid"/>
            </v:shape>
            <v:shape style="position:absolute;left:8129;top:-3593;width:60;height:60" coordorigin="8130,-3593" coordsize="60,60" path="m8159,-3593l8130,-3533,8189,-3533,8159,-3593xe" filled="true" fillcolor="#800000" stroked="false">
              <v:path arrowok="t"/>
              <v:fill type="solid"/>
            </v:shape>
            <v:shape style="position:absolute;left:8129;top:-3593;width:60;height:60" coordorigin="8130,-3593" coordsize="60,60" path="m8159,-3593l8189,-3533,8130,-3533,8159,-3593xe" filled="false" stroked="true" strokeweight=".565365pt" strokecolor="#800000">
              <v:path arrowok="t"/>
              <v:stroke dashstyle="solid"/>
            </v:shape>
            <v:shape style="position:absolute;left:8331;top:-3593;width:60;height:60" coordorigin="8332,-3593" coordsize="60,60" path="m8362,-3593l8332,-3533,8391,-3533,8362,-3593xe" filled="true" fillcolor="#800000" stroked="false">
              <v:path arrowok="t"/>
              <v:fill type="solid"/>
            </v:shape>
            <v:shape style="position:absolute;left:8331;top:-3593;width:60;height:60" coordorigin="8332,-3593" coordsize="60,60" path="m8362,-3593l8391,-3533,8332,-3533,8362,-3593xe" filled="false" stroked="true" strokeweight=".565365pt" strokecolor="#800000">
              <v:path arrowok="t"/>
              <v:stroke dashstyle="solid"/>
            </v:shape>
            <v:rect style="position:absolute;left:8559;top:-2847;width:1126;height:348" filled="false" stroked="true" strokeweight=".082441pt" strokecolor="#000000">
              <v:stroke dashstyle="solid"/>
            </v:rect>
            <v:line style="position:absolute" from="8599,-2758" to="8834,-2758" stroked="true" strokeweight="3.533095pt" strokecolor="#ffff99">
              <v:stroke dashstyle="solid"/>
            </v:line>
            <v:rect style="position:absolute;left:8599;top:-2793;width:235;height:71" filled="false" stroked="true" strokeweight=".565307pt" strokecolor="#000000">
              <v:stroke dashstyle="solid"/>
            </v:rect>
            <v:line style="position:absolute" from="8599,-2583" to="8835,-2583" stroked="true" strokeweight=".565295pt" strokecolor="#800000">
              <v:stroke dashstyle="solid"/>
            </v:line>
            <v:shape style="position:absolute;left:8686;top:-2614;width:60;height:60" coordorigin="8687,-2613" coordsize="60,60" path="m8716,-2613l8687,-2554,8746,-2554,8716,-2613xe" filled="true" fillcolor="#800000" stroked="false">
              <v:path arrowok="t"/>
              <v:fill type="solid"/>
            </v:shape>
            <v:shape style="position:absolute;left:8686;top:-2614;width:60;height:60" coordorigin="8687,-2613" coordsize="60,60" path="m8716,-2613l8746,-2554,8687,-2554,8716,-2613xe" filled="false" stroked="true" strokeweight=".565365pt" strokecolor="#800000">
              <v:path arrowok="t"/>
              <v:stroke dashstyle="solid"/>
            </v:shape>
            <v:rect style="position:absolute;left:1180;top:-5397;width:8538;height:5211" filled="false" stroked="true" strokeweight=".082444pt" strokecolor="#000000">
              <v:stroke dashstyle="solid"/>
            </v:rect>
            <v:shape style="position:absolute;left:2266;top:-5254;width:6383;height:336" type="#_x0000_t202" filled="false" stroked="false">
              <v:textbox inset="0,0,0,0">
                <w:txbxContent>
                  <w:p>
                    <w:pPr>
                      <w:spacing w:line="266" w:lineRule="auto" w:before="0"/>
                      <w:ind w:left="1320" w:right="0" w:hanging="1321"/>
                      <w:jc w:val="left"/>
                      <w:rPr>
                        <w:rFonts w:ascii="Arial"/>
                        <w:b/>
                        <w:sz w:val="14"/>
                      </w:rPr>
                    </w:pPr>
                    <w:r>
                      <w:rPr>
                        <w:rFonts w:ascii="Arial"/>
                        <w:b/>
                        <w:sz w:val="14"/>
                      </w:rPr>
                      <w:t>Rate de atac saptamanle prin cazuri de infectii acute respiratorii consultate de catre medicii de familie in sezonul de gripa 2016 - 2017 - mun. Bucuresti</w:t>
                    </w:r>
                  </w:p>
                </w:txbxContent>
              </v:textbox>
              <w10:wrap type="none"/>
            </v:shape>
            <v:shape style="position:absolute;left:1525;top:-4649;width:183;height:1826" type="#_x0000_t202" filled="false" stroked="false">
              <v:textbox inset="0,0,0,0">
                <w:txbxContent>
                  <w:p>
                    <w:pPr>
                      <w:spacing w:before="3"/>
                      <w:ind w:left="0" w:right="0" w:firstLine="0"/>
                      <w:jc w:val="left"/>
                      <w:rPr>
                        <w:rFonts w:ascii="Arial"/>
                        <w:sz w:val="11"/>
                      </w:rPr>
                    </w:pPr>
                    <w:r>
                      <w:rPr>
                        <w:rFonts w:ascii="Arial"/>
                        <w:w w:val="105"/>
                        <w:sz w:val="11"/>
                      </w:rPr>
                      <w:t>9.0</w:t>
                    </w:r>
                  </w:p>
                  <w:p>
                    <w:pPr>
                      <w:spacing w:line="240" w:lineRule="auto" w:before="0"/>
                      <w:rPr>
                        <w:rFonts w:ascii="Arial"/>
                        <w:sz w:val="12"/>
                      </w:rPr>
                    </w:pPr>
                  </w:p>
                  <w:p>
                    <w:pPr>
                      <w:spacing w:line="240" w:lineRule="auto" w:before="10"/>
                      <w:rPr>
                        <w:rFonts w:ascii="Arial"/>
                        <w:sz w:val="13"/>
                      </w:rPr>
                    </w:pPr>
                  </w:p>
                  <w:p>
                    <w:pPr>
                      <w:spacing w:before="0"/>
                      <w:ind w:left="0" w:right="0" w:firstLine="0"/>
                      <w:jc w:val="left"/>
                      <w:rPr>
                        <w:rFonts w:ascii="Arial"/>
                        <w:sz w:val="11"/>
                      </w:rPr>
                    </w:pPr>
                    <w:r>
                      <w:rPr>
                        <w:rFonts w:ascii="Arial"/>
                        <w:w w:val="105"/>
                        <w:sz w:val="11"/>
                      </w:rPr>
                      <w:t>8.0</w:t>
                    </w:r>
                  </w:p>
                  <w:p>
                    <w:pPr>
                      <w:spacing w:line="240" w:lineRule="auto" w:before="0"/>
                      <w:rPr>
                        <w:rFonts w:ascii="Arial"/>
                        <w:sz w:val="12"/>
                      </w:rPr>
                    </w:pPr>
                  </w:p>
                  <w:p>
                    <w:pPr>
                      <w:spacing w:line="240" w:lineRule="auto" w:before="10"/>
                      <w:rPr>
                        <w:rFonts w:ascii="Arial"/>
                        <w:sz w:val="13"/>
                      </w:rPr>
                    </w:pPr>
                  </w:p>
                  <w:p>
                    <w:pPr>
                      <w:spacing w:before="0"/>
                      <w:ind w:left="0" w:right="0" w:firstLine="0"/>
                      <w:jc w:val="left"/>
                      <w:rPr>
                        <w:rFonts w:ascii="Arial"/>
                        <w:sz w:val="11"/>
                      </w:rPr>
                    </w:pPr>
                    <w:r>
                      <w:rPr>
                        <w:rFonts w:ascii="Arial"/>
                        <w:w w:val="105"/>
                        <w:sz w:val="11"/>
                      </w:rPr>
                      <w:t>7.0</w:t>
                    </w:r>
                  </w:p>
                  <w:p>
                    <w:pPr>
                      <w:spacing w:line="240" w:lineRule="auto" w:before="0"/>
                      <w:rPr>
                        <w:rFonts w:ascii="Arial"/>
                        <w:sz w:val="12"/>
                      </w:rPr>
                    </w:pPr>
                  </w:p>
                  <w:p>
                    <w:pPr>
                      <w:spacing w:line="240" w:lineRule="auto" w:before="8"/>
                      <w:rPr>
                        <w:rFonts w:ascii="Arial"/>
                        <w:sz w:val="13"/>
                      </w:rPr>
                    </w:pPr>
                  </w:p>
                  <w:p>
                    <w:pPr>
                      <w:spacing w:before="1"/>
                      <w:ind w:left="0" w:right="0" w:firstLine="0"/>
                      <w:jc w:val="left"/>
                      <w:rPr>
                        <w:rFonts w:ascii="Arial"/>
                        <w:sz w:val="11"/>
                      </w:rPr>
                    </w:pPr>
                    <w:r>
                      <w:rPr>
                        <w:rFonts w:ascii="Arial"/>
                        <w:w w:val="105"/>
                        <w:sz w:val="11"/>
                      </w:rPr>
                      <w:t>6.0</w:t>
                    </w:r>
                  </w:p>
                  <w:p>
                    <w:pPr>
                      <w:spacing w:line="240" w:lineRule="auto" w:before="0"/>
                      <w:rPr>
                        <w:rFonts w:ascii="Arial"/>
                        <w:sz w:val="12"/>
                      </w:rPr>
                    </w:pPr>
                  </w:p>
                  <w:p>
                    <w:pPr>
                      <w:spacing w:line="240" w:lineRule="auto" w:before="9"/>
                      <w:rPr>
                        <w:rFonts w:ascii="Arial"/>
                        <w:sz w:val="13"/>
                      </w:rPr>
                    </w:pPr>
                  </w:p>
                  <w:p>
                    <w:pPr>
                      <w:spacing w:before="1"/>
                      <w:ind w:left="0" w:right="0" w:firstLine="0"/>
                      <w:jc w:val="left"/>
                      <w:rPr>
                        <w:rFonts w:ascii="Arial"/>
                        <w:sz w:val="11"/>
                      </w:rPr>
                    </w:pPr>
                    <w:r>
                      <w:rPr>
                        <w:rFonts w:ascii="Arial"/>
                        <w:w w:val="105"/>
                        <w:sz w:val="11"/>
                      </w:rPr>
                      <w:t>5.0</w:t>
                    </w:r>
                  </w:p>
                </w:txbxContent>
              </v:textbox>
              <w10:wrap type="none"/>
            </v:shape>
            <v:shape style="position:absolute;left:8862;top:-2823;width:799;height:306" type="#_x0000_t202" filled="false" stroked="false">
              <v:textbox inset="0,0,0,0">
                <w:txbxContent>
                  <w:p>
                    <w:pPr>
                      <w:spacing w:before="3"/>
                      <w:ind w:left="0" w:right="0" w:firstLine="0"/>
                      <w:jc w:val="left"/>
                      <w:rPr>
                        <w:rFonts w:ascii="Arial"/>
                        <w:sz w:val="11"/>
                      </w:rPr>
                    </w:pPr>
                    <w:r>
                      <w:rPr>
                        <w:rFonts w:ascii="Arial"/>
                        <w:w w:val="105"/>
                        <w:sz w:val="11"/>
                      </w:rPr>
                      <w:t>Series2</w:t>
                    </w:r>
                  </w:p>
                  <w:p>
                    <w:pPr>
                      <w:spacing w:before="47"/>
                      <w:ind w:left="0" w:right="0" w:firstLine="0"/>
                      <w:jc w:val="left"/>
                      <w:rPr>
                        <w:rFonts w:ascii="Arial"/>
                        <w:sz w:val="11"/>
                      </w:rPr>
                    </w:pPr>
                    <w:r>
                      <w:rPr>
                        <w:rFonts w:ascii="Arial"/>
                        <w:w w:val="105"/>
                        <w:sz w:val="11"/>
                      </w:rPr>
                      <w:t>Medie+STDEV</w:t>
                    </w:r>
                  </w:p>
                </w:txbxContent>
              </v:textbox>
              <w10:wrap type="none"/>
            </v:shape>
            <v:shape style="position:absolute;left:1525;top:-2530;width:183;height:1826" type="#_x0000_t202" filled="false" stroked="false">
              <v:textbox inset="0,0,0,0">
                <w:txbxContent>
                  <w:p>
                    <w:pPr>
                      <w:spacing w:before="3"/>
                      <w:ind w:left="0" w:right="0" w:firstLine="0"/>
                      <w:jc w:val="left"/>
                      <w:rPr>
                        <w:rFonts w:ascii="Arial"/>
                        <w:sz w:val="11"/>
                      </w:rPr>
                    </w:pPr>
                    <w:r>
                      <w:rPr>
                        <w:rFonts w:ascii="Arial"/>
                        <w:w w:val="105"/>
                        <w:sz w:val="11"/>
                      </w:rPr>
                      <w:t>4.0</w:t>
                    </w:r>
                  </w:p>
                  <w:p>
                    <w:pPr>
                      <w:spacing w:line="240" w:lineRule="auto" w:before="0"/>
                      <w:rPr>
                        <w:rFonts w:ascii="Arial"/>
                        <w:sz w:val="12"/>
                      </w:rPr>
                    </w:pPr>
                  </w:p>
                  <w:p>
                    <w:pPr>
                      <w:spacing w:line="240" w:lineRule="auto" w:before="10"/>
                      <w:rPr>
                        <w:rFonts w:ascii="Arial"/>
                        <w:sz w:val="13"/>
                      </w:rPr>
                    </w:pPr>
                  </w:p>
                  <w:p>
                    <w:pPr>
                      <w:spacing w:before="0"/>
                      <w:ind w:left="0" w:right="0" w:firstLine="0"/>
                      <w:jc w:val="left"/>
                      <w:rPr>
                        <w:rFonts w:ascii="Arial"/>
                        <w:sz w:val="11"/>
                      </w:rPr>
                    </w:pPr>
                    <w:r>
                      <w:rPr>
                        <w:rFonts w:ascii="Arial"/>
                        <w:w w:val="105"/>
                        <w:sz w:val="11"/>
                      </w:rPr>
                      <w:t>3.0</w:t>
                    </w:r>
                  </w:p>
                  <w:p>
                    <w:pPr>
                      <w:spacing w:line="240" w:lineRule="auto" w:before="0"/>
                      <w:rPr>
                        <w:rFonts w:ascii="Arial"/>
                        <w:sz w:val="12"/>
                      </w:rPr>
                    </w:pPr>
                  </w:p>
                  <w:p>
                    <w:pPr>
                      <w:spacing w:line="240" w:lineRule="auto" w:before="8"/>
                      <w:rPr>
                        <w:rFonts w:ascii="Arial"/>
                        <w:sz w:val="13"/>
                      </w:rPr>
                    </w:pPr>
                  </w:p>
                  <w:p>
                    <w:pPr>
                      <w:spacing w:before="1"/>
                      <w:ind w:left="0" w:right="0" w:firstLine="0"/>
                      <w:jc w:val="left"/>
                      <w:rPr>
                        <w:rFonts w:ascii="Arial"/>
                        <w:sz w:val="11"/>
                      </w:rPr>
                    </w:pPr>
                    <w:r>
                      <w:rPr>
                        <w:rFonts w:ascii="Arial"/>
                        <w:w w:val="105"/>
                        <w:sz w:val="11"/>
                      </w:rPr>
                      <w:t>2.0</w:t>
                    </w:r>
                  </w:p>
                  <w:p>
                    <w:pPr>
                      <w:spacing w:line="240" w:lineRule="auto" w:before="0"/>
                      <w:rPr>
                        <w:rFonts w:ascii="Arial"/>
                        <w:sz w:val="12"/>
                      </w:rPr>
                    </w:pPr>
                  </w:p>
                  <w:p>
                    <w:pPr>
                      <w:spacing w:line="240" w:lineRule="auto" w:before="9"/>
                      <w:rPr>
                        <w:rFonts w:ascii="Arial"/>
                        <w:sz w:val="13"/>
                      </w:rPr>
                    </w:pPr>
                  </w:p>
                  <w:p>
                    <w:pPr>
                      <w:spacing w:before="1"/>
                      <w:ind w:left="0" w:right="0" w:firstLine="0"/>
                      <w:jc w:val="left"/>
                      <w:rPr>
                        <w:rFonts w:ascii="Arial"/>
                        <w:sz w:val="11"/>
                      </w:rPr>
                    </w:pPr>
                    <w:r>
                      <w:rPr>
                        <w:rFonts w:ascii="Arial"/>
                        <w:w w:val="105"/>
                        <w:sz w:val="11"/>
                      </w:rPr>
                      <w:t>1.0</w:t>
                    </w:r>
                  </w:p>
                  <w:p>
                    <w:pPr>
                      <w:spacing w:line="240" w:lineRule="auto" w:before="0"/>
                      <w:rPr>
                        <w:rFonts w:ascii="Arial"/>
                        <w:sz w:val="12"/>
                      </w:rPr>
                    </w:pPr>
                  </w:p>
                  <w:p>
                    <w:pPr>
                      <w:spacing w:line="240" w:lineRule="auto" w:before="9"/>
                      <w:rPr>
                        <w:rFonts w:ascii="Arial"/>
                        <w:sz w:val="13"/>
                      </w:rPr>
                    </w:pPr>
                  </w:p>
                  <w:p>
                    <w:pPr>
                      <w:spacing w:before="1"/>
                      <w:ind w:left="0" w:right="0" w:firstLine="0"/>
                      <w:jc w:val="left"/>
                      <w:rPr>
                        <w:rFonts w:ascii="Arial"/>
                        <w:sz w:val="11"/>
                      </w:rPr>
                    </w:pPr>
                    <w:r>
                      <w:rPr>
                        <w:rFonts w:ascii="Arial"/>
                        <w:w w:val="105"/>
                        <w:sz w:val="11"/>
                      </w:rPr>
                      <w:t>0.0</w:t>
                    </w:r>
                  </w:p>
                </w:txbxContent>
              </v:textbox>
              <w10:wrap type="none"/>
            </v:shape>
            <w10:wrap type="none"/>
          </v:group>
        </w:pict>
      </w:r>
      <w:r>
        <w:rPr/>
        <w:pict>
          <v:shape style="position:absolute;margin-left:75.008965pt;margin-top:-26.297115pt;width:18.45pt;height:5.9pt;mso-position-horizontal-relative:page;mso-position-vertical-relative:paragraph;z-index:251766784;rotation:316" type="#_x0000_t136" fillcolor="#000000" stroked="f">
            <o:extrusion v:ext="view" autorotationcenter="t"/>
            <v:textpath style="font-family:&quot;Arial&quot;;font-size:5pt;v-text-kern:t;mso-text-shadow:auto" string="S40/16"/>
            <w10:wrap type="none"/>
          </v:shape>
        </w:pict>
      </w:r>
      <w:r>
        <w:rPr/>
        <w:pict>
          <v:shape style="position:absolute;margin-left:95.223259pt;margin-top:-26.297115pt;width:18.45pt;height:5.9pt;mso-position-horizontal-relative:page;mso-position-vertical-relative:paragraph;z-index:251767808;rotation:316" type="#_x0000_t136" fillcolor="#000000" stroked="f">
            <o:extrusion v:ext="view" autorotationcenter="t"/>
            <v:textpath style="font-family:&quot;Arial&quot;;font-size:5pt;v-text-kern:t;mso-text-shadow:auto" string="S42/16"/>
            <w10:wrap type="none"/>
          </v:shape>
        </w:pict>
      </w:r>
      <w:r>
        <w:rPr/>
        <w:pict>
          <v:shape style="position:absolute;margin-left:115.520012pt;margin-top:-26.297117pt;width:18.45pt;height:5.9pt;mso-position-horizontal-relative:page;mso-position-vertical-relative:paragraph;z-index:251768832;rotation:316" type="#_x0000_t136" fillcolor="#000000" stroked="f">
            <o:extrusion v:ext="view" autorotationcenter="t"/>
            <v:textpath style="font-family:&quot;Arial&quot;;font-size:5pt;v-text-kern:t;mso-text-shadow:auto" string="S44/16"/>
            <w10:wrap type="none"/>
          </v:shape>
        </w:pict>
      </w:r>
      <w:r>
        <w:rPr/>
        <w:pict>
          <v:shape style="position:absolute;margin-left:135.804993pt;margin-top:-26.297117pt;width:18.45pt;height:5.9pt;mso-position-horizontal-relative:page;mso-position-vertical-relative:paragraph;z-index:251769856;rotation:316" type="#_x0000_t136" fillcolor="#000000" stroked="f">
            <o:extrusion v:ext="view" autorotationcenter="t"/>
            <v:textpath style="font-family:&quot;Arial&quot;;font-size:5pt;v-text-kern:t;mso-text-shadow:auto" string="S46/16"/>
            <w10:wrap type="none"/>
          </v:shape>
        </w:pict>
      </w:r>
      <w:r>
        <w:rPr/>
        <w:pict>
          <v:shape style="position:absolute;margin-left:156.019287pt;margin-top:-26.297117pt;width:18.45pt;height:5.9pt;mso-position-horizontal-relative:page;mso-position-vertical-relative:paragraph;z-index:251770880;rotation:316" type="#_x0000_t136" fillcolor="#000000" stroked="f">
            <o:extrusion v:ext="view" autorotationcenter="t"/>
            <v:textpath style="font-family:&quot;Arial&quot;;font-size:5pt;v-text-kern:t;mso-text-shadow:auto" string="S48/16"/>
            <w10:wrap type="none"/>
          </v:shape>
        </w:pict>
      </w:r>
      <w:r>
        <w:rPr/>
        <w:pict>
          <v:shape style="position:absolute;margin-left:176.30426pt;margin-top:-26.297119pt;width:18.45pt;height:5.9pt;mso-position-horizontal-relative:page;mso-position-vertical-relative:paragraph;z-index:251771904;rotation:316" type="#_x0000_t136" fillcolor="#000000" stroked="f">
            <o:extrusion v:ext="view" autorotationcenter="t"/>
            <v:textpath style="font-family:&quot;Arial&quot;;font-size:5pt;v-text-kern:t;mso-text-shadow:auto" string="S50/16"/>
            <w10:wrap type="none"/>
          </v:shape>
        </w:pict>
      </w:r>
      <w:r>
        <w:rPr/>
        <w:pict>
          <v:shape style="position:absolute;margin-left:196.589233pt;margin-top:-26.297119pt;width:18.45pt;height:5.9pt;mso-position-horizontal-relative:page;mso-position-vertical-relative:paragraph;z-index:251772928;rotation:316" type="#_x0000_t136" fillcolor="#000000" stroked="f">
            <o:extrusion v:ext="view" autorotationcenter="t"/>
            <v:textpath style="font-family:&quot;Arial&quot;;font-size:5pt;v-text-kern:t;mso-text-shadow:auto" string="S52/16"/>
            <w10:wrap type="none"/>
          </v:shape>
        </w:pict>
      </w:r>
      <w:r>
        <w:rPr/>
        <w:pict>
          <v:shape style="position:absolute;margin-left:216.821198pt;margin-top:-26.297119pt;width:18.45pt;height:5.9pt;mso-position-horizontal-relative:page;mso-position-vertical-relative:paragraph;z-index:251773952;rotation:316" type="#_x0000_t136" fillcolor="#000000" stroked="f">
            <o:extrusion v:ext="view" autorotationcenter="t"/>
            <v:textpath style="font-family:&quot;Arial&quot;;font-size:5pt;v-text-kern:t;mso-text-shadow:auto" string="S02/17"/>
            <w10:wrap type="none"/>
          </v:shape>
        </w:pict>
      </w:r>
      <w:r>
        <w:rPr/>
        <w:pict>
          <v:shape style="position:absolute;margin-left:237.106171pt;margin-top:-26.297119pt;width:18.45pt;height:5.9pt;mso-position-horizontal-relative:page;mso-position-vertical-relative:paragraph;z-index:251774976;rotation:316" type="#_x0000_t136" fillcolor="#000000" stroked="f">
            <o:extrusion v:ext="view" autorotationcenter="t"/>
            <v:textpath style="font-family:&quot;Arial&quot;;font-size:5pt;v-text-kern:t;mso-text-shadow:auto" string="S04/17"/>
            <w10:wrap type="none"/>
          </v:shape>
        </w:pict>
      </w:r>
      <w:r>
        <w:rPr/>
        <w:pict>
          <v:shape style="position:absolute;margin-left:257.391144pt;margin-top:-26.297121pt;width:18.45pt;height:5.9pt;mso-position-horizontal-relative:page;mso-position-vertical-relative:paragraph;z-index:251776000;rotation:316" type="#_x0000_t136" fillcolor="#000000" stroked="f">
            <o:extrusion v:ext="view" autorotationcenter="t"/>
            <v:textpath style="font-family:&quot;Arial&quot;;font-size:5pt;v-text-kern:t;mso-text-shadow:auto" string="S06/17"/>
            <w10:wrap type="none"/>
          </v:shape>
        </w:pict>
      </w:r>
      <w:r>
        <w:rPr/>
        <w:pict>
          <v:shape style="position:absolute;margin-left:277.605438pt;margin-top:-26.297121pt;width:18.45pt;height:5.9pt;mso-position-horizontal-relative:page;mso-position-vertical-relative:paragraph;z-index:251777024;rotation:316" type="#_x0000_t136" fillcolor="#000000" stroked="f">
            <o:extrusion v:ext="view" autorotationcenter="t"/>
            <v:textpath style="font-family:&quot;Arial&quot;;font-size:5pt;v-text-kern:t;mso-text-shadow:auto" string="S08/17"/>
            <w10:wrap type="none"/>
          </v:shape>
        </w:pict>
      </w:r>
      <w:r>
        <w:rPr/>
        <w:pict>
          <v:shape style="position:absolute;margin-left:297.902191pt;margin-top:-26.297121pt;width:18.45pt;height:5.9pt;mso-position-horizontal-relative:page;mso-position-vertical-relative:paragraph;z-index:251778048;rotation:316" type="#_x0000_t136" fillcolor="#000000" stroked="f">
            <o:extrusion v:ext="view" autorotationcenter="t"/>
            <v:textpath style="font-family:&quot;Arial&quot;;font-size:5pt;v-text-kern:t;mso-text-shadow:auto" string="S10/17"/>
            <w10:wrap type="none"/>
          </v:shape>
        </w:pict>
      </w:r>
      <w:r>
        <w:rPr/>
        <w:pict>
          <v:shape style="position:absolute;margin-left:318.187164pt;margin-top:-26.297123pt;width:18.45pt;height:5.9pt;mso-position-horizontal-relative:page;mso-position-vertical-relative:paragraph;z-index:251779072;rotation:316" type="#_x0000_t136" fillcolor="#000000" stroked="f">
            <o:extrusion v:ext="view" autorotationcenter="t"/>
            <v:textpath style="font-family:&quot;Arial&quot;;font-size:5pt;v-text-kern:t;mso-text-shadow:auto" string="S12/17"/>
            <w10:wrap type="none"/>
          </v:shape>
        </w:pict>
      </w:r>
      <w:r>
        <w:rPr/>
        <w:pict>
          <v:shape style="position:absolute;margin-left:338.401459pt;margin-top:-26.297123pt;width:18.45pt;height:5.9pt;mso-position-horizontal-relative:page;mso-position-vertical-relative:paragraph;z-index:251780096;rotation:316" type="#_x0000_t136" fillcolor="#000000" stroked="f">
            <o:extrusion v:ext="view" autorotationcenter="t"/>
            <v:textpath style="font-family:&quot;Arial&quot;;font-size:5pt;v-text-kern:t;mso-text-shadow:auto" string="S14/17"/>
            <w10:wrap type="none"/>
          </v:shape>
        </w:pict>
      </w:r>
      <w:r>
        <w:rPr/>
        <w:pict>
          <v:shape style="position:absolute;margin-left:358.686432pt;margin-top:-26.297123pt;width:18.45pt;height:5.9pt;mso-position-horizontal-relative:page;mso-position-vertical-relative:paragraph;z-index:251781120;rotation:316" type="#_x0000_t136" fillcolor="#000000" stroked="f">
            <o:extrusion v:ext="view" autorotationcenter="t"/>
            <v:textpath style="font-family:&quot;Arial&quot;;font-size:5pt;v-text-kern:t;mso-text-shadow:auto" string="S16/17"/>
            <w10:wrap type="none"/>
          </v:shape>
        </w:pict>
      </w:r>
      <w:r>
        <w:rPr/>
        <w:pict>
          <v:shape style="position:absolute;margin-left:378.971405pt;margin-top:-26.297125pt;width:18.45pt;height:5.9pt;mso-position-horizontal-relative:page;mso-position-vertical-relative:paragraph;z-index:251782144;rotation:316" type="#_x0000_t136" fillcolor="#000000" stroked="f">
            <o:extrusion v:ext="view" autorotationcenter="t"/>
            <v:textpath style="font-family:&quot;Arial&quot;;font-size:5pt;v-text-kern:t;mso-text-shadow:auto" string="S18/17"/>
            <w10:wrap type="none"/>
          </v:shape>
        </w:pict>
      </w:r>
      <w:r>
        <w:rPr/>
        <w:pict>
          <v:shape style="position:absolute;margin-left:399.203369pt;margin-top:-26.297125pt;width:18.45pt;height:5.9pt;mso-position-horizontal-relative:page;mso-position-vertical-relative:paragraph;z-index:251783168;rotation:316" type="#_x0000_t136" fillcolor="#000000" stroked="f">
            <o:extrusion v:ext="view" autorotationcenter="t"/>
            <v:textpath style="font-family:&quot;Arial&quot;;font-size:5pt;v-text-kern:t;mso-text-shadow:auto" string="S20/17"/>
            <w10:wrap type="none"/>
          </v:shape>
        </w:pict>
      </w:r>
      <w:r>
        <w:rPr/>
        <w:t>Coroborarea informatiilor culese au permis atingerea obiectivului supravegherii si anume:</w:t>
      </w:r>
    </w:p>
    <w:p>
      <w:pPr>
        <w:pStyle w:val="ListParagraph"/>
        <w:numPr>
          <w:ilvl w:val="0"/>
          <w:numId w:val="2"/>
        </w:numPr>
        <w:tabs>
          <w:tab w:pos="373" w:val="left" w:leader="none"/>
        </w:tabs>
        <w:spacing w:line="240" w:lineRule="auto" w:before="0" w:after="0"/>
        <w:ind w:left="372" w:right="0" w:hanging="140"/>
        <w:jc w:val="left"/>
        <w:rPr>
          <w:sz w:val="24"/>
        </w:rPr>
      </w:pPr>
      <w:r>
        <w:rPr>
          <w:sz w:val="24"/>
        </w:rPr>
        <w:t>documentarea circulatiei sustinute a virusurilor gripale in</w:t>
      </w:r>
      <w:r>
        <w:rPr>
          <w:spacing w:val="-3"/>
          <w:sz w:val="24"/>
        </w:rPr>
        <w:t> </w:t>
      </w:r>
      <w:r>
        <w:rPr>
          <w:sz w:val="24"/>
        </w:rPr>
        <w:t>comunitate</w:t>
      </w:r>
    </w:p>
    <w:p>
      <w:pPr>
        <w:pStyle w:val="BodyText"/>
        <w:ind w:left="233"/>
      </w:pPr>
      <w:r>
        <w:rPr/>
        <w:t>-dispunerea masurilor de profilaxie adecvate</w:t>
      </w:r>
    </w:p>
    <w:p>
      <w:pPr>
        <w:pStyle w:val="ListParagraph"/>
        <w:numPr>
          <w:ilvl w:val="0"/>
          <w:numId w:val="2"/>
        </w:numPr>
        <w:tabs>
          <w:tab w:pos="373" w:val="left" w:leader="none"/>
        </w:tabs>
        <w:spacing w:line="240" w:lineRule="auto" w:before="0" w:after="0"/>
        <w:ind w:left="372" w:right="0" w:hanging="140"/>
        <w:jc w:val="left"/>
        <w:rPr>
          <w:sz w:val="24"/>
        </w:rPr>
      </w:pPr>
      <w:r>
        <w:rPr>
          <w:sz w:val="24"/>
        </w:rPr>
        <w:t>recomandari catre populatie pentru apararea individula impotriva imbolnavirii prin</w:t>
      </w:r>
      <w:r>
        <w:rPr>
          <w:spacing w:val="-7"/>
          <w:sz w:val="24"/>
        </w:rPr>
        <w:t> </w:t>
      </w:r>
      <w:r>
        <w:rPr>
          <w:sz w:val="24"/>
        </w:rPr>
        <w:t>gripa</w:t>
      </w:r>
    </w:p>
    <w:p>
      <w:pPr>
        <w:pStyle w:val="ListParagraph"/>
        <w:numPr>
          <w:ilvl w:val="0"/>
          <w:numId w:val="2"/>
        </w:numPr>
        <w:tabs>
          <w:tab w:pos="373" w:val="left" w:leader="none"/>
        </w:tabs>
        <w:spacing w:line="240" w:lineRule="auto" w:before="0" w:after="0"/>
        <w:ind w:left="372" w:right="0" w:hanging="140"/>
        <w:jc w:val="left"/>
        <w:rPr>
          <w:sz w:val="24"/>
        </w:rPr>
      </w:pPr>
      <w:r>
        <w:rPr>
          <w:sz w:val="24"/>
        </w:rPr>
        <w:t>implementarea masurilor de prevenire si control a gripei –</w:t>
      </w:r>
      <w:r>
        <w:rPr>
          <w:spacing w:val="-5"/>
          <w:sz w:val="24"/>
        </w:rPr>
        <w:t> </w:t>
      </w:r>
      <w:r>
        <w:rPr>
          <w:sz w:val="24"/>
        </w:rPr>
        <w:t>vaccinarea</w:t>
      </w:r>
    </w:p>
    <w:p>
      <w:pPr>
        <w:pStyle w:val="BodyText"/>
        <w:ind w:left="0"/>
        <w:rPr>
          <w:sz w:val="20"/>
        </w:rPr>
      </w:pPr>
    </w:p>
    <w:p>
      <w:pPr>
        <w:pStyle w:val="BodyText"/>
        <w:ind w:left="0"/>
        <w:rPr>
          <w:sz w:val="26"/>
        </w:rPr>
      </w:pPr>
      <w:r>
        <w:rPr/>
        <w:pict>
          <v:shape style="position:absolute;margin-left:55.200001pt;margin-top:16.180986pt;width:499.95pt;height:27.6pt;mso-position-horizontal-relative:page;mso-position-vertical-relative:paragraph;z-index:-251556864;mso-wrap-distance-left:0;mso-wrap-distance-right:0" type="#_x0000_t202" filled="true" fillcolor="#dfdfdf" stroked="false">
            <v:textbox inset="0,0,0,0">
              <w:txbxContent>
                <w:p>
                  <w:pPr>
                    <w:spacing w:line="275" w:lineRule="exact" w:before="0"/>
                    <w:ind w:left="869" w:right="0" w:firstLine="0"/>
                    <w:jc w:val="left"/>
                    <w:rPr>
                      <w:b/>
                      <w:sz w:val="24"/>
                    </w:rPr>
                  </w:pPr>
                  <w:r>
                    <w:rPr>
                      <w:b/>
                      <w:sz w:val="24"/>
                      <w:u w:val="thick"/>
                    </w:rPr>
                    <w:t>Supravegherea infectiilor asociate asistentei medicale (IAAM)</w:t>
                  </w:r>
                </w:p>
              </w:txbxContent>
            </v:textbox>
            <v:fill type="solid"/>
            <w10:wrap type="topAndBottom"/>
          </v:shape>
        </w:pict>
      </w:r>
    </w:p>
    <w:p>
      <w:pPr>
        <w:pStyle w:val="Heading1"/>
        <w:spacing w:line="260" w:lineRule="exact"/>
        <w:rPr>
          <w:b w:val="0"/>
          <w:u w:val="none"/>
        </w:rPr>
      </w:pPr>
      <w:r>
        <w:rPr>
          <w:u w:val="none"/>
        </w:rPr>
        <w:t>Misiune</w:t>
      </w:r>
      <w:r>
        <w:rPr>
          <w:b w:val="0"/>
          <w:u w:val="none"/>
        </w:rPr>
        <w:t>:</w:t>
      </w:r>
    </w:p>
    <w:p>
      <w:pPr>
        <w:pStyle w:val="ListParagraph"/>
        <w:numPr>
          <w:ilvl w:val="0"/>
          <w:numId w:val="2"/>
        </w:numPr>
        <w:tabs>
          <w:tab w:pos="433" w:val="left" w:leader="none"/>
        </w:tabs>
        <w:spacing w:line="240" w:lineRule="auto" w:before="0" w:after="0"/>
        <w:ind w:left="233" w:right="1451" w:firstLine="0"/>
        <w:jc w:val="left"/>
        <w:rPr>
          <w:sz w:val="24"/>
        </w:rPr>
      </w:pPr>
      <w:r>
        <w:rPr>
          <w:sz w:val="24"/>
        </w:rPr>
        <w:t>colectarea rapoartelor standardizate privind cazurile de IAAM declarate de unitatile sanitare cu paturi publice si private de pe teritoriul municipiului</w:t>
      </w:r>
      <w:r>
        <w:rPr>
          <w:spacing w:val="-5"/>
          <w:sz w:val="24"/>
        </w:rPr>
        <w:t> </w:t>
      </w:r>
      <w:r>
        <w:rPr>
          <w:sz w:val="24"/>
        </w:rPr>
        <w:t>Bucuresti;</w:t>
      </w:r>
    </w:p>
    <w:p>
      <w:pPr>
        <w:pStyle w:val="ListParagraph"/>
        <w:numPr>
          <w:ilvl w:val="0"/>
          <w:numId w:val="2"/>
        </w:numPr>
        <w:tabs>
          <w:tab w:pos="373" w:val="left" w:leader="none"/>
        </w:tabs>
        <w:spacing w:line="240" w:lineRule="auto" w:before="0" w:after="0"/>
        <w:ind w:left="372" w:right="0" w:hanging="140"/>
        <w:jc w:val="left"/>
        <w:rPr>
          <w:sz w:val="24"/>
        </w:rPr>
      </w:pPr>
      <w:r>
        <w:rPr>
          <w:sz w:val="24"/>
        </w:rPr>
        <w:t>analiza ratelor de incidenta pe situsuri anatomice si respectiv departamente de</w:t>
      </w:r>
      <w:r>
        <w:rPr>
          <w:spacing w:val="-8"/>
          <w:sz w:val="24"/>
        </w:rPr>
        <w:t> </w:t>
      </w:r>
      <w:r>
        <w:rPr>
          <w:sz w:val="24"/>
        </w:rPr>
        <w:t>specialitati.</w:t>
      </w:r>
    </w:p>
    <w:p>
      <w:pPr>
        <w:pStyle w:val="BodyText"/>
        <w:spacing w:line="237" w:lineRule="auto" w:before="2"/>
        <w:ind w:left="233" w:right="867"/>
      </w:pPr>
      <w:r>
        <w:rPr/>
        <w:t>Structura cazurilor IAAM dupa departamentul medical care declara cazurile este redata in diagrama urmatoare: cele mai multe cazuri sunt asociate cu serviciul ATI (17,7 cazuri la 10</w:t>
      </w:r>
      <w:r>
        <w:rPr>
          <w:position w:val="9"/>
          <w:sz w:val="16"/>
        </w:rPr>
        <w:t>3 </w:t>
      </w:r>
      <w:r>
        <w:rPr/>
        <w:t>pacienti externati ) ceea ce sugereaza ca sistemul este sensibil ( intrucat confirma prognoza empirica conform careia mai multe cazuri IAAM ar trebui sa existe in ATI, locul in care sunt aglomerati pacientii cu afectiunile cele mai grave si la care sunt asociate cele mai multe interventii medicale invazive: cateterizari, ventilatie mecanica etc.). Deasemenea, se sugereaza nevoia crescuta de resurse umane si logistica din sectoarele ATI.</w:t>
      </w:r>
    </w:p>
    <w:p>
      <w:pPr>
        <w:spacing w:after="0" w:line="237" w:lineRule="auto"/>
        <w:sectPr>
          <w:pgSz w:w="11910" w:h="16840"/>
          <w:pgMar w:header="0" w:footer="738" w:top="0" w:bottom="920" w:left="90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pPr>
    </w:p>
    <w:p>
      <w:pPr>
        <w:pStyle w:val="BodyText"/>
        <w:spacing w:before="90"/>
        <w:ind w:left="233" w:right="1187" w:firstLine="62"/>
        <w:rPr>
          <w:i/>
        </w:rPr>
      </w:pPr>
      <w:r>
        <w:rPr/>
        <w:pict>
          <v:group style="position:absolute;margin-left:59.197689pt;margin-top:-221.103455pt;width:462.1pt;height:212.3pt;mso-position-horizontal-relative:page;mso-position-vertical-relative:paragraph;z-index:251830272" coordorigin="1184,-4422" coordsize="9242,4246">
            <v:rect style="position:absolute;left:1184;top:-4422;width:9241;height:4244" filled="false" stroked="true" strokeweight=".070995pt" strokecolor="#000000">
              <v:stroke dashstyle="solid"/>
            </v:rect>
            <v:shape style="position:absolute;left:1762;top:-3111;width:8563;height:2255" coordorigin="1762,-3110" coordsize="8563,2255" path="m10166,-856l10325,-856m7311,-856l9531,-856m6360,-856l6676,-856m5409,-856l5726,-856m4458,-856l4774,-856m3506,-856l3822,-856m2554,-856l2871,-856m1762,-856l1919,-856m10166,-1178l10325,-1178m5409,-1178l9531,-1178m4458,-1178l4774,-1178m3506,-1178l3822,-1178m2554,-1178l2871,-1178m1762,-1178l1919,-1178m10166,-1500l10325,-1500m4458,-1500l9531,-1500m3506,-1500l3822,-1500m2554,-1500l2871,-1500m1762,-1500l1919,-1500m2554,-1822l10325,-1822m1762,-1822l1919,-1822m2554,-2144l10325,-2144m1762,-2144l1919,-2144m2554,-2467l10325,-2467m1762,-2467l1919,-2467m2554,-2789l10325,-2789m1762,-2789l1919,-2789m2554,-3110l10325,-3110m1762,-3110l1919,-3110e" filled="false" stroked="true" strokeweight=".067145pt" strokecolor="#000000">
              <v:path arrowok="t"/>
              <v:stroke dashstyle="solid"/>
            </v:shape>
            <v:shape style="position:absolute;left:985;top:3398;width:13433;height:672" coordorigin="985,3399" coordsize="13433,672" path="m1762,-3433l10325,-3433m1762,-3755l10325,-3755e" filled="false" stroked="true" strokeweight=".078193pt" strokecolor="#000000">
              <v:path arrowok="t"/>
              <v:stroke dashstyle="solid"/>
            </v:shape>
            <v:rect style="position:absolute;left:1761;top:-3756;width:8564;height:3222" filled="false" stroked="true" strokeweight=".479207pt" strokecolor="#808080">
              <v:stroke dashstyle="solid"/>
            </v:rect>
            <v:rect style="position:absolute;left:1919;top:-3386;width:636;height:2851" filled="true" fillcolor="#ffff99" stroked="false">
              <v:fill type="solid"/>
            </v:rect>
            <v:rect style="position:absolute;left:1919;top:-3386;width:636;height:2851" filled="false" stroked="true" strokeweight=".604775pt" strokecolor="#000000">
              <v:stroke dashstyle="solid"/>
            </v:rect>
            <v:rect style="position:absolute;left:2870;top:-1555;width:635;height:1021" filled="true" fillcolor="#ffff99" stroked="false">
              <v:fill type="solid"/>
            </v:rect>
            <v:rect style="position:absolute;left:2870;top:-1555;width:635;height:1021" filled="false" stroked="true" strokeweight=".569634pt" strokecolor="#000000">
              <v:stroke dashstyle="solid"/>
            </v:rect>
            <v:rect style="position:absolute;left:3822;top:-1551;width:636;height:1017" filled="true" fillcolor="#ffff99" stroked="false">
              <v:fill type="solid"/>
            </v:rect>
            <v:rect style="position:absolute;left:3822;top:-1551;width:636;height:1017" filled="false" stroked="true" strokeweight=".569397pt" strokecolor="#000000">
              <v:stroke dashstyle="solid"/>
            </v:rect>
            <v:rect style="position:absolute;left:4774;top:-1356;width:635;height:821" filled="true" fillcolor="#ffff99" stroked="false">
              <v:fill type="solid"/>
            </v:rect>
            <v:rect style="position:absolute;left:4774;top:-1356;width:635;height:821" filled="false" stroked="true" strokeweight=".555236pt" strokecolor="#000000">
              <v:stroke dashstyle="solid"/>
            </v:rect>
            <v:rect style="position:absolute;left:5725;top:-986;width:634;height:452" filled="true" fillcolor="#ffff99" stroked="false">
              <v:fill type="solid"/>
            </v:rect>
            <v:rect style="position:absolute;left:5725;top:-986;width:634;height:452" filled="false" stroked="true" strokeweight=".511404pt" strokecolor="#000000">
              <v:stroke dashstyle="solid"/>
            </v:rect>
            <v:rect style="position:absolute;left:6676;top:-938;width:635;height:403" filled="true" fillcolor="#ffff99" stroked="false">
              <v:fill type="solid"/>
            </v:rect>
            <v:rect style="position:absolute;left:6676;top:-938;width:635;height:403" filled="false" stroked="true" strokeweight=".503921pt" strokecolor="#000000">
              <v:stroke dashstyle="solid"/>
            </v:rect>
            <v:line style="position:absolute" from="7628,-591" to="8263,-591" stroked="true" strokeweight="5.640214pt" strokecolor="#ffff99">
              <v:stroke dashstyle="solid"/>
            </v:line>
            <v:rect style="position:absolute;left:7627;top:-648;width:635;height:113" filled="false" stroked="true" strokeweight=".465062pt" strokecolor="#000000">
              <v:stroke dashstyle="solid"/>
            </v:rect>
            <v:line style="position:absolute" from="8580,-583" to="9215,-583" stroked="true" strokeweight="4.834469pt" strokecolor="#ffff99">
              <v:stroke dashstyle="solid"/>
            </v:line>
            <v:rect style="position:absolute;left:8579;top:-632;width:635;height:97" filled="false" stroked="true" strokeweight=".46386pt" strokecolor="#000000">
              <v:stroke dashstyle="solid"/>
            </v:rect>
            <v:rect style="position:absolute;left:9531;top:-1549;width:635;height:1015" filled="true" fillcolor="#ffff99" stroked="false">
              <v:fill type="solid"/>
            </v:rect>
            <v:rect style="position:absolute;left:9531;top:-1549;width:635;height:1015" filled="false" stroked="true" strokeweight=".569288pt" strokecolor="#000000">
              <v:stroke dashstyle="solid"/>
            </v:rect>
            <v:shape style="position:absolute;left:925;top:3398;width:13495;height:6796" coordorigin="925,3399" coordsize="13495,6796" path="m1762,-3755l1762,-535m1724,-534l1761,-534m1724,-856l1761,-856m1724,-1178l1761,-1178m1724,-1500l1761,-1500m1724,-1822l1761,-1822m1724,-2144l1761,-2144m1724,-2467l1761,-2467m1724,-2789l1761,-2789m1724,-3110l1761,-3110m1724,-3433l1761,-3433m1724,-3755l1761,-3755m1762,-534l10325,-534m1762,-496l1762,-533m2714,-496l2714,-533m3666,-496l3666,-533m4618,-496l4618,-533m5569,-496l5569,-533m6519,-496l6519,-533m7471,-496l7471,-533m8423,-496l8423,-533m9375,-496l9375,-533m10326,-496l10326,-533e" filled="false" stroked="true" strokeweight=".078193pt" strokecolor="#000000">
              <v:path arrowok="t"/>
              <v:stroke dashstyle="solid"/>
            </v:shape>
            <v:rect style="position:absolute;left:1184;top:-4422;width:9241;height:4244" filled="false" stroked="true" strokeweight=".070995pt" strokecolor="#000000">
              <v:stroke dashstyle="solid"/>
            </v:rect>
            <v:shape style="position:absolute;left:9665;top:-429;width:389;height:139" type="#_x0000_t202" filled="false" stroked="false">
              <v:textbox inset="0,0,0,0">
                <w:txbxContent>
                  <w:p>
                    <w:pPr>
                      <w:spacing w:before="0"/>
                      <w:ind w:left="0" w:right="0" w:firstLine="0"/>
                      <w:jc w:val="left"/>
                      <w:rPr>
                        <w:rFonts w:ascii="Arial"/>
                        <w:sz w:val="12"/>
                      </w:rPr>
                    </w:pPr>
                    <w:r>
                      <w:rPr>
                        <w:rFonts w:ascii="Arial"/>
                        <w:w w:val="140"/>
                        <w:sz w:val="12"/>
                      </w:rPr>
                      <w:t>Total</w:t>
                    </w:r>
                  </w:p>
                </w:txbxContent>
              </v:textbox>
              <w10:wrap type="none"/>
            </v:shape>
            <v:shape style="position:absolute;left:2854;top:-429;width:6313;height:139" type="#_x0000_t202" filled="false" stroked="false">
              <v:textbox inset="0,0,0,0">
                <w:txbxContent>
                  <w:p>
                    <w:pPr>
                      <w:tabs>
                        <w:tab w:pos="960" w:val="left" w:leader="none"/>
                        <w:tab w:pos="1885" w:val="left" w:leader="none"/>
                        <w:tab w:pos="2813" w:val="left" w:leader="none"/>
                        <w:tab w:pos="5796" w:val="left" w:leader="none"/>
                      </w:tabs>
                      <w:spacing w:before="0"/>
                      <w:ind w:left="0" w:right="0" w:firstLine="0"/>
                      <w:jc w:val="left"/>
                      <w:rPr>
                        <w:rFonts w:ascii="Arial"/>
                        <w:sz w:val="12"/>
                      </w:rPr>
                    </w:pPr>
                    <w:r>
                      <w:rPr>
                        <w:rFonts w:ascii="Arial"/>
                        <w:w w:val="140"/>
                        <w:sz w:val="12"/>
                      </w:rPr>
                      <w:t>Chirurgie</w:t>
                      <w:tab/>
                      <w:t>Pediatrie</w:t>
                      <w:tab/>
                      <w:t>Alte</w:t>
                    </w:r>
                    <w:r>
                      <w:rPr>
                        <w:rFonts w:ascii="Arial"/>
                        <w:spacing w:val="-9"/>
                        <w:w w:val="140"/>
                        <w:sz w:val="12"/>
                      </w:rPr>
                      <w:t> </w:t>
                    </w:r>
                    <w:r>
                      <w:rPr>
                        <w:rFonts w:ascii="Arial"/>
                        <w:w w:val="140"/>
                        <w:sz w:val="12"/>
                      </w:rPr>
                      <w:t>sectii</w:t>
                      <w:tab/>
                      <w:t>Obstetrica </w:t>
                    </w:r>
                    <w:r>
                      <w:rPr>
                        <w:rFonts w:ascii="Arial"/>
                        <w:spacing w:val="9"/>
                        <w:w w:val="140"/>
                        <w:sz w:val="12"/>
                      </w:rPr>
                      <w:t> </w:t>
                    </w:r>
                    <w:r>
                      <w:rPr>
                        <w:rFonts w:ascii="Arial"/>
                        <w:w w:val="140"/>
                        <w:sz w:val="12"/>
                      </w:rPr>
                      <w:t>Nou-nascuti</w:t>
                    </w:r>
                    <w:r>
                      <w:rPr>
                        <w:rFonts w:ascii="Arial"/>
                        <w:spacing w:val="12"/>
                        <w:w w:val="140"/>
                        <w:sz w:val="12"/>
                      </w:rPr>
                      <w:t> </w:t>
                    </w:r>
                    <w:r>
                      <w:rPr>
                        <w:rFonts w:ascii="Arial"/>
                        <w:w w:val="140"/>
                        <w:sz w:val="12"/>
                      </w:rPr>
                      <w:t>Ginecologie</w:t>
                      <w:tab/>
                      <w:t>Dializa</w:t>
                    </w:r>
                  </w:p>
                </w:txbxContent>
              </v:textbox>
              <w10:wrap type="none"/>
            </v:shape>
            <v:shape style="position:absolute;left:2108;top:-429;width:279;height:139" type="#_x0000_t202" filled="false" stroked="false">
              <v:textbox inset="0,0,0,0">
                <w:txbxContent>
                  <w:p>
                    <w:pPr>
                      <w:spacing w:before="0"/>
                      <w:ind w:left="0" w:right="0" w:firstLine="0"/>
                      <w:jc w:val="left"/>
                      <w:rPr>
                        <w:rFonts w:ascii="Arial"/>
                        <w:sz w:val="12"/>
                      </w:rPr>
                    </w:pPr>
                    <w:r>
                      <w:rPr>
                        <w:rFonts w:ascii="Arial"/>
                        <w:w w:val="140"/>
                        <w:sz w:val="12"/>
                      </w:rPr>
                      <w:t>ATI</w:t>
                    </w:r>
                  </w:p>
                </w:txbxContent>
              </v:textbox>
              <w10:wrap type="none"/>
            </v:shape>
            <v:shape style="position:absolute;left:1596;top:-591;width:91;height:107" type="#_x0000_t202" filled="false" stroked="false">
              <v:textbox inset="0,0,0,0">
                <w:txbxContent>
                  <w:p>
                    <w:pPr>
                      <w:spacing w:before="2"/>
                      <w:ind w:left="0" w:right="0" w:firstLine="0"/>
                      <w:jc w:val="left"/>
                      <w:rPr>
                        <w:rFonts w:ascii="Arial"/>
                        <w:sz w:val="9"/>
                      </w:rPr>
                    </w:pPr>
                    <w:r>
                      <w:rPr>
                        <w:rFonts w:ascii="Arial"/>
                        <w:w w:val="141"/>
                        <w:sz w:val="9"/>
                      </w:rPr>
                      <w:t>0</w:t>
                    </w:r>
                  </w:p>
                </w:txbxContent>
              </v:textbox>
              <w10:wrap type="none"/>
            </v:shape>
            <v:shape style="position:absolute;left:8772;top:-841;width:270;height:151" type="#_x0000_t202" filled="false" stroked="false">
              <v:textbox inset="0,0,0,0">
                <w:txbxContent>
                  <w:p>
                    <w:pPr>
                      <w:spacing w:before="0"/>
                      <w:ind w:left="0" w:right="0" w:firstLine="0"/>
                      <w:jc w:val="left"/>
                      <w:rPr>
                        <w:rFonts w:ascii="Arial"/>
                        <w:sz w:val="13"/>
                      </w:rPr>
                    </w:pPr>
                    <w:r>
                      <w:rPr>
                        <w:rFonts w:ascii="Arial"/>
                        <w:w w:val="140"/>
                        <w:sz w:val="13"/>
                      </w:rPr>
                      <w:t>0.6</w:t>
                    </w:r>
                  </w:p>
                </w:txbxContent>
              </v:textbox>
              <w10:wrap type="none"/>
            </v:shape>
            <v:shape style="position:absolute;left:7820;top:-857;width:270;height:151" type="#_x0000_t202" filled="false" stroked="false">
              <v:textbox inset="0,0,0,0">
                <w:txbxContent>
                  <w:p>
                    <w:pPr>
                      <w:spacing w:before="0"/>
                      <w:ind w:left="0" w:right="0" w:firstLine="0"/>
                      <w:jc w:val="left"/>
                      <w:rPr>
                        <w:rFonts w:ascii="Arial"/>
                        <w:sz w:val="13"/>
                      </w:rPr>
                    </w:pPr>
                    <w:r>
                      <w:rPr>
                        <w:rFonts w:ascii="Arial"/>
                        <w:w w:val="140"/>
                        <w:sz w:val="13"/>
                      </w:rPr>
                      <w:t>0.7</w:t>
                    </w:r>
                  </w:p>
                </w:txbxContent>
              </v:textbox>
              <w10:wrap type="none"/>
            </v:shape>
            <v:shape style="position:absolute;left:1596;top:-914;width:91;height:107" type="#_x0000_t202" filled="false" stroked="false">
              <v:textbox inset="0,0,0,0">
                <w:txbxContent>
                  <w:p>
                    <w:pPr>
                      <w:spacing w:before="2"/>
                      <w:ind w:left="0" w:right="0" w:firstLine="0"/>
                      <w:jc w:val="left"/>
                      <w:rPr>
                        <w:rFonts w:ascii="Arial"/>
                        <w:sz w:val="9"/>
                      </w:rPr>
                    </w:pPr>
                    <w:r>
                      <w:rPr>
                        <w:rFonts w:ascii="Arial"/>
                        <w:w w:val="141"/>
                        <w:sz w:val="9"/>
                      </w:rPr>
                      <w:t>2</w:t>
                    </w:r>
                  </w:p>
                </w:txbxContent>
              </v:textbox>
              <w10:wrap type="none"/>
            </v:shape>
            <v:shape style="position:absolute;left:6868;top:-1147;width:270;height:151" type="#_x0000_t202" filled="false" stroked="false">
              <v:textbox inset="0,0,0,0">
                <w:txbxContent>
                  <w:p>
                    <w:pPr>
                      <w:spacing w:before="0"/>
                      <w:ind w:left="0" w:right="0" w:firstLine="0"/>
                      <w:jc w:val="left"/>
                      <w:rPr>
                        <w:rFonts w:ascii="Arial"/>
                        <w:sz w:val="13"/>
                      </w:rPr>
                    </w:pPr>
                    <w:r>
                      <w:rPr>
                        <w:rFonts w:ascii="Arial"/>
                        <w:w w:val="140"/>
                        <w:sz w:val="13"/>
                      </w:rPr>
                      <w:t>2.5</w:t>
                    </w:r>
                  </w:p>
                </w:txbxContent>
              </v:textbox>
              <w10:wrap type="none"/>
            </v:shape>
            <v:shape style="position:absolute;left:5918;top:-1196;width:270;height:151" type="#_x0000_t202" filled="false" stroked="false">
              <v:textbox inset="0,0,0,0">
                <w:txbxContent>
                  <w:p>
                    <w:pPr>
                      <w:spacing w:before="0"/>
                      <w:ind w:left="0" w:right="0" w:firstLine="0"/>
                      <w:jc w:val="left"/>
                      <w:rPr>
                        <w:rFonts w:ascii="Arial"/>
                        <w:sz w:val="13"/>
                      </w:rPr>
                    </w:pPr>
                    <w:r>
                      <w:rPr>
                        <w:rFonts w:ascii="Arial"/>
                        <w:w w:val="140"/>
                        <w:sz w:val="13"/>
                      </w:rPr>
                      <w:t>2.8</w:t>
                    </w:r>
                  </w:p>
                </w:txbxContent>
              </v:textbox>
              <w10:wrap type="none"/>
            </v:shape>
            <v:shape style="position:absolute;left:1596;top:-1565;width:3641;height:436" type="#_x0000_t202" filled="false" stroked="false">
              <v:textbox inset="0,0,0,0">
                <w:txbxContent>
                  <w:p>
                    <w:pPr>
                      <w:tabs>
                        <w:tab w:pos="3370" w:val="left" w:leader="none"/>
                      </w:tabs>
                      <w:spacing w:before="0"/>
                      <w:ind w:left="0" w:right="0" w:firstLine="0"/>
                      <w:jc w:val="left"/>
                      <w:rPr>
                        <w:rFonts w:ascii="Arial"/>
                        <w:sz w:val="13"/>
                      </w:rPr>
                    </w:pPr>
                    <w:r>
                      <w:rPr>
                        <w:rFonts w:ascii="Arial"/>
                        <w:w w:val="140"/>
                        <w:position w:val="3"/>
                        <w:sz w:val="9"/>
                      </w:rPr>
                      <w:t>6</w:t>
                      <w:tab/>
                    </w:r>
                    <w:r>
                      <w:rPr>
                        <w:rFonts w:ascii="Arial"/>
                        <w:w w:val="140"/>
                        <w:sz w:val="13"/>
                      </w:rPr>
                      <w:t>5.1</w:t>
                    </w:r>
                  </w:p>
                  <w:p>
                    <w:pPr>
                      <w:spacing w:line="240" w:lineRule="auto" w:before="9"/>
                      <w:rPr>
                        <w:rFonts w:ascii="Arial"/>
                        <w:sz w:val="15"/>
                      </w:rPr>
                    </w:pPr>
                  </w:p>
                  <w:p>
                    <w:pPr>
                      <w:spacing w:before="0"/>
                      <w:ind w:left="0" w:right="0" w:firstLine="0"/>
                      <w:jc w:val="left"/>
                      <w:rPr>
                        <w:rFonts w:ascii="Arial"/>
                        <w:sz w:val="9"/>
                      </w:rPr>
                    </w:pPr>
                    <w:r>
                      <w:rPr>
                        <w:rFonts w:ascii="Arial"/>
                        <w:w w:val="141"/>
                        <w:sz w:val="9"/>
                      </w:rPr>
                      <w:t>4</w:t>
                    </w:r>
                  </w:p>
                </w:txbxContent>
              </v:textbox>
              <w10:wrap type="none"/>
            </v:shape>
            <v:shape style="position:absolute;left:9724;top:-1759;width:270;height:151" type="#_x0000_t202" filled="false" stroked="false">
              <v:textbox inset="0,0,0,0">
                <w:txbxContent>
                  <w:p>
                    <w:pPr>
                      <w:spacing w:before="0"/>
                      <w:ind w:left="0" w:right="0" w:firstLine="0"/>
                      <w:jc w:val="left"/>
                      <w:rPr>
                        <w:rFonts w:ascii="Arial"/>
                        <w:sz w:val="13"/>
                      </w:rPr>
                    </w:pPr>
                    <w:r>
                      <w:rPr>
                        <w:rFonts w:ascii="Arial"/>
                        <w:w w:val="140"/>
                        <w:sz w:val="13"/>
                      </w:rPr>
                      <w:t>6.3</w:t>
                    </w:r>
                  </w:p>
                </w:txbxContent>
              </v:textbox>
              <w10:wrap type="none"/>
            </v:shape>
            <v:shape style="position:absolute;left:3964;top:-1761;width:369;height:151" type="#_x0000_t202" filled="false" stroked="false">
              <v:textbox inset="0,0,0,0">
                <w:txbxContent>
                  <w:p>
                    <w:pPr>
                      <w:spacing w:before="0"/>
                      <w:ind w:left="0" w:right="0" w:firstLine="0"/>
                      <w:jc w:val="left"/>
                      <w:rPr>
                        <w:rFonts w:ascii="Arial"/>
                        <w:sz w:val="13"/>
                      </w:rPr>
                    </w:pPr>
                    <w:r>
                      <w:rPr>
                        <w:rFonts w:ascii="Arial"/>
                        <w:w w:val="140"/>
                        <w:sz w:val="13"/>
                      </w:rPr>
                      <w:t>6.31</w:t>
                    </w:r>
                  </w:p>
                </w:txbxContent>
              </v:textbox>
              <w10:wrap type="none"/>
            </v:shape>
            <v:shape style="position:absolute;left:3013;top:-1764;width:369;height:151" type="#_x0000_t202" filled="false" stroked="false">
              <v:textbox inset="0,0,0,0">
                <w:txbxContent>
                  <w:p>
                    <w:pPr>
                      <w:spacing w:before="0"/>
                      <w:ind w:left="0" w:right="0" w:firstLine="0"/>
                      <w:jc w:val="left"/>
                      <w:rPr>
                        <w:rFonts w:ascii="Arial"/>
                        <w:sz w:val="13"/>
                      </w:rPr>
                    </w:pPr>
                    <w:r>
                      <w:rPr>
                        <w:rFonts w:ascii="Arial"/>
                        <w:w w:val="140"/>
                        <w:sz w:val="13"/>
                      </w:rPr>
                      <w:t>6.33</w:t>
                    </w:r>
                  </w:p>
                </w:txbxContent>
              </v:textbox>
              <w10:wrap type="none"/>
            </v:shape>
            <v:shape style="position:absolute;left:1525;top:-3168;width:161;height:1396" type="#_x0000_t202" filled="false" stroked="false">
              <v:textbox inset="0,0,0,0">
                <w:txbxContent>
                  <w:p>
                    <w:pPr>
                      <w:spacing w:before="2"/>
                      <w:ind w:left="0" w:right="0" w:firstLine="0"/>
                      <w:jc w:val="left"/>
                      <w:rPr>
                        <w:rFonts w:ascii="Arial"/>
                        <w:sz w:val="9"/>
                      </w:rPr>
                    </w:pPr>
                    <w:r>
                      <w:rPr>
                        <w:rFonts w:ascii="Arial"/>
                        <w:w w:val="140"/>
                        <w:sz w:val="9"/>
                      </w:rPr>
                      <w:t>16</w:t>
                    </w:r>
                  </w:p>
                  <w:p>
                    <w:pPr>
                      <w:spacing w:line="240" w:lineRule="auto" w:before="0"/>
                      <w:rPr>
                        <w:rFonts w:ascii="Arial"/>
                        <w:sz w:val="10"/>
                      </w:rPr>
                    </w:pPr>
                  </w:p>
                  <w:p>
                    <w:pPr>
                      <w:spacing w:line="240" w:lineRule="auto" w:before="10"/>
                      <w:rPr>
                        <w:rFonts w:ascii="Arial"/>
                        <w:sz w:val="8"/>
                      </w:rPr>
                    </w:pPr>
                  </w:p>
                  <w:p>
                    <w:pPr>
                      <w:spacing w:before="0"/>
                      <w:ind w:left="0" w:right="0" w:firstLine="0"/>
                      <w:jc w:val="left"/>
                      <w:rPr>
                        <w:rFonts w:ascii="Arial"/>
                        <w:sz w:val="9"/>
                      </w:rPr>
                    </w:pPr>
                    <w:r>
                      <w:rPr>
                        <w:rFonts w:ascii="Arial"/>
                        <w:w w:val="140"/>
                        <w:sz w:val="9"/>
                      </w:rPr>
                      <w:t>14</w:t>
                    </w:r>
                  </w:p>
                  <w:p>
                    <w:pPr>
                      <w:spacing w:line="240" w:lineRule="auto" w:before="0"/>
                      <w:rPr>
                        <w:rFonts w:ascii="Arial"/>
                        <w:sz w:val="10"/>
                      </w:rPr>
                    </w:pPr>
                  </w:p>
                  <w:p>
                    <w:pPr>
                      <w:spacing w:line="240" w:lineRule="auto" w:before="1"/>
                      <w:rPr>
                        <w:rFonts w:ascii="Arial"/>
                        <w:sz w:val="9"/>
                      </w:rPr>
                    </w:pPr>
                  </w:p>
                  <w:p>
                    <w:pPr>
                      <w:spacing w:before="0"/>
                      <w:ind w:left="0" w:right="0" w:firstLine="0"/>
                      <w:jc w:val="left"/>
                      <w:rPr>
                        <w:rFonts w:ascii="Arial"/>
                        <w:sz w:val="9"/>
                      </w:rPr>
                    </w:pPr>
                    <w:r>
                      <w:rPr>
                        <w:rFonts w:ascii="Arial"/>
                        <w:w w:val="140"/>
                        <w:sz w:val="9"/>
                      </w:rPr>
                      <w:t>12</w:t>
                    </w:r>
                  </w:p>
                  <w:p>
                    <w:pPr>
                      <w:spacing w:line="240" w:lineRule="auto" w:before="0"/>
                      <w:rPr>
                        <w:rFonts w:ascii="Arial"/>
                        <w:sz w:val="10"/>
                      </w:rPr>
                    </w:pPr>
                  </w:p>
                  <w:p>
                    <w:pPr>
                      <w:spacing w:line="240" w:lineRule="auto" w:before="0"/>
                      <w:rPr>
                        <w:rFonts w:ascii="Arial"/>
                        <w:sz w:val="9"/>
                      </w:rPr>
                    </w:pPr>
                  </w:p>
                  <w:p>
                    <w:pPr>
                      <w:spacing w:before="0"/>
                      <w:ind w:left="0" w:right="0" w:firstLine="0"/>
                      <w:jc w:val="left"/>
                      <w:rPr>
                        <w:rFonts w:ascii="Arial"/>
                        <w:sz w:val="9"/>
                      </w:rPr>
                    </w:pPr>
                    <w:r>
                      <w:rPr>
                        <w:rFonts w:ascii="Arial"/>
                        <w:w w:val="140"/>
                        <w:sz w:val="9"/>
                      </w:rPr>
                      <w:t>10</w:t>
                    </w:r>
                  </w:p>
                  <w:p>
                    <w:pPr>
                      <w:spacing w:line="240" w:lineRule="auto" w:before="0"/>
                      <w:rPr>
                        <w:rFonts w:ascii="Arial"/>
                        <w:sz w:val="10"/>
                      </w:rPr>
                    </w:pPr>
                  </w:p>
                  <w:p>
                    <w:pPr>
                      <w:spacing w:line="240" w:lineRule="auto" w:before="1"/>
                      <w:rPr>
                        <w:rFonts w:ascii="Arial"/>
                        <w:sz w:val="9"/>
                      </w:rPr>
                    </w:pPr>
                  </w:p>
                  <w:p>
                    <w:pPr>
                      <w:spacing w:before="0"/>
                      <w:ind w:left="70" w:right="0" w:firstLine="0"/>
                      <w:jc w:val="left"/>
                      <w:rPr>
                        <w:rFonts w:ascii="Arial"/>
                        <w:sz w:val="9"/>
                      </w:rPr>
                    </w:pPr>
                    <w:r>
                      <w:rPr>
                        <w:rFonts w:ascii="Arial"/>
                        <w:w w:val="141"/>
                        <w:sz w:val="9"/>
                      </w:rPr>
                      <w:t>8</w:t>
                    </w:r>
                  </w:p>
                </w:txbxContent>
              </v:textbox>
              <w10:wrap type="none"/>
            </v:shape>
            <v:shape style="position:absolute;left:2061;top:-3595;width:369;height:151" type="#_x0000_t202" filled="false" stroked="false">
              <v:textbox inset="0,0,0,0">
                <w:txbxContent>
                  <w:p>
                    <w:pPr>
                      <w:spacing w:before="0"/>
                      <w:ind w:left="0" w:right="0" w:firstLine="0"/>
                      <w:jc w:val="left"/>
                      <w:rPr>
                        <w:rFonts w:ascii="Arial"/>
                        <w:sz w:val="13"/>
                      </w:rPr>
                    </w:pPr>
                    <w:r>
                      <w:rPr>
                        <w:rFonts w:ascii="Arial"/>
                        <w:w w:val="140"/>
                        <w:sz w:val="13"/>
                      </w:rPr>
                      <w:t>17.7</w:t>
                    </w:r>
                  </w:p>
                </w:txbxContent>
              </v:textbox>
              <w10:wrap type="none"/>
            </v:shape>
            <v:shape style="position:absolute;left:1525;top:-3491;width:161;height:107" type="#_x0000_t202" filled="false" stroked="false">
              <v:textbox inset="0,0,0,0">
                <w:txbxContent>
                  <w:p>
                    <w:pPr>
                      <w:spacing w:before="2"/>
                      <w:ind w:left="0" w:right="0" w:firstLine="0"/>
                      <w:jc w:val="left"/>
                      <w:rPr>
                        <w:rFonts w:ascii="Arial"/>
                        <w:sz w:val="9"/>
                      </w:rPr>
                    </w:pPr>
                    <w:r>
                      <w:rPr>
                        <w:rFonts w:ascii="Arial"/>
                        <w:w w:val="140"/>
                        <w:sz w:val="9"/>
                      </w:rPr>
                      <w:t>18</w:t>
                    </w:r>
                  </w:p>
                </w:txbxContent>
              </v:textbox>
              <w10:wrap type="none"/>
            </v:shape>
            <v:shape style="position:absolute;left:1525;top:-3813;width:161;height:107" type="#_x0000_t202" filled="false" stroked="false">
              <v:textbox inset="0,0,0,0">
                <w:txbxContent>
                  <w:p>
                    <w:pPr>
                      <w:spacing w:before="2"/>
                      <w:ind w:left="0" w:right="0" w:firstLine="0"/>
                      <w:jc w:val="left"/>
                      <w:rPr>
                        <w:rFonts w:ascii="Arial"/>
                        <w:sz w:val="9"/>
                      </w:rPr>
                    </w:pPr>
                    <w:r>
                      <w:rPr>
                        <w:rFonts w:ascii="Arial"/>
                        <w:w w:val="140"/>
                        <w:sz w:val="9"/>
                      </w:rPr>
                      <w:t>20</w:t>
                    </w:r>
                  </w:p>
                </w:txbxContent>
              </v:textbox>
              <w10:wrap type="none"/>
            </v:shape>
            <v:shape style="position:absolute;left:2396;top:-4305;width:6835;height:274" type="#_x0000_t202" filled="false" stroked="false">
              <v:textbox inset="0,0,0,0">
                <w:txbxContent>
                  <w:p>
                    <w:pPr>
                      <w:spacing w:line="276" w:lineRule="auto" w:before="1"/>
                      <w:ind w:left="2651" w:right="4" w:hanging="2652"/>
                      <w:jc w:val="left"/>
                      <w:rPr>
                        <w:rFonts w:ascii="Arial"/>
                        <w:b/>
                        <w:sz w:val="11"/>
                      </w:rPr>
                    </w:pPr>
                    <w:r>
                      <w:rPr>
                        <w:rFonts w:ascii="Arial"/>
                        <w:b/>
                        <w:w w:val="140"/>
                        <w:sz w:val="11"/>
                      </w:rPr>
                      <w:t>Fig. nr. 3 - Incidenta prin IAAM pe departamente medicale - toate situsurile anatomice - 2017 - municipiul Bucuresti</w:t>
                    </w:r>
                  </w:p>
                </w:txbxContent>
              </v:textbox>
              <w10:wrap type="none"/>
            </v:shape>
            <w10:wrap type="none"/>
          </v:group>
        </w:pict>
      </w:r>
      <w:r>
        <w:rPr/>
        <w:pict>
          <v:shape style="position:absolute;margin-left:64.878593pt;margin-top:-165.752045pt;width:9.1pt;height:116.85pt;mso-position-horizontal-relative:page;mso-position-vertical-relative:paragraph;z-index:251831296" type="#_x0000_t202" filled="false" stroked="false">
            <v:textbox inset="0,0,0,0" style="layout-flow:vertical;mso-layout-flow-alt:bottom-to-top">
              <w:txbxContent>
                <w:p>
                  <w:pPr>
                    <w:spacing w:before="22"/>
                    <w:ind w:left="20" w:right="0" w:firstLine="0"/>
                    <w:jc w:val="left"/>
                    <w:rPr>
                      <w:rFonts w:ascii="Arial"/>
                      <w:b/>
                      <w:sz w:val="12"/>
                    </w:rPr>
                  </w:pPr>
                  <w:r>
                    <w:rPr>
                      <w:rFonts w:ascii="Arial"/>
                      <w:b/>
                      <w:w w:val="80"/>
                      <w:sz w:val="12"/>
                    </w:rPr>
                    <w:t># cazuri IAAM declarate per 1000 pacienti externati</w:t>
                  </w:r>
                </w:p>
              </w:txbxContent>
            </v:textbox>
            <w10:wrap type="none"/>
          </v:shape>
        </w:pict>
      </w:r>
      <w:r>
        <w:rPr/>
        <w:t>Incidenta cazurilor IAAM dupa situsul anatomic afectat:cea mai mare incidenta (34,5 cazuri/1000 pacienti externati) s-a inregistrat la nivelul tractului digestiv si s-a datorat enterocolitei nosocomiale prin </w:t>
      </w:r>
      <w:r>
        <w:rPr>
          <w:i/>
        </w:rPr>
        <w:t>Cl. difficile </w:t>
      </w:r>
      <w:r>
        <w:rPr/>
        <w:t>la adult si respectiv enteritei nosocomiale prin </w:t>
      </w:r>
      <w:r>
        <w:rPr>
          <w:i/>
        </w:rPr>
        <w:t>rotavirus si norovirus </w:t>
      </w:r>
      <w:r>
        <w:rPr/>
        <w:t>la copil</w:t>
      </w:r>
      <w:r>
        <w:rPr>
          <w:i/>
        </w:rPr>
        <w:t>.</w:t>
      </w:r>
    </w:p>
    <w:p>
      <w:pPr>
        <w:pStyle w:val="BodyText"/>
        <w:spacing w:before="3"/>
        <w:ind w:left="0"/>
        <w:rPr>
          <w:i/>
        </w:rPr>
      </w:pPr>
      <w:r>
        <w:rPr/>
        <w:pict>
          <v:group style="position:absolute;margin-left:59.1936pt;margin-top:15.938353pt;width:462.1pt;height:247.75pt;mso-position-horizontal-relative:page;mso-position-vertical-relative:paragraph;z-index:-251506688;mso-wrap-distance-left:0;mso-wrap-distance-right:0" coordorigin="1184,319" coordsize="9242,4955">
            <v:rect style="position:absolute;left:1184;top:319;width:9241;height:4954" filled="false" stroked="true" strokeweight=".080795pt" strokecolor="#000000">
              <v:stroke dashstyle="solid"/>
            </v:rect>
            <v:rect style="position:absolute;left:3187;top:1003;width:7051;height:3731" filled="false" stroked="true" strokeweight=".553685pt" strokecolor="#808080">
              <v:stroke dashstyle="solid"/>
            </v:rect>
            <v:rect style="position:absolute;left:3187;top:4345;width:6081;height:311" filled="true" fillcolor="#ccffcc" stroked="false">
              <v:fill type="solid"/>
            </v:rect>
            <v:rect style="position:absolute;left:3187;top:4345;width:6081;height:311" filled="false" stroked="true" strokeweight=".537572pt" strokecolor="#000000">
              <v:stroke dashstyle="solid"/>
            </v:rect>
            <v:rect style="position:absolute;left:3187;top:3879;width:3913;height:311" filled="true" fillcolor="#ccffcc" stroked="false">
              <v:fill type="solid"/>
            </v:rect>
            <v:rect style="position:absolute;left:3187;top:3879;width:3913;height:311" filled="false" stroked="true" strokeweight=".537845pt" strokecolor="#000000">
              <v:stroke dashstyle="solid"/>
            </v:rect>
            <v:rect style="position:absolute;left:3187;top:3413;width:3067;height:311" filled="true" fillcolor="#ccffcc" stroked="false">
              <v:fill type="solid"/>
            </v:rect>
            <v:rect style="position:absolute;left:3187;top:3413;width:3067;height:311" filled="false" stroked="true" strokeweight=".538134pt" strokecolor="#000000">
              <v:stroke dashstyle="solid"/>
            </v:rect>
            <v:rect style="position:absolute;left:3187;top:2946;width:1745;height:311" filled="true" fillcolor="#ccffcc" stroked="false">
              <v:fill type="solid"/>
            </v:rect>
            <v:rect style="position:absolute;left:3187;top:2946;width:1745;height:311" filled="false" stroked="true" strokeweight=".539666pt" strokecolor="#000000">
              <v:stroke dashstyle="solid"/>
            </v:rect>
            <v:rect style="position:absolute;left:3187;top:2480;width:1622;height:311" filled="true" fillcolor="#ccffcc" stroked="false">
              <v:fill type="solid"/>
            </v:rect>
            <v:rect style="position:absolute;left:3187;top:2480;width:1622;height:311" filled="false" stroked="true" strokeweight=".540012pt" strokecolor="#000000">
              <v:stroke dashstyle="solid"/>
            </v:rect>
            <v:rect style="position:absolute;left:3187;top:2014;width:793;height:311" filled="true" fillcolor="#ccffcc" stroked="false">
              <v:fill type="solid"/>
            </v:rect>
            <v:rect style="position:absolute;left:3187;top:2014;width:793;height:311" filled="false" stroked="true" strokeweight=".547293pt" strokecolor="#000000">
              <v:stroke dashstyle="solid"/>
            </v:rect>
            <v:rect style="position:absolute;left:3187;top:1547;width:317;height:311" filled="true" fillcolor="#ccffcc" stroked="false">
              <v:fill type="solid"/>
            </v:rect>
            <v:rect style="position:absolute;left:3187;top:1547;width:317;height:311" filled="false" stroked="true" strokeweight=".573938pt" strokecolor="#000000">
              <v:stroke dashstyle="solid"/>
            </v:rect>
            <v:line style="position:absolute" from="3188,4735" to="10237,4735" stroked="true" strokeweight=".078368pt" strokecolor="#000000">
              <v:stroke dashstyle="solid"/>
            </v:line>
            <v:line style="position:absolute" from="3188,4768" to="3188,4736" stroked="true" strokeweight=".089242pt" strokecolor="#000000">
              <v:stroke dashstyle="solid"/>
            </v:line>
            <v:line style="position:absolute" from="4069,4768" to="4069,4736" stroked="true" strokeweight=".089242pt" strokecolor="#000000">
              <v:stroke dashstyle="solid"/>
            </v:line>
            <v:line style="position:absolute" from="4951,4768" to="4951,4736" stroked="true" strokeweight=".089242pt" strokecolor="#000000">
              <v:stroke dashstyle="solid"/>
            </v:line>
            <v:line style="position:absolute" from="5832,4768" to="5832,4736" stroked="true" strokeweight=".089242pt" strokecolor="#000000">
              <v:stroke dashstyle="solid"/>
            </v:line>
            <v:line style="position:absolute" from="6714,4768" to="6714,4736" stroked="true" strokeweight=".089242pt" strokecolor="#000000">
              <v:stroke dashstyle="solid"/>
            </v:line>
            <v:line style="position:absolute" from="7595,4768" to="7595,4736" stroked="true" strokeweight=".089242pt" strokecolor="#000000">
              <v:stroke dashstyle="solid"/>
            </v:line>
            <v:line style="position:absolute" from="8476,4768" to="8476,4736" stroked="true" strokeweight=".089242pt" strokecolor="#000000">
              <v:stroke dashstyle="solid"/>
            </v:line>
            <v:line style="position:absolute" from="9358,4768" to="9358,4736" stroked="true" strokeweight=".089242pt" strokecolor="#000000">
              <v:stroke dashstyle="solid"/>
            </v:line>
            <v:line style="position:absolute" from="10239,4768" to="10239,4736" stroked="true" strokeweight=".089242pt" strokecolor="#000000">
              <v:stroke dashstyle="solid"/>
            </v:line>
            <v:line style="position:absolute" from="3188,1004" to="3188,4733" stroked="true" strokeweight=".089242pt" strokecolor="#000000">
              <v:stroke dashstyle="solid"/>
            </v:line>
            <v:line style="position:absolute" from="3139,4735" to="3187,4735" stroked="true" strokeweight=".078368pt" strokecolor="#000000">
              <v:stroke dashstyle="solid"/>
            </v:line>
            <v:line style="position:absolute" from="3139,4268" to="3187,4268" stroked="true" strokeweight=".078368pt" strokecolor="#000000">
              <v:stroke dashstyle="solid"/>
            </v:line>
            <v:line style="position:absolute" from="3139,3802" to="3187,3802" stroked="true" strokeweight=".078368pt" strokecolor="#000000">
              <v:stroke dashstyle="solid"/>
            </v:line>
            <v:line style="position:absolute" from="3139,3336" to="3187,3336" stroked="true" strokeweight=".078368pt" strokecolor="#000000">
              <v:stroke dashstyle="solid"/>
            </v:line>
            <v:line style="position:absolute" from="3139,2869" to="3187,2869" stroked="true" strokeweight=".078368pt" strokecolor="#000000">
              <v:stroke dashstyle="solid"/>
            </v:line>
            <v:line style="position:absolute" from="3139,2403" to="3187,2403" stroked="true" strokeweight=".078368pt" strokecolor="#000000">
              <v:stroke dashstyle="solid"/>
            </v:line>
            <v:line style="position:absolute" from="3139,1937" to="3187,1937" stroked="true" strokeweight=".078368pt" strokecolor="#000000">
              <v:stroke dashstyle="solid"/>
            </v:line>
            <v:line style="position:absolute" from="3139,1471" to="3187,1471" stroked="true" strokeweight=".078368pt" strokecolor="#000000">
              <v:stroke dashstyle="solid"/>
            </v:line>
            <v:line style="position:absolute" from="3139,1004" to="3187,1004" stroked="true" strokeweight=".078368pt" strokecolor="#000000">
              <v:stroke dashstyle="solid"/>
            </v:line>
            <v:rect style="position:absolute;left:1184;top:319;width:9241;height:4954" filled="false" stroked="true" strokeweight=".080795pt" strokecolor="#000000">
              <v:stroke dashstyle="solid"/>
            </v:rect>
            <v:shape style="position:absolute;left:3248;top:5020;width:6944;height:125" type="#_x0000_t202" filled="false" stroked="false">
              <v:textbox inset="0,0,0,0">
                <w:txbxContent>
                  <w:p>
                    <w:pPr>
                      <w:spacing w:line="124" w:lineRule="exact" w:before="0"/>
                      <w:ind w:left="0" w:right="0" w:firstLine="0"/>
                      <w:jc w:val="left"/>
                      <w:rPr>
                        <w:rFonts w:ascii="Arial"/>
                        <w:b/>
                        <w:sz w:val="11"/>
                      </w:rPr>
                    </w:pPr>
                    <w:r>
                      <w:rPr>
                        <w:rFonts w:ascii="Arial"/>
                        <w:b/>
                        <w:w w:val="115"/>
                        <w:sz w:val="11"/>
                      </w:rPr>
                      <w:t>% cazuri IAAM pe fiecare situs anatomic supravegheat din total cazuri declarate din toate departamentele medicale</w:t>
                    </w:r>
                  </w:p>
                </w:txbxContent>
              </v:textbox>
              <w10:wrap type="none"/>
            </v:shape>
            <v:shape style="position:absolute;left:10167;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40</w:t>
                    </w:r>
                  </w:p>
                </w:txbxContent>
              </v:textbox>
              <w10:wrap type="none"/>
            </v:shape>
            <v:shape style="position:absolute;left:9286;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35</w:t>
                    </w:r>
                  </w:p>
                </w:txbxContent>
              </v:textbox>
              <w10:wrap type="none"/>
            </v:shape>
            <v:shape style="position:absolute;left:8404;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30</w:t>
                    </w:r>
                  </w:p>
                </w:txbxContent>
              </v:textbox>
              <w10:wrap type="none"/>
            </v:shape>
            <v:shape style="position:absolute;left:7523;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25</w:t>
                    </w:r>
                  </w:p>
                </w:txbxContent>
              </v:textbox>
              <w10:wrap type="none"/>
            </v:shape>
            <v:shape style="position:absolute;left:6642;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20</w:t>
                    </w:r>
                  </w:p>
                </w:txbxContent>
              </v:textbox>
              <w10:wrap type="none"/>
            </v:shape>
            <v:shape style="position:absolute;left:5761;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15</w:t>
                    </w:r>
                  </w:p>
                </w:txbxContent>
              </v:textbox>
              <w10:wrap type="none"/>
            </v:shape>
            <v:shape style="position:absolute;left:4879;top:4827;width:16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10</w:t>
                    </w:r>
                  </w:p>
                </w:txbxContent>
              </v:textbox>
              <w10:wrap type="none"/>
            </v:shape>
            <v:shape style="position:absolute;left:4033;top:4827;width:9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5</w:t>
                    </w:r>
                  </w:p>
                </w:txbxContent>
              </v:textbox>
              <w10:wrap type="none"/>
            </v:shape>
            <v:shape style="position:absolute;left:3152;top:4827;width:91;height:125" type="#_x0000_t202" filled="false" stroked="false">
              <v:textbox inset="0,0,0,0">
                <w:txbxContent>
                  <w:p>
                    <w:pPr>
                      <w:spacing w:line="124" w:lineRule="exact" w:before="0"/>
                      <w:ind w:left="0" w:right="0" w:firstLine="0"/>
                      <w:jc w:val="left"/>
                      <w:rPr>
                        <w:rFonts w:ascii="Arial"/>
                        <w:sz w:val="11"/>
                      </w:rPr>
                    </w:pPr>
                    <w:r>
                      <w:rPr>
                        <w:rFonts w:ascii="Arial"/>
                        <w:w w:val="115"/>
                        <w:sz w:val="11"/>
                      </w:rPr>
                      <w:t>0</w:t>
                    </w:r>
                  </w:p>
                </w:txbxContent>
              </v:textbox>
              <w10:wrap type="none"/>
            </v:shape>
            <v:shape style="position:absolute;left:9318;top:4408;width:369;height:176" type="#_x0000_t202" filled="false" stroked="false">
              <v:textbox inset="0,0,0,0">
                <w:txbxContent>
                  <w:p>
                    <w:pPr>
                      <w:spacing w:before="1"/>
                      <w:ind w:left="0" w:right="0" w:firstLine="0"/>
                      <w:jc w:val="left"/>
                      <w:rPr>
                        <w:rFonts w:ascii="Arial"/>
                        <w:sz w:val="15"/>
                      </w:rPr>
                    </w:pPr>
                    <w:r>
                      <w:rPr>
                        <w:rFonts w:ascii="Arial"/>
                        <w:w w:val="120"/>
                        <w:sz w:val="15"/>
                      </w:rPr>
                      <w:t>34.5</w:t>
                    </w:r>
                  </w:p>
                </w:txbxContent>
              </v:textbox>
              <w10:wrap type="none"/>
            </v:shape>
            <v:shape style="position:absolute;left:2474;top:4422;width:616;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Digestiv</w:t>
                    </w:r>
                  </w:p>
                </w:txbxContent>
              </v:textbox>
              <w10:wrap type="none"/>
            </v:shape>
            <v:shape style="position:absolute;left:7150;top:3942;width:369;height:176" type="#_x0000_t202" filled="false" stroked="false">
              <v:textbox inset="0,0,0,0">
                <w:txbxContent>
                  <w:p>
                    <w:pPr>
                      <w:spacing w:before="1"/>
                      <w:ind w:left="0" w:right="0" w:firstLine="0"/>
                      <w:jc w:val="left"/>
                      <w:rPr>
                        <w:rFonts w:ascii="Arial"/>
                        <w:sz w:val="15"/>
                      </w:rPr>
                    </w:pPr>
                    <w:r>
                      <w:rPr>
                        <w:rFonts w:ascii="Arial"/>
                        <w:w w:val="120"/>
                        <w:sz w:val="15"/>
                      </w:rPr>
                      <w:t>22.2</w:t>
                    </w:r>
                  </w:p>
                </w:txbxContent>
              </v:textbox>
              <w10:wrap type="none"/>
            </v:shape>
            <v:shape style="position:absolute;left:2301;top:3956;width:786;height:151" type="#_x0000_t202" filled="false" stroked="false">
              <v:textbox inset="0,0,0,0">
                <w:txbxContent>
                  <w:p>
                    <w:pPr>
                      <w:spacing w:line="149" w:lineRule="exact" w:before="0"/>
                      <w:ind w:left="0" w:right="0" w:firstLine="0"/>
                      <w:jc w:val="left"/>
                      <w:rPr>
                        <w:rFonts w:ascii="Arial"/>
                        <w:b/>
                        <w:sz w:val="13"/>
                      </w:rPr>
                    </w:pPr>
                    <w:r>
                      <w:rPr>
                        <w:rFonts w:ascii="Arial"/>
                        <w:b/>
                        <w:w w:val="115"/>
                        <w:sz w:val="13"/>
                      </w:rPr>
                      <w:t>Respirator</w:t>
                    </w:r>
                  </w:p>
                </w:txbxContent>
              </v:textbox>
              <w10:wrap type="none"/>
            </v:shape>
            <v:shape style="position:absolute;left:6304;top:3476;width:369;height:176" type="#_x0000_t202" filled="false" stroked="false">
              <v:textbox inset="0,0,0,0">
                <w:txbxContent>
                  <w:p>
                    <w:pPr>
                      <w:spacing w:before="1"/>
                      <w:ind w:left="0" w:right="0" w:firstLine="0"/>
                      <w:jc w:val="left"/>
                      <w:rPr>
                        <w:rFonts w:ascii="Arial"/>
                        <w:sz w:val="15"/>
                      </w:rPr>
                    </w:pPr>
                    <w:r>
                      <w:rPr>
                        <w:rFonts w:ascii="Arial"/>
                        <w:w w:val="120"/>
                        <w:sz w:val="15"/>
                      </w:rPr>
                      <w:t>17.4</w:t>
                    </w:r>
                  </w:p>
                </w:txbxContent>
              </v:textbox>
              <w10:wrap type="none"/>
            </v:shape>
            <v:shape style="position:absolute;left:2616;top:3490;width:471;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Urinar</w:t>
                    </w:r>
                  </w:p>
                </w:txbxContent>
              </v:textbox>
              <w10:wrap type="none"/>
            </v:shape>
            <v:shape style="position:absolute;left:4982;top:3010;width:270;height:176" type="#_x0000_t202" filled="false" stroked="false">
              <v:textbox inset="0,0,0,0">
                <w:txbxContent>
                  <w:p>
                    <w:pPr>
                      <w:spacing w:before="1"/>
                      <w:ind w:left="0" w:right="0" w:firstLine="0"/>
                      <w:jc w:val="left"/>
                      <w:rPr>
                        <w:rFonts w:ascii="Arial"/>
                        <w:sz w:val="15"/>
                      </w:rPr>
                    </w:pPr>
                    <w:r>
                      <w:rPr>
                        <w:rFonts w:ascii="Arial"/>
                        <w:w w:val="120"/>
                        <w:sz w:val="15"/>
                      </w:rPr>
                      <w:t>9.9</w:t>
                    </w:r>
                  </w:p>
                </w:txbxContent>
              </v:textbox>
              <w10:wrap type="none"/>
            </v:shape>
            <v:shape style="position:absolute;left:2404;top:3024;width:684;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Situs Chi</w:t>
                    </w:r>
                  </w:p>
                </w:txbxContent>
              </v:textbox>
              <w10:wrap type="none"/>
            </v:shape>
            <v:shape style="position:absolute;left:4860;top:2543;width:270;height:176" type="#_x0000_t202" filled="false" stroked="false">
              <v:textbox inset="0,0,0,0">
                <w:txbxContent>
                  <w:p>
                    <w:pPr>
                      <w:spacing w:before="1"/>
                      <w:ind w:left="0" w:right="0" w:firstLine="0"/>
                      <w:jc w:val="left"/>
                      <w:rPr>
                        <w:rFonts w:ascii="Arial"/>
                        <w:sz w:val="15"/>
                      </w:rPr>
                    </w:pPr>
                    <w:r>
                      <w:rPr>
                        <w:rFonts w:ascii="Arial"/>
                        <w:w w:val="120"/>
                        <w:sz w:val="15"/>
                      </w:rPr>
                      <w:t>9.2</w:t>
                    </w:r>
                  </w:p>
                </w:txbxContent>
              </v:textbox>
              <w10:wrap type="none"/>
            </v:shape>
            <v:shape style="position:absolute;left:2572;top:2557;width:515;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Sepsis</w:t>
                    </w:r>
                  </w:p>
                </w:txbxContent>
              </v:textbox>
              <w10:wrap type="none"/>
            </v:shape>
            <v:shape style="position:absolute;left:4030;top:2077;width:270;height:176" type="#_x0000_t202" filled="false" stroked="false">
              <v:textbox inset="0,0,0,0">
                <w:txbxContent>
                  <w:p>
                    <w:pPr>
                      <w:spacing w:before="1"/>
                      <w:ind w:left="0" w:right="0" w:firstLine="0"/>
                      <w:jc w:val="left"/>
                      <w:rPr>
                        <w:rFonts w:ascii="Arial"/>
                        <w:sz w:val="15"/>
                      </w:rPr>
                    </w:pPr>
                    <w:r>
                      <w:rPr>
                        <w:rFonts w:ascii="Arial"/>
                        <w:w w:val="120"/>
                        <w:sz w:val="15"/>
                      </w:rPr>
                      <w:t>4.5</w:t>
                    </w:r>
                  </w:p>
                </w:txbxContent>
              </v:textbox>
              <w10:wrap type="none"/>
            </v:shape>
            <v:shape style="position:absolute;left:1307;top:2091;width:1781;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Tegument &amp;</w:t>
                    </w:r>
                    <w:r>
                      <w:rPr>
                        <w:rFonts w:ascii="Arial"/>
                        <w:b/>
                        <w:spacing w:val="-29"/>
                        <w:w w:val="120"/>
                        <w:sz w:val="13"/>
                      </w:rPr>
                      <w:t> </w:t>
                    </w:r>
                    <w:r>
                      <w:rPr>
                        <w:rFonts w:ascii="Arial"/>
                        <w:b/>
                        <w:w w:val="120"/>
                        <w:sz w:val="13"/>
                      </w:rPr>
                      <w:t>Subcutanat</w:t>
                    </w:r>
                  </w:p>
                </w:txbxContent>
              </v:textbox>
              <w10:wrap type="none"/>
            </v:shape>
            <v:shape style="position:absolute;left:3554;top:1611;width:270;height:176" type="#_x0000_t202" filled="false" stroked="false">
              <v:textbox inset="0,0,0,0">
                <w:txbxContent>
                  <w:p>
                    <w:pPr>
                      <w:spacing w:before="1"/>
                      <w:ind w:left="0" w:right="0" w:firstLine="0"/>
                      <w:jc w:val="left"/>
                      <w:rPr>
                        <w:rFonts w:ascii="Arial"/>
                        <w:sz w:val="15"/>
                      </w:rPr>
                    </w:pPr>
                    <w:r>
                      <w:rPr>
                        <w:rFonts w:ascii="Arial"/>
                        <w:w w:val="120"/>
                        <w:sz w:val="15"/>
                      </w:rPr>
                      <w:t>1.8</w:t>
                    </w:r>
                  </w:p>
                </w:txbxContent>
              </v:textbox>
              <w10:wrap type="none"/>
            </v:shape>
            <v:shape style="position:absolute;left:2783;top:1624;width:305;height:151" type="#_x0000_t202" filled="false" stroked="false">
              <v:textbox inset="0,0,0,0">
                <w:txbxContent>
                  <w:p>
                    <w:pPr>
                      <w:spacing w:line="149" w:lineRule="exact" w:before="0"/>
                      <w:ind w:left="0" w:right="0" w:firstLine="0"/>
                      <w:jc w:val="left"/>
                      <w:rPr>
                        <w:rFonts w:ascii="Arial"/>
                        <w:b/>
                        <w:sz w:val="13"/>
                      </w:rPr>
                    </w:pPr>
                    <w:r>
                      <w:rPr>
                        <w:rFonts w:ascii="Arial"/>
                        <w:b/>
                        <w:w w:val="120"/>
                        <w:sz w:val="13"/>
                      </w:rPr>
                      <w:t>Alte</w:t>
                    </w:r>
                  </w:p>
                </w:txbxContent>
              </v:textbox>
              <w10:wrap type="none"/>
            </v:shape>
            <v:shape style="position:absolute;left:1746;top:455;width:7477;height:865" type="#_x0000_t202" filled="false" stroked="false">
              <v:textbox inset="0,0,0,0">
                <w:txbxContent>
                  <w:p>
                    <w:pPr>
                      <w:spacing w:line="271" w:lineRule="auto" w:before="0"/>
                      <w:ind w:left="3302" w:right="0" w:hanging="2646"/>
                      <w:jc w:val="left"/>
                      <w:rPr>
                        <w:rFonts w:ascii="Arial"/>
                        <w:b/>
                        <w:sz w:val="13"/>
                      </w:rPr>
                    </w:pPr>
                    <w:r>
                      <w:rPr>
                        <w:rFonts w:ascii="Arial"/>
                        <w:b/>
                        <w:w w:val="120"/>
                        <w:sz w:val="13"/>
                      </w:rPr>
                      <w:t>Fig.</w:t>
                    </w:r>
                    <w:r>
                      <w:rPr>
                        <w:rFonts w:ascii="Arial"/>
                        <w:b/>
                        <w:spacing w:val="-8"/>
                        <w:w w:val="120"/>
                        <w:sz w:val="13"/>
                      </w:rPr>
                      <w:t> </w:t>
                    </w:r>
                    <w:r>
                      <w:rPr>
                        <w:rFonts w:ascii="Arial"/>
                        <w:b/>
                        <w:w w:val="120"/>
                        <w:sz w:val="13"/>
                      </w:rPr>
                      <w:t>nr.</w:t>
                    </w:r>
                    <w:r>
                      <w:rPr>
                        <w:rFonts w:ascii="Arial"/>
                        <w:b/>
                        <w:spacing w:val="-8"/>
                        <w:w w:val="120"/>
                        <w:sz w:val="13"/>
                      </w:rPr>
                      <w:t> </w:t>
                    </w:r>
                    <w:r>
                      <w:rPr>
                        <w:rFonts w:ascii="Arial"/>
                        <w:b/>
                        <w:w w:val="120"/>
                        <w:sz w:val="13"/>
                      </w:rPr>
                      <w:t>4</w:t>
                    </w:r>
                    <w:r>
                      <w:rPr>
                        <w:rFonts w:ascii="Arial"/>
                        <w:b/>
                        <w:spacing w:val="-8"/>
                        <w:w w:val="120"/>
                        <w:sz w:val="13"/>
                      </w:rPr>
                      <w:t> </w:t>
                    </w:r>
                    <w:r>
                      <w:rPr>
                        <w:rFonts w:ascii="Arial"/>
                        <w:b/>
                        <w:w w:val="120"/>
                        <w:sz w:val="13"/>
                      </w:rPr>
                      <w:t>-</w:t>
                    </w:r>
                    <w:r>
                      <w:rPr>
                        <w:rFonts w:ascii="Arial"/>
                        <w:b/>
                        <w:spacing w:val="-7"/>
                        <w:w w:val="120"/>
                        <w:sz w:val="13"/>
                      </w:rPr>
                      <w:t> </w:t>
                    </w:r>
                    <w:r>
                      <w:rPr>
                        <w:rFonts w:ascii="Arial"/>
                        <w:b/>
                        <w:w w:val="120"/>
                        <w:sz w:val="13"/>
                      </w:rPr>
                      <w:t>Structura</w:t>
                    </w:r>
                    <w:r>
                      <w:rPr>
                        <w:rFonts w:ascii="Arial"/>
                        <w:b/>
                        <w:spacing w:val="-7"/>
                        <w:w w:val="120"/>
                        <w:sz w:val="13"/>
                      </w:rPr>
                      <w:t> </w:t>
                    </w:r>
                    <w:r>
                      <w:rPr>
                        <w:rFonts w:ascii="Arial"/>
                        <w:b/>
                        <w:w w:val="120"/>
                        <w:sz w:val="13"/>
                      </w:rPr>
                      <w:t>(%)</w:t>
                    </w:r>
                    <w:r>
                      <w:rPr>
                        <w:rFonts w:ascii="Arial"/>
                        <w:b/>
                        <w:spacing w:val="-8"/>
                        <w:w w:val="120"/>
                        <w:sz w:val="13"/>
                      </w:rPr>
                      <w:t> </w:t>
                    </w:r>
                    <w:r>
                      <w:rPr>
                        <w:rFonts w:ascii="Arial"/>
                        <w:b/>
                        <w:w w:val="120"/>
                        <w:sz w:val="13"/>
                      </w:rPr>
                      <w:t>pe</w:t>
                    </w:r>
                    <w:r>
                      <w:rPr>
                        <w:rFonts w:ascii="Arial"/>
                        <w:b/>
                        <w:spacing w:val="-8"/>
                        <w:w w:val="120"/>
                        <w:sz w:val="13"/>
                      </w:rPr>
                      <w:t> </w:t>
                    </w:r>
                    <w:r>
                      <w:rPr>
                        <w:rFonts w:ascii="Arial"/>
                        <w:b/>
                        <w:w w:val="120"/>
                        <w:sz w:val="13"/>
                      </w:rPr>
                      <w:t>situsuri</w:t>
                    </w:r>
                    <w:r>
                      <w:rPr>
                        <w:rFonts w:ascii="Arial"/>
                        <w:b/>
                        <w:spacing w:val="-7"/>
                        <w:w w:val="120"/>
                        <w:sz w:val="13"/>
                      </w:rPr>
                      <w:t> </w:t>
                    </w:r>
                    <w:r>
                      <w:rPr>
                        <w:rFonts w:ascii="Arial"/>
                        <w:b/>
                        <w:w w:val="120"/>
                        <w:sz w:val="13"/>
                      </w:rPr>
                      <w:t>anatomice</w:t>
                    </w:r>
                    <w:r>
                      <w:rPr>
                        <w:rFonts w:ascii="Arial"/>
                        <w:b/>
                        <w:spacing w:val="-8"/>
                        <w:w w:val="120"/>
                        <w:sz w:val="13"/>
                      </w:rPr>
                      <w:t> </w:t>
                    </w:r>
                    <w:r>
                      <w:rPr>
                        <w:rFonts w:ascii="Arial"/>
                        <w:b/>
                        <w:w w:val="120"/>
                        <w:sz w:val="13"/>
                      </w:rPr>
                      <w:t>a</w:t>
                    </w:r>
                    <w:r>
                      <w:rPr>
                        <w:rFonts w:ascii="Arial"/>
                        <w:b/>
                        <w:spacing w:val="-7"/>
                        <w:w w:val="120"/>
                        <w:sz w:val="13"/>
                      </w:rPr>
                      <w:t> </w:t>
                    </w:r>
                    <w:r>
                      <w:rPr>
                        <w:rFonts w:ascii="Arial"/>
                        <w:b/>
                        <w:w w:val="120"/>
                        <w:sz w:val="13"/>
                      </w:rPr>
                      <w:t>cazurilor</w:t>
                    </w:r>
                    <w:r>
                      <w:rPr>
                        <w:rFonts w:ascii="Arial"/>
                        <w:b/>
                        <w:spacing w:val="-8"/>
                        <w:w w:val="120"/>
                        <w:sz w:val="13"/>
                      </w:rPr>
                      <w:t> </w:t>
                    </w:r>
                    <w:r>
                      <w:rPr>
                        <w:rFonts w:ascii="Arial"/>
                        <w:b/>
                        <w:w w:val="120"/>
                        <w:sz w:val="13"/>
                      </w:rPr>
                      <w:t>declarate</w:t>
                    </w:r>
                    <w:r>
                      <w:rPr>
                        <w:rFonts w:ascii="Arial"/>
                        <w:b/>
                        <w:spacing w:val="-7"/>
                        <w:w w:val="120"/>
                        <w:sz w:val="13"/>
                      </w:rPr>
                      <w:t> </w:t>
                    </w:r>
                    <w:r>
                      <w:rPr>
                        <w:rFonts w:ascii="Arial"/>
                        <w:b/>
                        <w:w w:val="120"/>
                        <w:sz w:val="13"/>
                      </w:rPr>
                      <w:t>de</w:t>
                    </w:r>
                    <w:r>
                      <w:rPr>
                        <w:rFonts w:ascii="Arial"/>
                        <w:b/>
                        <w:spacing w:val="-7"/>
                        <w:w w:val="120"/>
                        <w:sz w:val="13"/>
                      </w:rPr>
                      <w:t> </w:t>
                    </w:r>
                    <w:r>
                      <w:rPr>
                        <w:rFonts w:ascii="Arial"/>
                        <w:b/>
                        <w:spacing w:val="-3"/>
                        <w:w w:val="120"/>
                        <w:sz w:val="13"/>
                      </w:rPr>
                      <w:t>IAAM</w:t>
                    </w:r>
                    <w:r>
                      <w:rPr>
                        <w:rFonts w:ascii="Arial"/>
                        <w:b/>
                        <w:spacing w:val="-9"/>
                        <w:w w:val="120"/>
                        <w:sz w:val="13"/>
                      </w:rPr>
                      <w:t> </w:t>
                    </w:r>
                    <w:r>
                      <w:rPr>
                        <w:rFonts w:ascii="Arial"/>
                        <w:b/>
                        <w:w w:val="120"/>
                        <w:sz w:val="13"/>
                      </w:rPr>
                      <w:t>(n</w:t>
                    </w:r>
                    <w:r>
                      <w:rPr>
                        <w:rFonts w:ascii="Arial"/>
                        <w:b/>
                        <w:spacing w:val="-8"/>
                        <w:w w:val="120"/>
                        <w:sz w:val="13"/>
                      </w:rPr>
                      <w:t> </w:t>
                    </w:r>
                    <w:r>
                      <w:rPr>
                        <w:rFonts w:ascii="Arial"/>
                        <w:b/>
                        <w:w w:val="120"/>
                        <w:sz w:val="13"/>
                      </w:rPr>
                      <w:t>=</w:t>
                    </w:r>
                    <w:r>
                      <w:rPr>
                        <w:rFonts w:ascii="Arial"/>
                        <w:b/>
                        <w:spacing w:val="-8"/>
                        <w:w w:val="120"/>
                        <w:sz w:val="13"/>
                      </w:rPr>
                      <w:t> </w:t>
                    </w:r>
                    <w:r>
                      <w:rPr>
                        <w:rFonts w:ascii="Arial"/>
                        <w:b/>
                        <w:w w:val="120"/>
                        <w:sz w:val="13"/>
                      </w:rPr>
                      <w:t>2802)</w:t>
                    </w:r>
                    <w:r>
                      <w:rPr>
                        <w:rFonts w:ascii="Arial"/>
                        <w:b/>
                        <w:spacing w:val="-8"/>
                        <w:w w:val="120"/>
                        <w:sz w:val="13"/>
                      </w:rPr>
                      <w:t> </w:t>
                    </w:r>
                    <w:r>
                      <w:rPr>
                        <w:rFonts w:ascii="Arial"/>
                        <w:b/>
                        <w:w w:val="120"/>
                        <w:sz w:val="13"/>
                      </w:rPr>
                      <w:t>-</w:t>
                    </w:r>
                    <w:r>
                      <w:rPr>
                        <w:rFonts w:ascii="Arial"/>
                        <w:b/>
                        <w:spacing w:val="-8"/>
                        <w:w w:val="120"/>
                        <w:sz w:val="13"/>
                      </w:rPr>
                      <w:t> </w:t>
                    </w:r>
                    <w:r>
                      <w:rPr>
                        <w:rFonts w:ascii="Arial"/>
                        <w:b/>
                        <w:w w:val="120"/>
                        <w:sz w:val="13"/>
                      </w:rPr>
                      <w:t>2017, municipiul</w:t>
                    </w:r>
                    <w:r>
                      <w:rPr>
                        <w:rFonts w:ascii="Arial"/>
                        <w:b/>
                        <w:spacing w:val="-2"/>
                        <w:w w:val="120"/>
                        <w:sz w:val="13"/>
                      </w:rPr>
                      <w:t> </w:t>
                    </w:r>
                    <w:r>
                      <w:rPr>
                        <w:rFonts w:ascii="Arial"/>
                        <w:b/>
                        <w:w w:val="120"/>
                        <w:sz w:val="13"/>
                      </w:rPr>
                      <w:t>Bucuresti</w:t>
                    </w:r>
                  </w:p>
                  <w:p>
                    <w:pPr>
                      <w:spacing w:line="240" w:lineRule="auto" w:before="0"/>
                      <w:rPr>
                        <w:rFonts w:ascii="Arial"/>
                        <w:b/>
                        <w:sz w:val="14"/>
                      </w:rPr>
                    </w:pPr>
                  </w:p>
                  <w:p>
                    <w:pPr>
                      <w:spacing w:line="240" w:lineRule="auto" w:before="7"/>
                      <w:rPr>
                        <w:rFonts w:ascii="Arial"/>
                        <w:b/>
                        <w:sz w:val="16"/>
                      </w:rPr>
                    </w:pPr>
                  </w:p>
                  <w:p>
                    <w:pPr>
                      <w:spacing w:before="0"/>
                      <w:ind w:left="0" w:right="0" w:firstLine="0"/>
                      <w:jc w:val="left"/>
                      <w:rPr>
                        <w:rFonts w:ascii="Arial"/>
                        <w:sz w:val="15"/>
                      </w:rPr>
                    </w:pPr>
                    <w:r>
                      <w:rPr>
                        <w:rFonts w:ascii="Arial"/>
                        <w:b/>
                        <w:w w:val="120"/>
                        <w:position w:val="1"/>
                        <w:sz w:val="13"/>
                      </w:rPr>
                      <w:t>Genitale Feminine </w:t>
                    </w:r>
                    <w:r>
                      <w:rPr>
                        <w:rFonts w:ascii="Arial"/>
                        <w:w w:val="120"/>
                        <w:sz w:val="15"/>
                      </w:rPr>
                      <w:t>0</w:t>
                    </w:r>
                  </w:p>
                </w:txbxContent>
              </v:textbox>
              <w10:wrap type="none"/>
            </v:shape>
            <w10:wrap type="topAndBottom"/>
          </v:group>
        </w:pict>
      </w:r>
      <w:r>
        <w:rPr/>
        <w:pict>
          <v:shape style="position:absolute;margin-left:55.200001pt;margin-top:277.442261pt;width:499.95pt;height:27.6pt;mso-position-horizontal-relative:page;mso-position-vertical-relative:paragraph;z-index:-251505664;mso-wrap-distance-left:0;mso-wrap-distance-right:0" type="#_x0000_t202" filled="true" fillcolor="#cccccc" stroked="false">
            <v:textbox inset="0,0,0,0">
              <w:txbxContent>
                <w:p>
                  <w:pPr>
                    <w:pStyle w:val="BodyText"/>
                    <w:spacing w:line="275" w:lineRule="exact"/>
                    <w:ind w:left="1345" w:right="1346"/>
                    <w:jc w:val="center"/>
                  </w:pPr>
                  <w:r>
                    <w:rPr>
                      <w:u w:val="single"/>
                    </w:rPr>
                    <w:t>Caracteristici cazuri IAAM – analiza pe esantion</w:t>
                  </w:r>
                </w:p>
              </w:txbxContent>
            </v:textbox>
            <v:fill type="solid"/>
            <w10:wrap type="topAndBottom"/>
          </v:shape>
        </w:pict>
      </w:r>
    </w:p>
    <w:p>
      <w:pPr>
        <w:pStyle w:val="BodyText"/>
        <w:spacing w:before="3"/>
        <w:ind w:left="0"/>
        <w:rPr>
          <w:i/>
          <w:sz w:val="19"/>
        </w:rPr>
      </w:pPr>
    </w:p>
    <w:p>
      <w:pPr>
        <w:pStyle w:val="BodyText"/>
        <w:spacing w:line="260" w:lineRule="exact"/>
        <w:ind w:left="233"/>
      </w:pPr>
      <w:r>
        <w:rPr/>
        <w:t>Dupa primirea fiselor cazurilor IAAM si introducerea informatiilor in baza de date Epi Info 7, au</w:t>
      </w:r>
    </w:p>
    <w:p>
      <w:pPr>
        <w:pStyle w:val="BodyText"/>
        <w:ind w:left="233"/>
      </w:pPr>
      <w:r>
        <w:rPr/>
        <w:t>rezultat urmatoarele:</w:t>
      </w:r>
    </w:p>
    <w:p>
      <w:pPr>
        <w:pStyle w:val="ListParagraph"/>
        <w:numPr>
          <w:ilvl w:val="0"/>
          <w:numId w:val="2"/>
        </w:numPr>
        <w:tabs>
          <w:tab w:pos="373" w:val="left" w:leader="none"/>
        </w:tabs>
        <w:spacing w:line="240" w:lineRule="auto" w:before="0" w:after="0"/>
        <w:ind w:left="372" w:right="0" w:hanging="140"/>
        <w:jc w:val="left"/>
        <w:rPr>
          <w:sz w:val="24"/>
        </w:rPr>
      </w:pPr>
      <w:r>
        <w:rPr>
          <w:sz w:val="24"/>
        </w:rPr>
        <w:t>principala etiologie bacteriana raportata la cazurile de IAAM a fost reprezentata de bacilii</w:t>
      </w:r>
      <w:r>
        <w:rPr>
          <w:spacing w:val="-7"/>
          <w:sz w:val="24"/>
        </w:rPr>
        <w:t> </w:t>
      </w:r>
      <w:r>
        <w:rPr>
          <w:sz w:val="24"/>
        </w:rPr>
        <w:t>gram-</w:t>
      </w:r>
    </w:p>
    <w:p>
      <w:pPr>
        <w:pStyle w:val="ListParagraph"/>
        <w:numPr>
          <w:ilvl w:val="0"/>
          <w:numId w:val="2"/>
        </w:numPr>
        <w:tabs>
          <w:tab w:pos="373" w:val="left" w:leader="none"/>
        </w:tabs>
        <w:spacing w:line="240" w:lineRule="auto" w:before="0" w:after="0"/>
        <w:ind w:left="372" w:right="0" w:hanging="140"/>
        <w:jc w:val="left"/>
        <w:rPr>
          <w:sz w:val="24"/>
        </w:rPr>
      </w:pPr>
      <w:r>
        <w:rPr>
          <w:sz w:val="24"/>
        </w:rPr>
        <w:t>principala grupa de varsta afectata (63%) : seniori &gt; 55</w:t>
      </w:r>
      <w:r>
        <w:rPr>
          <w:spacing w:val="-4"/>
          <w:sz w:val="24"/>
        </w:rPr>
        <w:t> </w:t>
      </w:r>
      <w:r>
        <w:rPr>
          <w:sz w:val="24"/>
        </w:rPr>
        <w:t>ani</w:t>
      </w:r>
    </w:p>
    <w:p>
      <w:pPr>
        <w:pStyle w:val="ListParagraph"/>
        <w:numPr>
          <w:ilvl w:val="0"/>
          <w:numId w:val="2"/>
        </w:numPr>
        <w:tabs>
          <w:tab w:pos="373" w:val="left" w:leader="none"/>
        </w:tabs>
        <w:spacing w:line="240" w:lineRule="auto" w:before="0" w:after="0"/>
        <w:ind w:left="372" w:right="0" w:hanging="140"/>
        <w:jc w:val="left"/>
        <w:rPr>
          <w:i/>
          <w:sz w:val="24"/>
        </w:rPr>
      </w:pPr>
      <w:r>
        <w:rPr>
          <w:sz w:val="24"/>
        </w:rPr>
        <w:t>principala localizare anatomica (27% din total IAAM) a fost enterocolita prin </w:t>
      </w:r>
      <w:r>
        <w:rPr>
          <w:i/>
          <w:sz w:val="24"/>
        </w:rPr>
        <w:t>Clostridium</w:t>
      </w:r>
      <w:r>
        <w:rPr>
          <w:i/>
          <w:spacing w:val="-6"/>
          <w:sz w:val="24"/>
        </w:rPr>
        <w:t> </w:t>
      </w:r>
      <w:r>
        <w:rPr>
          <w:i/>
          <w:sz w:val="24"/>
        </w:rPr>
        <w:t>difficile</w:t>
      </w:r>
    </w:p>
    <w:p>
      <w:pPr>
        <w:pStyle w:val="ListParagraph"/>
        <w:numPr>
          <w:ilvl w:val="0"/>
          <w:numId w:val="2"/>
        </w:numPr>
        <w:tabs>
          <w:tab w:pos="373" w:val="left" w:leader="none"/>
        </w:tabs>
        <w:spacing w:line="240" w:lineRule="auto" w:before="0" w:after="0"/>
        <w:ind w:left="233" w:right="1569" w:firstLine="0"/>
        <w:jc w:val="left"/>
        <w:rPr>
          <w:sz w:val="24"/>
        </w:rPr>
      </w:pPr>
      <w:r>
        <w:rPr>
          <w:sz w:val="24"/>
        </w:rPr>
        <w:t>pentru grupa de varsta 0-18 an, principala localizare anatomica (63 % din totalul grupei) a fost gastroenterita iar pneumonia a fost IAAM cel mai frecvent asociata cu decesul</w:t>
      </w:r>
      <w:r>
        <w:rPr>
          <w:spacing w:val="-15"/>
          <w:sz w:val="24"/>
        </w:rPr>
        <w:t> </w:t>
      </w:r>
      <w:r>
        <w:rPr>
          <w:sz w:val="24"/>
        </w:rPr>
        <w:t>intraspitalicesc.</w:t>
      </w:r>
    </w:p>
    <w:p>
      <w:pPr>
        <w:spacing w:after="0" w:line="240" w:lineRule="auto"/>
        <w:jc w:val="left"/>
        <w:rPr>
          <w:sz w:val="24"/>
        </w:rPr>
        <w:sectPr>
          <w:pgSz w:w="11910" w:h="16840"/>
          <w:pgMar w:header="0" w:footer="738" w:top="1460" w:bottom="920" w:left="900" w:right="0"/>
        </w:sectPr>
      </w:pPr>
    </w:p>
    <w:p>
      <w:pPr>
        <w:pStyle w:val="BodyText"/>
        <w:ind w:left="301"/>
        <w:rPr>
          <w:sz w:val="20"/>
        </w:rPr>
      </w:pPr>
      <w:r>
        <w:rPr>
          <w:sz w:val="20"/>
        </w:rPr>
        <w:pict>
          <v:group style="width:424.55pt;height:181.65pt;mso-position-horizontal-relative:char;mso-position-vertical-relative:line" coordorigin="0,0" coordsize="8491,3633">
            <v:rect style="position:absolute;left:7;top:7;width:8476;height:3618" filled="false" stroked="true" strokeweight=".747791pt" strokecolor="#000000">
              <v:stroke dashstyle="solid"/>
            </v:rect>
            <v:rect style="position:absolute;left:1222;top:1448;width:3645;height:1457" filled="false" stroked="true" strokeweight=".747773pt" strokecolor="#808080">
              <v:stroke dashstyle="solid"/>
            </v:rect>
            <v:shape style="position:absolute;left:3225;top:1726;width:1260;height:586" coordorigin="3226,1726" coordsize="1260,586" path="m4485,1726l3226,1906,3226,2312,4485,2131,4485,1726xe" filled="true" fillcolor="#4d4d80" stroked="false">
              <v:path arrowok="t"/>
              <v:fill type="solid"/>
            </v:shape>
            <v:shape style="position:absolute;left:3225;top:1726;width:1260;height:586" coordorigin="3226,1726" coordsize="1260,586" path="m3226,1906l4485,1726,4485,2131,3226,2312,3226,1906xe" filled="false" stroked="true" strokeweight=".747817pt" strokecolor="#000000">
              <v:path arrowok="t"/>
              <v:stroke dashstyle="solid"/>
            </v:shape>
            <v:shape style="position:absolute;left:3225;top:1531;width:1260;height:376" coordorigin="3226,1531" coordsize="1260,376" path="m3555,1531l3226,1531,3226,1906,4485,1711,4455,1711,4410,1681,4381,1681,4335,1666,4305,1651,4245,1636,4215,1621,4155,1621,4110,1606,4050,1591,4020,1591,3945,1576,3900,1576,3840,1561,3796,1561,3720,1546,3600,1546,3555,1531xe" filled="true" fillcolor="#9999ff" stroked="false">
              <v:path arrowok="t"/>
              <v:fill type="solid"/>
            </v:shape>
            <v:shape style="position:absolute;left:3225;top:1531;width:1260;height:376" coordorigin="3226,1531" coordsize="1260,376" path="m3226,1531l3226,1531,3555,1531,3600,1546,3675,1546,3720,1546,3796,1561,3840,1561,3900,1576,3945,1576,4020,1591,4050,1591,4110,1606,4155,1621,4215,1621,4245,1636,4305,1651,4335,1666,4381,1681,4410,1681,4455,1711,4485,1711,3226,1906,3226,1531xe" filled="false" stroked="true" strokeweight=".747712pt" strokecolor="#000000">
              <v:path arrowok="t"/>
              <v:stroke dashstyle="solid"/>
            </v:shape>
            <v:shape style="position:absolute;left:3375;top:1801;width:1351;height:541" coordorigin="3375,1801" coordsize="1351,541" path="m4725,1801l3375,1936,3375,2342,4725,2206,4725,1801xe" filled="true" fillcolor="#4d1a33" stroked="false">
              <v:path arrowok="t"/>
              <v:fill type="solid"/>
            </v:shape>
            <v:shape style="position:absolute;left:3375;top:1801;width:1351;height:541" coordorigin="3375,1801" coordsize="1351,541" path="m3375,1936l4725,1801,4725,2206,3375,2342,3375,1936xe" filled="false" stroked="true" strokeweight=".747774pt" strokecolor="#000000">
              <v:path arrowok="t"/>
              <v:stroke dashstyle="solid"/>
            </v:shape>
            <v:shape style="position:absolute;left:3375;top:1740;width:1351;height:196" coordorigin="3375,1741" coordsize="1351,196" path="m4636,1741l3375,1936,4725,1801,4725,1786,4695,1786,4695,1771,4665,1756,4650,1756,4636,1741xe" filled="true" fillcolor="#993366" stroked="false">
              <v:path arrowok="t"/>
              <v:fill type="solid"/>
            </v:shape>
            <v:shape style="position:absolute;left:3375;top:1740;width:1351;height:196" coordorigin="3375,1741" coordsize="1351,196" path="m4636,1741l4650,1756,4665,1756,4695,1771,4695,1786,4725,1786,4725,1801,3375,1936,4636,1741xe" filled="false" stroked="true" strokeweight=".747646pt" strokecolor="#000000">
              <v:path arrowok="t"/>
              <v:stroke dashstyle="solid"/>
            </v:shape>
            <v:shape style="position:absolute;left:4455;top:2011;width:405;height:646" coordorigin="4455,2011" coordsize="405,646" path="m4860,2011l4845,2027,4845,2042,4830,2056,4830,2071,4800,2086,4800,2101,4770,2116,4755,2131,4725,2147,4695,2162,4680,2177,4636,2192,4605,2206,4560,2221,4530,2221,4485,2236,4455,2251,4455,2657,4485,2642,4530,2627,4560,2627,4605,2612,4636,2597,4680,2582,4695,2567,4755,2537,4770,2522,4800,2507,4800,2492,4830,2477,4830,2462,4845,2447,4845,2432,4860,2417,4860,2011xe" filled="true" fillcolor="#808066" stroked="false">
              <v:path arrowok="t"/>
              <v:fill type="solid"/>
            </v:shape>
            <v:shape style="position:absolute;left:4455;top:1996;width:405;height:661" coordorigin="4455,1996" coordsize="405,661" path="m4860,1996l4860,2011,4845,2027,4845,2042,4830,2056,4830,2071,4800,2086,4800,2101,4770,2116,4755,2131,4725,2147,4695,2162,4680,2177,4636,2192,4605,2206,4560,2221,4530,2221,4485,2236,4455,2251,4455,2657,4485,2642,4530,2627,4560,2627,4605,2612,4636,2597,4680,2582,4695,2567,4725,2552,4755,2537,4770,2522,4800,2507,4800,2492,4830,2477,4830,2462,4845,2447,4845,2432,4860,2417,4860,2402,4860,1996xe" filled="false" stroked="true" strokeweight=".748414pt" strokecolor="#000000">
              <v:path arrowok="t"/>
              <v:stroke dashstyle="solid"/>
            </v:shape>
            <v:shape style="position:absolute;left:3405;top:1996;width:1051;height:661" coordorigin="3405,1996" coordsize="1051,661" path="m3405,1996l3405,2402,4455,2657,4455,2251,3405,1996xe" filled="true" fillcolor="#808066" stroked="false">
              <v:path arrowok="t"/>
              <v:fill type="solid"/>
            </v:shape>
            <v:shape style="position:absolute;left:3405;top:1996;width:1051;height:661" coordorigin="3405,1996" coordsize="1051,661" path="m3405,1996l4455,2251,4455,2657,3405,2402,3405,1996xe" filled="false" stroked="true" strokeweight=".747932pt" strokecolor="#000000">
              <v:path arrowok="t"/>
              <v:stroke dashstyle="solid"/>
            </v:shape>
            <v:shape style="position:absolute;left:3405;top:1861;width:1455;height:391" coordorigin="3405,1861" coordsize="1455,391" path="m4755,1861l3405,1996,4455,2251,4485,2236,4530,2221,4560,2221,4605,2206,4725,2147,4755,2131,4845,2042,4845,2027,4860,2011,4860,1966,4845,1951,4845,1936,4800,1891,4770,1876,4755,1861xe" filled="true" fillcolor="#ffffcc" stroked="false">
              <v:path arrowok="t"/>
              <v:fill type="solid"/>
            </v:shape>
            <v:shape style="position:absolute;left:3405;top:1861;width:1455;height:391" coordorigin="3405,1861" coordsize="1455,391" path="m4755,1861l4770,1876,4800,1891,4815,1906,4830,1921,4845,1936,4845,1951,4860,1966,4860,1981,4860,1996,4860,2011,4845,2027,4845,2042,4755,2131,4725,2147,4695,2162,4665,2177,4636,2192,4605,2206,4560,2221,4530,2221,4485,2236,4455,2251,3405,1996,4755,1861xe" filled="false" stroked="true" strokeweight=".747697pt" strokecolor="#000000">
              <v:path arrowok="t"/>
              <v:stroke dashstyle="solid"/>
            </v:shape>
            <v:shape style="position:absolute;left:1260;top:2041;width:2505;height:751" coordorigin="1260,2042" coordsize="2505,751" path="m2940,2777l2460,2777,2535,2792,2865,2792,2940,2777xm3180,2762l2190,2762,2265,2777,3135,2777,3180,2762xm3330,2747l2071,2747,2145,2762,3255,2762,3330,2747xm1260,2042l1260,2447,1275,2462,1290,2492,1320,2522,1350,2552,1470,2612,1515,2627,1545,2642,1590,2657,1650,2672,1680,2672,1800,2702,1830,2717,1905,2717,1965,2732,2010,2747,3375,2747,3435,2732,3510,2732,3540,2717,3600,2702,3660,2702,3705,2687,3765,2672,3765,2386,2535,2386,2460,2371,2265,2371,2190,2357,2145,2357,2071,2342,2010,2342,1965,2327,1905,2312,1830,2312,1800,2297,1740,2282,1680,2266,1650,2266,1590,2251,1545,2236,1515,2221,1470,2206,1350,2147,1335,2131,1290,2086,1275,2056,1260,2042xm3765,2266l3705,2282,3660,2297,3600,2297,3540,2312,3510,2327,3435,2327,3375,2342,3330,2342,3255,2357,3180,2357,3135,2371,2940,2371,2865,2386,3765,2386,3765,2266xe" filled="true" fillcolor="#668080" stroked="false">
              <v:path arrowok="t"/>
              <v:fill type="solid"/>
            </v:shape>
            <v:shape style="position:absolute;left:1260;top:2011;width:2505;height:782" coordorigin="1260,2011" coordsize="2505,782" path="m3765,2266l3705,2282,3660,2297,3600,2297,3540,2312,3510,2327,3435,2327,3375,2342,3330,2342,3255,2357,3180,2357,3135,2371,3060,2371,2985,2371,2940,2371,2865,2386,2535,2386,2460,2371,2385,2371,2340,2371,2265,2371,2190,2357,2145,2357,2071,2342,2010,2342,1965,2327,1905,2312,1830,2312,1800,2297,1740,2282,1680,2266,1650,2266,1590,2251,1545,2236,1515,2221,1470,2206,1440,2192,1410,2177,1380,2162,1350,2147,1335,2131,1320,2116,1290,2086,1275,2056,1260,2042,1260,2027,1260,2011,1260,2417,1260,2432,1260,2447,1275,2462,1290,2492,1320,2522,1335,2537,1350,2552,1380,2567,1410,2582,1440,2597,1470,2612,1515,2627,1545,2642,1590,2657,1650,2672,1680,2672,1740,2687,1800,2702,1830,2717,1905,2717,1965,2732,2010,2747,2071,2747,2145,2762,2190,2762,2265,2777,2340,2777,2385,2777,2460,2777,2535,2792,2865,2792,2940,2777,2985,2777,3060,2777,3135,2777,3180,2762,3255,2762,3330,2747,3375,2747,3435,2732,3510,2732,3540,2717,3600,2702,3660,2702,3705,2687,3765,2672,3765,2266xe" filled="false" stroked="true" strokeweight=".74772pt" strokecolor="#000000">
              <v:path arrowok="t"/>
              <v:stroke dashstyle="solid"/>
            </v:shape>
            <v:shape style="position:absolute;left:1260;top:1635;width:2505;height:751" coordorigin="1260,1636" coordsize="2505,751" path="m2970,2371l2490,2371,2565,2386,2895,2386,2970,2371xm3211,2357l2235,2357,2310,2371,3135,2371,3211,2357xm3330,2342l2055,2342,2115,2357,3285,2357,3330,2342xm2715,1636l2385,1636,2310,1651,2190,1651,2145,1666,2071,1666,2010,1681,1965,1681,1905,1696,1860,1711,1800,1711,1740,1726,1650,1756,1620,1756,1560,1771,1515,1786,1365,1861,1350,1876,1320,1891,1305,1906,1290,1936,1260,1966,1260,2042,1275,2071,1335,2131,1365,2147,1380,2162,1470,2206,1515,2221,1545,2236,1590,2251,1635,2251,1680,2266,1740,2282,1770,2297,1830,2312,1875,2312,1935,2327,2010,2342,3390,2342,3435,2327,3510,2327,3570,2312,3600,2297,3660,2297,3705,2282,3765,2266,2715,2011,2715,1636xe" filled="true" fillcolor="#ccffff" stroked="false">
              <v:path arrowok="t"/>
              <v:fill type="solid"/>
            </v:shape>
            <v:shape style="position:absolute;left:1260;top:1635;width:2505;height:751" coordorigin="1260,1636" coordsize="2505,751" path="m3765,2266l3705,2282,3660,2297,3600,2297,3570,2312,3510,2327,3435,2327,3390,2342,3330,2342,3285,2357,3211,2357,3135,2371,3090,2371,3015,2371,2970,2371,2895,2386,2820,2386,2760,2386,2685,2386,2641,2386,2565,2386,2490,2371,2430,2371,2355,2371,2310,2371,2235,2357,2160,2357,2115,2357,2055,2342,2010,2342,1935,2327,1875,2312,1830,2312,1770,2297,1740,2282,1680,2266,1635,2251,1590,2251,1545,2236,1515,2221,1470,2206,1440,2192,1410,2177,1380,2162,1365,2147,1335,2131,1320,2116,1305,2101,1290,2086,1275,2071,1260,2042,1260,1966,1275,1951,1290,1936,1305,1906,1320,1891,1350,1876,1365,1861,1395,1846,1425,1831,1455,1816,1485,1801,1515,1786,1560,1771,1620,1756,1650,1756,1695,1741,1740,1726,1800,1711,1860,1711,1905,1696,1965,1681,2010,1681,2071,1666,2145,1666,2190,1651,2265,1651,2310,1651,2385,1636,2460,1636,2505,1636,2580,1636,2641,1636,2715,1636,2715,2011,3765,2266xe" filled="false" stroked="true" strokeweight=".747713pt" strokecolor="#000000">
              <v:path arrowok="t"/>
              <v:stroke dashstyle="solid"/>
            </v:shape>
            <v:rect style="position:absolute;left:6187;top:1628;width:105;height:106" filled="true" fillcolor="#9999ff" stroked="false">
              <v:fill type="solid"/>
            </v:rect>
            <v:rect style="position:absolute;left:6187;top:1628;width:105;height:106" filled="false" stroked="true" strokeweight=".748169pt" strokecolor="#000000">
              <v:stroke dashstyle="solid"/>
            </v:rect>
            <v:rect style="position:absolute;left:6187;top:1943;width:105;height:106" filled="true" fillcolor="#993366" stroked="false">
              <v:fill type="solid"/>
            </v:rect>
            <v:rect style="position:absolute;left:6187;top:1943;width:105;height:106" filled="false" stroked="true" strokeweight=".748169pt" strokecolor="#000000">
              <v:stroke dashstyle="solid"/>
            </v:rect>
            <v:rect style="position:absolute;left:6187;top:2258;width:105;height:106" filled="true" fillcolor="#ffffcc" stroked="false">
              <v:fill type="solid"/>
            </v:rect>
            <v:rect style="position:absolute;left:6187;top:2258;width:105;height:106" filled="false" stroked="true" strokeweight=".748169pt" strokecolor="#000000">
              <v:stroke dashstyle="solid"/>
            </v:rect>
            <v:rect style="position:absolute;left:6187;top:2574;width:105;height:106" filled="true" fillcolor="#ccffff" stroked="false">
              <v:fill type="solid"/>
            </v:rect>
            <v:rect style="position:absolute;left:6187;top:2574;width:105;height:106" filled="false" stroked="true" strokeweight=".748169pt" strokecolor="#000000">
              <v:stroke dashstyle="solid"/>
            </v:rect>
            <v:shape style="position:absolute;left:4897;top:2398;width:450;height:235" type="#_x0000_t202" filled="false" stroked="false">
              <v:textbox inset="0,0,0,0">
                <w:txbxContent>
                  <w:p>
                    <w:pPr>
                      <w:spacing w:line="235" w:lineRule="exact" w:before="0"/>
                      <w:ind w:left="0" w:right="0" w:firstLine="0"/>
                      <w:jc w:val="left"/>
                      <w:rPr>
                        <w:rFonts w:ascii="Arial"/>
                        <w:b/>
                        <w:sz w:val="21"/>
                      </w:rPr>
                    </w:pPr>
                    <w:r>
                      <w:rPr>
                        <w:rFonts w:ascii="Arial"/>
                        <w:b/>
                        <w:sz w:val="21"/>
                      </w:rPr>
                      <w:t>18%</w:t>
                    </w:r>
                  </w:p>
                </w:txbxContent>
              </v:textbox>
              <w10:wrap type="none"/>
            </v:shape>
            <v:shape style="position:absolute;left:892;top:2518;width:450;height:235" type="#_x0000_t202" filled="false" stroked="false">
              <v:textbox inset="0,0,0,0">
                <w:txbxContent>
                  <w:p>
                    <w:pPr>
                      <w:spacing w:line="235" w:lineRule="exact" w:before="0"/>
                      <w:ind w:left="0" w:right="0" w:firstLine="0"/>
                      <w:jc w:val="left"/>
                      <w:rPr>
                        <w:rFonts w:ascii="Arial"/>
                        <w:b/>
                        <w:sz w:val="21"/>
                      </w:rPr>
                    </w:pPr>
                    <w:r>
                      <w:rPr>
                        <w:rFonts w:ascii="Arial"/>
                        <w:b/>
                        <w:sz w:val="21"/>
                      </w:rPr>
                      <w:t>63%</w:t>
                    </w:r>
                  </w:p>
                </w:txbxContent>
              </v:textbox>
              <w10:wrap type="none"/>
            </v:shape>
            <v:shape style="position:absolute;left:4762;top:1558;width:330;height:235" type="#_x0000_t202" filled="false" stroked="false">
              <v:textbox inset="0,0,0,0">
                <w:txbxContent>
                  <w:p>
                    <w:pPr>
                      <w:spacing w:line="235" w:lineRule="exact" w:before="0"/>
                      <w:ind w:left="0" w:right="0" w:firstLine="0"/>
                      <w:jc w:val="left"/>
                      <w:rPr>
                        <w:rFonts w:ascii="Arial"/>
                        <w:b/>
                        <w:sz w:val="21"/>
                      </w:rPr>
                    </w:pPr>
                    <w:r>
                      <w:rPr>
                        <w:rFonts w:ascii="Arial"/>
                        <w:b/>
                        <w:sz w:val="21"/>
                      </w:rPr>
                      <w:t>2%</w:t>
                    </w:r>
                  </w:p>
                </w:txbxContent>
              </v:textbox>
              <w10:wrap type="none"/>
            </v:shape>
            <v:shape style="position:absolute;left:3997;top:1272;width:450;height:235" type="#_x0000_t202" filled="false" stroked="false">
              <v:textbox inset="0,0,0,0">
                <w:txbxContent>
                  <w:p>
                    <w:pPr>
                      <w:spacing w:line="235" w:lineRule="exact" w:before="0"/>
                      <w:ind w:left="0" w:right="0" w:firstLine="0"/>
                      <w:jc w:val="left"/>
                      <w:rPr>
                        <w:rFonts w:ascii="Arial"/>
                        <w:b/>
                        <w:sz w:val="21"/>
                      </w:rPr>
                    </w:pPr>
                    <w:r>
                      <w:rPr>
                        <w:rFonts w:ascii="Arial"/>
                        <w:b/>
                        <w:sz w:val="21"/>
                      </w:rPr>
                      <w:t>17%</w:t>
                    </w:r>
                  </w:p>
                </w:txbxContent>
              </v:textbox>
              <w10:wrap type="none"/>
            </v:shape>
            <v:shape style="position:absolute;left:907;top:219;width:6541;height:441" type="#_x0000_t202" filled="false" stroked="false">
              <v:textbox inset="0,0,0,0">
                <w:txbxContent>
                  <w:p>
                    <w:pPr>
                      <w:spacing w:line="201" w:lineRule="exact" w:before="0"/>
                      <w:ind w:left="-1" w:right="18" w:firstLine="0"/>
                      <w:jc w:val="center"/>
                      <w:rPr>
                        <w:rFonts w:ascii="Arial"/>
                        <w:b/>
                        <w:sz w:val="18"/>
                      </w:rPr>
                    </w:pPr>
                    <w:r>
                      <w:rPr>
                        <w:rFonts w:ascii="Arial"/>
                        <w:b/>
                        <w:sz w:val="18"/>
                      </w:rPr>
                      <w:t>Structura </w:t>
                    </w:r>
                    <w:r>
                      <w:rPr>
                        <w:rFonts w:ascii="Arial"/>
                        <w:b/>
                        <w:spacing w:val="-9"/>
                        <w:sz w:val="18"/>
                      </w:rPr>
                      <w:t>(%) </w:t>
                    </w:r>
                    <w:r>
                      <w:rPr>
                        <w:rFonts w:ascii="Arial"/>
                        <w:b/>
                        <w:spacing w:val="-3"/>
                        <w:sz w:val="18"/>
                      </w:rPr>
                      <w:t>pe grupe de </w:t>
                    </w:r>
                    <w:r>
                      <w:rPr>
                        <w:rFonts w:ascii="Arial"/>
                        <w:b/>
                        <w:sz w:val="18"/>
                      </w:rPr>
                      <w:t>varsta a episoadelor </w:t>
                    </w:r>
                    <w:r>
                      <w:rPr>
                        <w:rFonts w:ascii="Arial"/>
                        <w:b/>
                        <w:spacing w:val="-3"/>
                        <w:sz w:val="18"/>
                      </w:rPr>
                      <w:t>de </w:t>
                    </w:r>
                    <w:r>
                      <w:rPr>
                        <w:rFonts w:ascii="Arial"/>
                        <w:b/>
                        <w:spacing w:val="-7"/>
                        <w:sz w:val="18"/>
                      </w:rPr>
                      <w:t>IAAM </w:t>
                    </w:r>
                    <w:r>
                      <w:rPr>
                        <w:rFonts w:ascii="Arial"/>
                        <w:b/>
                        <w:sz w:val="18"/>
                      </w:rPr>
                      <w:t>raportate </w:t>
                    </w:r>
                    <w:r>
                      <w:rPr>
                        <w:rFonts w:ascii="Arial"/>
                        <w:b/>
                        <w:spacing w:val="-3"/>
                        <w:sz w:val="18"/>
                      </w:rPr>
                      <w:t>de</w:t>
                    </w:r>
                    <w:r>
                      <w:rPr>
                        <w:rFonts w:ascii="Arial"/>
                        <w:b/>
                        <w:spacing w:val="-10"/>
                        <w:sz w:val="18"/>
                      </w:rPr>
                      <w:t> </w:t>
                    </w:r>
                    <w:r>
                      <w:rPr>
                        <w:rFonts w:ascii="Arial"/>
                        <w:b/>
                        <w:sz w:val="18"/>
                      </w:rPr>
                      <w:t>spitalele</w:t>
                    </w:r>
                  </w:p>
                  <w:p>
                    <w:pPr>
                      <w:spacing w:before="32"/>
                      <w:ind w:left="10" w:right="18" w:firstLine="0"/>
                      <w:jc w:val="center"/>
                      <w:rPr>
                        <w:rFonts w:ascii="Arial"/>
                        <w:b/>
                        <w:sz w:val="18"/>
                      </w:rPr>
                    </w:pPr>
                    <w:r>
                      <w:rPr>
                        <w:rFonts w:ascii="Arial"/>
                        <w:b/>
                        <w:sz w:val="18"/>
                      </w:rPr>
                      <w:t>din mun Bucuresti, trim 1, 2017</w:t>
                    </w:r>
                  </w:p>
                </w:txbxContent>
              </v:textbox>
              <w10:wrap type="none"/>
            </v:shape>
            <v:shape style="position:absolute;left:6112;top:1508;width:2281;height:1261" type="#_x0000_t202" filled="false" stroked="true" strokeweight=".747879pt" strokecolor="#000000">
              <v:textbox inset="0,0,0,0">
                <w:txbxContent>
                  <w:p>
                    <w:pPr>
                      <w:spacing w:before="35"/>
                      <w:ind w:left="232" w:right="0" w:firstLine="0"/>
                      <w:jc w:val="left"/>
                      <w:rPr>
                        <w:rFonts w:ascii="Arial"/>
                        <w:b/>
                        <w:sz w:val="21"/>
                      </w:rPr>
                    </w:pPr>
                    <w:r>
                      <w:rPr>
                        <w:rFonts w:ascii="Arial"/>
                        <w:b/>
                        <w:sz w:val="21"/>
                      </w:rPr>
                      <w:t>Prescolar</w:t>
                    </w:r>
                  </w:p>
                  <w:p>
                    <w:pPr>
                      <w:spacing w:line="312" w:lineRule="auto" w:before="74"/>
                      <w:ind w:left="232" w:right="0" w:firstLine="0"/>
                      <w:jc w:val="left"/>
                      <w:rPr>
                        <w:rFonts w:ascii="Arial"/>
                        <w:b/>
                        <w:sz w:val="21"/>
                      </w:rPr>
                    </w:pPr>
                    <w:r>
                      <w:rPr>
                        <w:rFonts w:ascii="Arial"/>
                        <w:b/>
                        <w:sz w:val="21"/>
                      </w:rPr>
                      <w:t>Copil &amp; Adolescent Adult tanar</w:t>
                    </w:r>
                  </w:p>
                  <w:p>
                    <w:pPr>
                      <w:spacing w:before="3"/>
                      <w:ind w:left="232" w:right="0" w:firstLine="0"/>
                      <w:jc w:val="left"/>
                      <w:rPr>
                        <w:rFonts w:ascii="Arial"/>
                        <w:b/>
                        <w:sz w:val="21"/>
                      </w:rPr>
                    </w:pPr>
                    <w:r>
                      <w:rPr>
                        <w:rFonts w:ascii="Arial"/>
                        <w:b/>
                        <w:sz w:val="21"/>
                      </w:rPr>
                      <w:t>Senior</w:t>
                    </w:r>
                  </w:p>
                </w:txbxContent>
              </v:textbox>
              <v:stroke dashstyle="solid"/>
              <w10:wrap type="none"/>
            </v:shape>
          </v:group>
        </w:pict>
      </w:r>
      <w:r>
        <w:rPr>
          <w:sz w:val="20"/>
        </w:rPr>
      </w:r>
    </w:p>
    <w:p>
      <w:pPr>
        <w:pStyle w:val="BodyText"/>
        <w:spacing w:before="3"/>
        <w:ind w:left="0"/>
        <w:rPr>
          <w:sz w:val="18"/>
        </w:rPr>
      </w:pPr>
    </w:p>
    <w:p>
      <w:pPr>
        <w:pStyle w:val="BodyText"/>
        <w:spacing w:before="90"/>
        <w:ind w:left="233" w:right="848"/>
      </w:pPr>
      <w:r>
        <w:rPr/>
        <w:t>Structura pe localizari a episoadelor de infectie asociata asistentei medicale (IAAM) arata ca principala localizare a fost enterocolita prin </w:t>
      </w:r>
      <w:r>
        <w:rPr>
          <w:i/>
        </w:rPr>
        <w:t>Clostridiu difficile </w:t>
      </w:r>
      <w:r>
        <w:rPr/>
        <w:t>(27 %) urmata de pneumonie, conform diagramei de mai jos:</w:t>
      </w:r>
    </w:p>
    <w:p>
      <w:pPr>
        <w:pStyle w:val="BodyText"/>
        <w:spacing w:before="6"/>
        <w:ind w:left="0"/>
        <w:rPr>
          <w:sz w:val="26"/>
        </w:rPr>
      </w:pPr>
      <w:r>
        <w:rPr/>
        <w:pict>
          <v:group style="position:absolute;margin-left:60.189983pt;margin-top:17.268148pt;width:464.8pt;height:239.9pt;mso-position-horizontal-relative:page;mso-position-vertical-relative:paragraph;z-index:-251472896;mso-wrap-distance-left:0;mso-wrap-distance-right:0" coordorigin="1204,345" coordsize="9296,4798">
            <v:rect style="position:absolute;left:1213;top:354;width:9276;height:4779" filled="false" stroked="true" strokeweight=".960019pt" strokecolor="#000000">
              <v:stroke dashstyle="solid"/>
            </v:rect>
            <v:line style="position:absolute" from="4867,1311" to="4867,2406" stroked="true" strokeweight=".959999pt" strokecolor="#000000">
              <v:stroke dashstyle="solid"/>
            </v:line>
            <v:line style="position:absolute" from="4867,2701" to="4867,2761" stroked="true" strokeweight=".959999pt" strokecolor="#000000">
              <v:stroke dashstyle="solid"/>
            </v:line>
            <v:line style="position:absolute" from="4867,3054" to="4867,3114" stroked="true" strokeweight=".959999pt" strokecolor="#000000">
              <v:stroke dashstyle="solid"/>
            </v:line>
            <v:line style="position:absolute" from="4867,3409" to="4867,3469" stroked="true" strokeweight=".959999pt" strokecolor="#000000">
              <v:stroke dashstyle="solid"/>
            </v:line>
            <v:line style="position:absolute" from="4867,3764" to="4867,3824" stroked="true" strokeweight=".959999pt" strokecolor="#000000">
              <v:stroke dashstyle="solid"/>
            </v:line>
            <v:line style="position:absolute" from="4867,4118" to="4867,4178" stroked="true" strokeweight=".959999pt" strokecolor="#000000">
              <v:stroke dashstyle="solid"/>
            </v:line>
            <v:line style="position:absolute" from="4867,4473" to="4867,4502" stroked="true" strokeweight=".959999pt" strokecolor="#000000">
              <v:stroke dashstyle="solid"/>
            </v:line>
            <v:line style="position:absolute" from="5887,1311" to="5887,3114" stroked="true" strokeweight=".959999pt" strokecolor="#000000">
              <v:stroke dashstyle="solid"/>
            </v:line>
            <v:line style="position:absolute" from="5887,3409" to="5887,3469" stroked="true" strokeweight=".959999pt" strokecolor="#000000">
              <v:stroke dashstyle="solid"/>
            </v:line>
            <v:line style="position:absolute" from="5887,3764" to="5887,3824" stroked="true" strokeweight=".959999pt" strokecolor="#000000">
              <v:stroke dashstyle="solid"/>
            </v:line>
            <v:line style="position:absolute" from="5887,4118" to="5887,4178" stroked="true" strokeweight=".959999pt" strokecolor="#000000">
              <v:stroke dashstyle="solid"/>
            </v:line>
            <v:line style="position:absolute" from="5887,4473" to="5887,4502" stroked="true" strokeweight=".959999pt" strokecolor="#000000">
              <v:stroke dashstyle="solid"/>
            </v:line>
            <v:line style="position:absolute" from="6908,1311" to="6908,3469" stroked="true" strokeweight=".959999pt" strokecolor="#000000">
              <v:stroke dashstyle="solid"/>
            </v:line>
            <v:line style="position:absolute" from="6908,3764" to="6908,3824" stroked="true" strokeweight=".959999pt" strokecolor="#000000">
              <v:stroke dashstyle="solid"/>
            </v:line>
            <v:line style="position:absolute" from="6908,4118" to="6908,4178" stroked="true" strokeweight=".959999pt" strokecolor="#000000">
              <v:stroke dashstyle="solid"/>
            </v:line>
            <v:line style="position:absolute" from="6908,4473" to="6908,4502" stroked="true" strokeweight=".959999pt" strokecolor="#000000">
              <v:stroke dashstyle="solid"/>
            </v:line>
            <v:line style="position:absolute" from="7925,1311" to="7925,3824" stroked="true" strokeweight=".959999pt" strokecolor="#000000">
              <v:stroke dashstyle="solid"/>
            </v:line>
            <v:line style="position:absolute" from="7925,4118" to="7925,4178" stroked="true" strokeweight=".959999pt" strokecolor="#000000">
              <v:stroke dashstyle="solid"/>
            </v:line>
            <v:line style="position:absolute" from="7925,4473" to="7925,4502" stroked="true" strokeweight=".959999pt" strokecolor="#000000">
              <v:stroke dashstyle="solid"/>
            </v:line>
            <v:line style="position:absolute" from="8946,1311" to="8946,4178" stroked="true" strokeweight=".959999pt" strokecolor="#000000">
              <v:stroke dashstyle="solid"/>
            </v:line>
            <v:line style="position:absolute" from="8946,4473" to="8946,4502" stroked="true" strokeweight=".959999pt" strokecolor="#000000">
              <v:stroke dashstyle="solid"/>
            </v:line>
            <v:line style="position:absolute" from="9966,1311" to="9966,4502" stroked="true" strokeweight=".959999pt" strokecolor="#000000">
              <v:stroke dashstyle="solid"/>
            </v:line>
            <v:rect style="position:absolute;left:3846;top:1310;width:6120;height:3192" filled="false" stroked="true" strokeweight=".960019pt" strokecolor="#808080">
              <v:stroke dashstyle="solid"/>
            </v:rect>
            <v:rect style="position:absolute;left:3846;top:4177;width:5767;height:296" filled="true" fillcolor="#ffcc99" stroked="false">
              <v:fill type="solid"/>
            </v:rect>
            <v:rect style="position:absolute;left:3846;top:4177;width:5767;height:296" filled="false" stroked="true" strokeweight=".960024pt" strokecolor="#000000">
              <v:stroke dashstyle="solid"/>
            </v:rect>
            <v:rect style="position:absolute;left:3846;top:3824;width:4367;height:294" filled="true" fillcolor="#ffcc99" stroked="false">
              <v:fill type="solid"/>
            </v:rect>
            <v:rect style="position:absolute;left:3846;top:3824;width:4367;height:294" filled="false" stroked="true" strokeweight=".960024pt" strokecolor="#000000">
              <v:stroke dashstyle="solid"/>
            </v:rect>
            <v:rect style="position:absolute;left:3846;top:3469;width:3582;height:296" filled="true" fillcolor="#ffcc99" stroked="false">
              <v:fill type="solid"/>
            </v:rect>
            <v:rect style="position:absolute;left:3846;top:3469;width:3582;height:296" filled="false" stroked="true" strokeweight=".960024pt" strokecolor="#000000">
              <v:stroke dashstyle="solid"/>
            </v:rect>
            <v:rect style="position:absolute;left:3846;top:3114;width:2447;height:296" filled="true" fillcolor="#ffcc99" stroked="false">
              <v:fill type="solid"/>
            </v:rect>
            <v:rect style="position:absolute;left:3846;top:3114;width:2447;height:296" filled="false" stroked="true" strokeweight=".960024pt" strokecolor="#000000">
              <v:stroke dashstyle="solid"/>
            </v:rect>
            <v:rect style="position:absolute;left:3846;top:2760;width:1573;height:294" filled="true" fillcolor="#ffcc99" stroked="false">
              <v:fill type="solid"/>
            </v:rect>
            <v:rect style="position:absolute;left:3846;top:2760;width:1573;height:294" filled="false" stroked="true" strokeweight=".960023pt" strokecolor="#000000">
              <v:stroke dashstyle="solid"/>
            </v:rect>
            <v:rect style="position:absolute;left:3846;top:2405;width:1398;height:296" filled="true" fillcolor="#ffcc99" stroked="false">
              <v:fill type="solid"/>
            </v:rect>
            <v:rect style="position:absolute;left:3846;top:2405;width:1398;height:296" filled="false" stroked="true" strokeweight=".960023pt" strokecolor="#000000">
              <v:stroke dashstyle="solid"/>
            </v:rect>
            <v:rect style="position:absolute;left:3846;top:2050;width:613;height:296" filled="true" fillcolor="#ffcc99" stroked="false">
              <v:fill type="solid"/>
            </v:rect>
            <v:rect style="position:absolute;left:3846;top:2050;width:613;height:296" filled="false" stroked="true" strokeweight=".960019pt" strokecolor="#000000">
              <v:stroke dashstyle="solid"/>
            </v:rect>
            <v:rect style="position:absolute;left:3846;top:1697;width:348;height:294" filled="true" fillcolor="#ffcc99" stroked="false">
              <v:fill type="solid"/>
            </v:rect>
            <v:rect style="position:absolute;left:3846;top:1697;width:348;height:294" filled="false" stroked="true" strokeweight=".960013pt" strokecolor="#000000">
              <v:stroke dashstyle="solid"/>
            </v:rect>
            <v:rect style="position:absolute;left:3846;top:1341;width:204;height:296" filled="true" fillcolor="#ffcc99" stroked="false">
              <v:fill type="solid"/>
            </v:rect>
            <v:rect style="position:absolute;left:3846;top:1341;width:204;height:296" filled="false" stroked="true" strokeweight=".960007pt" strokecolor="#000000">
              <v:stroke dashstyle="solid"/>
            </v:rect>
            <v:line style="position:absolute" from="3847,4502" to="9966,4502" stroked="true" strokeweight=".960024pt" strokecolor="#000000">
              <v:stroke dashstyle="solid"/>
            </v:line>
            <v:line style="position:absolute" from="3847,4564" to="3847,4502" stroked="true" strokeweight=".959999pt" strokecolor="#000000">
              <v:stroke dashstyle="solid"/>
            </v:line>
            <v:line style="position:absolute" from="4867,4564" to="4867,4502" stroked="true" strokeweight=".959999pt" strokecolor="#000000">
              <v:stroke dashstyle="solid"/>
            </v:line>
            <v:line style="position:absolute" from="5887,4564" to="5887,4502" stroked="true" strokeweight=".959999pt" strokecolor="#000000">
              <v:stroke dashstyle="solid"/>
            </v:line>
            <v:line style="position:absolute" from="6908,4564" to="6908,4502" stroked="true" strokeweight=".959999pt" strokecolor="#000000">
              <v:stroke dashstyle="solid"/>
            </v:line>
            <v:line style="position:absolute" from="7925,4564" to="7925,4502" stroked="true" strokeweight=".959999pt" strokecolor="#000000">
              <v:stroke dashstyle="solid"/>
            </v:line>
            <v:line style="position:absolute" from="8946,4564" to="8946,4502" stroked="true" strokeweight=".959999pt" strokecolor="#000000">
              <v:stroke dashstyle="solid"/>
            </v:line>
            <v:line style="position:absolute" from="9966,4564" to="9966,4502" stroked="true" strokeweight=".959999pt" strokecolor="#000000">
              <v:stroke dashstyle="solid"/>
            </v:line>
            <v:line style="position:absolute" from="3847,1311" to="3847,4502" stroked="true" strokeweight=".959999pt" strokecolor="#000000">
              <v:stroke dashstyle="solid"/>
            </v:line>
            <v:line style="position:absolute" from="3784,4502" to="3847,4502" stroked="true" strokeweight=".960024pt" strokecolor="#000000">
              <v:stroke dashstyle="solid"/>
            </v:line>
            <v:line style="position:absolute" from="3784,4147" to="3847,4147" stroked="true" strokeweight=".960024pt" strokecolor="#000000">
              <v:stroke dashstyle="solid"/>
            </v:line>
            <v:line style="position:absolute" from="3784,3793" to="3847,3793" stroked="true" strokeweight=".960024pt" strokecolor="#000000">
              <v:stroke dashstyle="solid"/>
            </v:line>
            <v:line style="position:absolute" from="3784,3438" to="3847,3438" stroked="true" strokeweight=".960024pt" strokecolor="#000000">
              <v:stroke dashstyle="solid"/>
            </v:line>
            <v:line style="position:absolute" from="3784,3083" to="3847,3083" stroked="true" strokeweight=".960024pt" strokecolor="#000000">
              <v:stroke dashstyle="solid"/>
            </v:line>
            <v:line style="position:absolute" from="3784,2730" to="3847,2730" stroked="true" strokeweight=".960024pt" strokecolor="#000000">
              <v:stroke dashstyle="solid"/>
            </v:line>
            <v:line style="position:absolute" from="3784,2374" to="3847,2374" stroked="true" strokeweight=".960024pt" strokecolor="#000000">
              <v:stroke dashstyle="solid"/>
            </v:line>
            <v:line style="position:absolute" from="3784,2019" to="3847,2019" stroked="true" strokeweight=".960024pt" strokecolor="#000000">
              <v:stroke dashstyle="solid"/>
            </v:line>
            <v:line style="position:absolute" from="3784,1666" to="3847,1666" stroked="true" strokeweight=".960024pt" strokecolor="#000000">
              <v:stroke dashstyle="solid"/>
            </v:line>
            <v:line style="position:absolute" from="3784,1311" to="3847,1311" stroked="true" strokeweight=".960024pt" strokecolor="#000000">
              <v:stroke dashstyle="solid"/>
            </v:line>
            <v:shape style="position:absolute;left:5551;top:4683;width:4772;height:223" type="#_x0000_t202" filled="false" stroked="false">
              <v:textbox inset="0,0,0,0">
                <w:txbxContent>
                  <w:p>
                    <w:pPr>
                      <w:tabs>
                        <w:tab w:pos="1020" w:val="left" w:leader="none"/>
                        <w:tab w:pos="2037" w:val="left" w:leader="none"/>
                        <w:tab w:pos="3058" w:val="left" w:leader="none"/>
                        <w:tab w:pos="4078" w:val="left" w:leader="none"/>
                      </w:tabs>
                      <w:spacing w:line="223" w:lineRule="exact" w:before="0"/>
                      <w:ind w:left="0" w:right="0" w:firstLine="0"/>
                      <w:jc w:val="left"/>
                      <w:rPr>
                        <w:rFonts w:ascii="Arial"/>
                        <w:b/>
                        <w:sz w:val="20"/>
                      </w:rPr>
                    </w:pPr>
                    <w:r>
                      <w:rPr>
                        <w:rFonts w:ascii="Arial"/>
                        <w:b/>
                        <w:sz w:val="20"/>
                      </w:rPr>
                      <w:t>10.00%</w:t>
                      <w:tab/>
                      <w:t>15.00%</w:t>
                      <w:tab/>
                      <w:t>20.00%</w:t>
                      <w:tab/>
                      <w:t>25.00%</w:t>
                      <w:tab/>
                      <w:t>30.00%</w:t>
                    </w:r>
                  </w:p>
                </w:txbxContent>
              </v:textbox>
              <w10:wrap type="none"/>
            </v:shape>
            <v:shape style="position:absolute;left:4586;top:4683;width:583;height:223" type="#_x0000_t202" filled="false" stroked="false">
              <v:textbox inset="0,0,0,0">
                <w:txbxContent>
                  <w:p>
                    <w:pPr>
                      <w:spacing w:line="223" w:lineRule="exact" w:before="0"/>
                      <w:ind w:left="0" w:right="0" w:firstLine="0"/>
                      <w:jc w:val="left"/>
                      <w:rPr>
                        <w:rFonts w:ascii="Arial"/>
                        <w:b/>
                        <w:sz w:val="20"/>
                      </w:rPr>
                    </w:pPr>
                    <w:r>
                      <w:rPr>
                        <w:rFonts w:ascii="Arial"/>
                        <w:b/>
                        <w:sz w:val="20"/>
                      </w:rPr>
                      <w:t>5.00%</w:t>
                    </w:r>
                  </w:p>
                </w:txbxContent>
              </v:textbox>
              <w10:wrap type="none"/>
            </v:shape>
            <v:shape style="position:absolute;left:3565;top:4683;width:583;height:223" type="#_x0000_t202" filled="false" stroked="false">
              <v:textbox inset="0,0,0,0">
                <w:txbxContent>
                  <w:p>
                    <w:pPr>
                      <w:spacing w:line="223" w:lineRule="exact" w:before="0"/>
                      <w:ind w:left="0" w:right="0" w:firstLine="0"/>
                      <w:jc w:val="left"/>
                      <w:rPr>
                        <w:rFonts w:ascii="Arial"/>
                        <w:b/>
                        <w:sz w:val="20"/>
                      </w:rPr>
                    </w:pPr>
                    <w:r>
                      <w:rPr>
                        <w:rFonts w:ascii="Arial"/>
                        <w:b/>
                        <w:sz w:val="20"/>
                      </w:rPr>
                      <w:t>0.00%</w:t>
                    </w:r>
                  </w:p>
                </w:txbxContent>
              </v:textbox>
              <w10:wrap type="none"/>
            </v:shape>
            <v:shape style="position:absolute;left:1400;top:508;width:7737;height:3923" type="#_x0000_t202" filled="false" stroked="false">
              <v:textbox inset="0,0,0,0">
                <w:txbxContent>
                  <w:p>
                    <w:pPr>
                      <w:spacing w:line="268" w:lineRule="auto" w:before="0"/>
                      <w:ind w:left="1234" w:right="14" w:hanging="56"/>
                      <w:jc w:val="left"/>
                      <w:rPr>
                        <w:rFonts w:ascii="Arial"/>
                        <w:b/>
                        <w:sz w:val="20"/>
                      </w:rPr>
                    </w:pPr>
                    <w:r>
                      <w:rPr>
                        <w:rFonts w:ascii="Arial"/>
                        <w:b/>
                        <w:sz w:val="20"/>
                      </w:rPr>
                      <w:t>Fig. nr. 2 - Structura (%) pe situsuri anatomice a episoadelor de</w:t>
                    </w:r>
                    <w:r>
                      <w:rPr>
                        <w:rFonts w:ascii="Arial"/>
                        <w:b/>
                        <w:spacing w:val="-38"/>
                        <w:sz w:val="20"/>
                      </w:rPr>
                      <w:t> </w:t>
                    </w:r>
                    <w:r>
                      <w:rPr>
                        <w:rFonts w:ascii="Arial"/>
                        <w:b/>
                        <w:spacing w:val="-4"/>
                        <w:sz w:val="20"/>
                      </w:rPr>
                      <w:t>IAAM </w:t>
                    </w:r>
                    <w:r>
                      <w:rPr>
                        <w:rFonts w:ascii="Arial"/>
                        <w:b/>
                        <w:sz w:val="20"/>
                      </w:rPr>
                      <w:t>raportate de spitalele din mun Bucuresti, trim 1 2017 (toate</w:t>
                    </w:r>
                    <w:r>
                      <w:rPr>
                        <w:rFonts w:ascii="Arial"/>
                        <w:b/>
                        <w:spacing w:val="-37"/>
                        <w:sz w:val="20"/>
                      </w:rPr>
                      <w:t> </w:t>
                    </w:r>
                    <w:r>
                      <w:rPr>
                        <w:rFonts w:ascii="Arial"/>
                        <w:b/>
                        <w:sz w:val="20"/>
                      </w:rPr>
                      <w:t>varstele)</w:t>
                    </w:r>
                  </w:p>
                  <w:p>
                    <w:pPr>
                      <w:spacing w:line="240" w:lineRule="auto" w:before="8"/>
                      <w:rPr>
                        <w:rFonts w:ascii="Arial"/>
                        <w:b/>
                        <w:sz w:val="29"/>
                      </w:rPr>
                    </w:pPr>
                  </w:p>
                  <w:p>
                    <w:pPr>
                      <w:spacing w:line="369" w:lineRule="auto" w:before="0"/>
                      <w:ind w:left="211" w:right="5441" w:firstLine="936"/>
                      <w:jc w:val="right"/>
                      <w:rPr>
                        <w:rFonts w:ascii="Arial"/>
                        <w:b/>
                        <w:sz w:val="20"/>
                      </w:rPr>
                    </w:pPr>
                    <w:r>
                      <w:rPr>
                        <w:rFonts w:ascii="Arial"/>
                        <w:b/>
                        <w:sz w:val="20"/>
                      </w:rPr>
                      <w:t>Alte</w:t>
                    </w:r>
                    <w:r>
                      <w:rPr>
                        <w:rFonts w:ascii="Arial"/>
                        <w:b/>
                        <w:spacing w:val="-4"/>
                        <w:sz w:val="20"/>
                      </w:rPr>
                      <w:t> </w:t>
                    </w:r>
                    <w:r>
                      <w:rPr>
                        <w:rFonts w:ascii="Arial"/>
                        <w:b/>
                        <w:spacing w:val="-3"/>
                        <w:sz w:val="20"/>
                      </w:rPr>
                      <w:t>situsuri</w:t>
                    </w:r>
                    <w:r>
                      <w:rPr>
                        <w:rFonts w:ascii="Arial"/>
                        <w:b/>
                        <w:w w:val="99"/>
                        <w:sz w:val="20"/>
                      </w:rPr>
                      <w:t> </w:t>
                    </w:r>
                    <w:r>
                      <w:rPr>
                        <w:rFonts w:ascii="Arial"/>
                        <w:b/>
                        <w:sz w:val="20"/>
                      </w:rPr>
                      <w:t>IACRI</w:t>
                    </w:r>
                    <w:r>
                      <w:rPr>
                        <w:rFonts w:ascii="Arial"/>
                        <w:b/>
                        <w:spacing w:val="-16"/>
                        <w:sz w:val="20"/>
                      </w:rPr>
                      <w:t> </w:t>
                    </w:r>
                    <w:r>
                      <w:rPr>
                        <w:rFonts w:ascii="Arial"/>
                        <w:b/>
                        <w:sz w:val="20"/>
                      </w:rPr>
                      <w:t>non-pneumo</w:t>
                    </w:r>
                    <w:r>
                      <w:rPr>
                        <w:rFonts w:ascii="Arial"/>
                        <w:b/>
                        <w:w w:val="99"/>
                        <w:sz w:val="20"/>
                      </w:rPr>
                      <w:t> </w:t>
                    </w:r>
                    <w:r>
                      <w:rPr>
                        <w:rFonts w:ascii="Arial"/>
                        <w:b/>
                        <w:sz w:val="20"/>
                      </w:rPr>
                      <w:t>Infectie asociata</w:t>
                    </w:r>
                    <w:r>
                      <w:rPr>
                        <w:rFonts w:ascii="Arial"/>
                        <w:b/>
                        <w:spacing w:val="-14"/>
                        <w:sz w:val="20"/>
                      </w:rPr>
                      <w:t> </w:t>
                    </w:r>
                    <w:r>
                      <w:rPr>
                        <w:rFonts w:ascii="Arial"/>
                        <w:b/>
                        <w:sz w:val="20"/>
                      </w:rPr>
                      <w:t>CVC</w:t>
                    </w:r>
                  </w:p>
                  <w:p>
                    <w:pPr>
                      <w:spacing w:line="369" w:lineRule="auto" w:before="2"/>
                      <w:ind w:left="0" w:right="5441" w:firstLine="1241"/>
                      <w:jc w:val="right"/>
                      <w:rPr>
                        <w:rFonts w:ascii="Arial"/>
                        <w:b/>
                        <w:sz w:val="20"/>
                      </w:rPr>
                    </w:pPr>
                    <w:r>
                      <w:rPr>
                        <w:rFonts w:ascii="Arial"/>
                        <w:b/>
                        <w:spacing w:val="-1"/>
                        <w:sz w:val="20"/>
                      </w:rPr>
                      <w:t>Septicemie </w:t>
                    </w:r>
                    <w:r>
                      <w:rPr>
                        <w:rFonts w:ascii="Arial"/>
                        <w:b/>
                        <w:sz w:val="20"/>
                      </w:rPr>
                      <w:t>Infectie situs</w:t>
                    </w:r>
                    <w:r>
                      <w:rPr>
                        <w:rFonts w:ascii="Arial"/>
                        <w:b/>
                        <w:spacing w:val="-26"/>
                        <w:sz w:val="20"/>
                      </w:rPr>
                      <w:t> </w:t>
                    </w:r>
                    <w:r>
                      <w:rPr>
                        <w:rFonts w:ascii="Arial"/>
                        <w:b/>
                        <w:sz w:val="20"/>
                      </w:rPr>
                      <w:t>chirurgical</w:t>
                    </w:r>
                  </w:p>
                  <w:p>
                    <w:pPr>
                      <w:spacing w:line="369" w:lineRule="auto" w:before="0"/>
                      <w:ind w:left="487" w:right="5442" w:firstLine="442"/>
                      <w:jc w:val="right"/>
                      <w:rPr>
                        <w:rFonts w:ascii="Arial"/>
                        <w:b/>
                        <w:sz w:val="20"/>
                      </w:rPr>
                    </w:pPr>
                    <w:r>
                      <w:rPr>
                        <w:rFonts w:ascii="Arial"/>
                        <w:b/>
                        <w:spacing w:val="-1"/>
                        <w:sz w:val="20"/>
                      </w:rPr>
                      <w:t>Gastroenterita </w:t>
                    </w:r>
                    <w:r>
                      <w:rPr>
                        <w:rFonts w:ascii="Arial"/>
                        <w:b/>
                        <w:sz w:val="20"/>
                      </w:rPr>
                      <w:t>Infectie tract</w:t>
                    </w:r>
                    <w:r>
                      <w:rPr>
                        <w:rFonts w:ascii="Arial"/>
                        <w:b/>
                        <w:spacing w:val="-7"/>
                        <w:sz w:val="20"/>
                      </w:rPr>
                      <w:t> </w:t>
                    </w:r>
                    <w:r>
                      <w:rPr>
                        <w:rFonts w:ascii="Arial"/>
                        <w:b/>
                        <w:spacing w:val="-3"/>
                        <w:sz w:val="20"/>
                      </w:rPr>
                      <w:t>urinar</w:t>
                    </w:r>
                  </w:p>
                  <w:p>
                    <w:pPr>
                      <w:spacing w:before="0"/>
                      <w:ind w:left="0" w:right="5442" w:firstLine="0"/>
                      <w:jc w:val="right"/>
                      <w:rPr>
                        <w:rFonts w:ascii="Arial"/>
                        <w:b/>
                        <w:sz w:val="20"/>
                      </w:rPr>
                    </w:pPr>
                    <w:r>
                      <w:rPr>
                        <w:rFonts w:ascii="Arial"/>
                        <w:b/>
                        <w:spacing w:val="-1"/>
                        <w:sz w:val="20"/>
                      </w:rPr>
                      <w:t>Pneumonie</w:t>
                    </w:r>
                  </w:p>
                  <w:p>
                    <w:pPr>
                      <w:spacing w:before="125"/>
                      <w:ind w:left="0" w:right="5444" w:firstLine="0"/>
                      <w:jc w:val="right"/>
                      <w:rPr>
                        <w:rFonts w:ascii="Arial"/>
                        <w:b/>
                        <w:sz w:val="20"/>
                      </w:rPr>
                    </w:pPr>
                    <w:r>
                      <w:rPr>
                        <w:rFonts w:ascii="Arial"/>
                        <w:b/>
                        <w:sz w:val="20"/>
                      </w:rPr>
                      <w:t>Enterocolita</w:t>
                    </w:r>
                    <w:r>
                      <w:rPr>
                        <w:rFonts w:ascii="Arial"/>
                        <w:b/>
                        <w:spacing w:val="-10"/>
                        <w:sz w:val="20"/>
                      </w:rPr>
                      <w:t> </w:t>
                    </w:r>
                    <w:r>
                      <w:rPr>
                        <w:rFonts w:ascii="Arial"/>
                        <w:b/>
                        <w:sz w:val="20"/>
                      </w:rPr>
                      <w:t>CloDif</w:t>
                    </w:r>
                  </w:p>
                </w:txbxContent>
              </v:textbox>
              <w10:wrap type="none"/>
            </v:shape>
            <w10:wrap type="topAndBottom"/>
          </v:group>
        </w:pict>
      </w:r>
    </w:p>
    <w:p>
      <w:pPr>
        <w:pStyle w:val="BodyText"/>
        <w:spacing w:before="39"/>
        <w:ind w:left="233"/>
      </w:pPr>
      <w:r>
        <w:rPr/>
        <w:t>La copii principala localizare a IAAM a fost gastroenteita virala.</w:t>
      </w:r>
    </w:p>
    <w:p>
      <w:pPr>
        <w:pStyle w:val="BodyText"/>
        <w:ind w:left="233"/>
      </w:pPr>
      <w:r>
        <w:rPr/>
        <w:t>La adulti (&gt; 18 ani) principala localizare a IAAM a fost enterocolita prin Clostridium difficile.</w:t>
      </w:r>
    </w:p>
    <w:p>
      <w:pPr>
        <w:pStyle w:val="BodyText"/>
        <w:ind w:left="0"/>
        <w:rPr>
          <w:sz w:val="22"/>
        </w:rPr>
      </w:pPr>
      <w:r>
        <w:rPr/>
        <w:pict>
          <v:shape style="position:absolute;margin-left:55.200001pt;margin-top:13.881042pt;width:499.95pt;height:27.6pt;mso-position-horizontal-relative:page;mso-position-vertical-relative:paragraph;z-index:-251471872;mso-wrap-distance-left:0;mso-wrap-distance-right:0" type="#_x0000_t202" filled="true" fillcolor="#cccccc" stroked="false">
            <v:textbox inset="0,0,0,0">
              <w:txbxContent>
                <w:p>
                  <w:pPr>
                    <w:spacing w:line="275" w:lineRule="exact" w:before="0"/>
                    <w:ind w:left="1346" w:right="1346" w:firstLine="0"/>
                    <w:jc w:val="center"/>
                    <w:rPr>
                      <w:b/>
                      <w:sz w:val="24"/>
                    </w:rPr>
                  </w:pPr>
                  <w:r>
                    <w:rPr>
                      <w:b/>
                      <w:sz w:val="24"/>
                      <w:u w:val="thick"/>
                    </w:rPr>
                    <w:t>Boala diareica acuta – morbiditate si etiologie – vara 2017</w:t>
                  </w:r>
                </w:p>
              </w:txbxContent>
            </v:textbox>
            <v:fill type="solid"/>
            <w10:wrap type="topAndBottom"/>
          </v:shape>
        </w:pict>
      </w:r>
    </w:p>
    <w:p>
      <w:pPr>
        <w:pStyle w:val="BodyText"/>
        <w:spacing w:line="260" w:lineRule="exact"/>
        <w:ind w:left="233"/>
      </w:pPr>
      <w:r>
        <w:rPr/>
        <w:t>Compartimentul Supraveghere boli transmisibile a fost implicat in supravegherea BDA (morbiditatea</w:t>
      </w:r>
    </w:p>
    <w:p>
      <w:pPr>
        <w:pStyle w:val="BodyText"/>
        <w:ind w:left="233" w:right="1006"/>
      </w:pPr>
      <w:r>
        <w:rPr/>
        <w:t>sapatamanala si etiologia) in 6 unitati sanitare cu paturi din Bucuresti: doua spitale de boli infectioase si patru spitale de pediatrie</w:t>
      </w:r>
    </w:p>
    <w:p>
      <w:pPr>
        <w:pStyle w:val="BodyText"/>
        <w:ind w:left="233"/>
      </w:pPr>
      <w:r>
        <w:rPr/>
        <w:t>Mai jos este prezentata grafic distributia etiologiilor specifice pe grupe de varste.</w:t>
      </w:r>
    </w:p>
    <w:p>
      <w:pPr>
        <w:spacing w:before="0"/>
        <w:ind w:left="233" w:right="899" w:firstLine="0"/>
        <w:jc w:val="left"/>
        <w:rPr>
          <w:sz w:val="24"/>
        </w:rPr>
      </w:pPr>
      <w:r>
        <w:rPr>
          <w:sz w:val="24"/>
        </w:rPr>
        <w:t>Principala etiologie a sindromului BDA la adulti a fost reprezentata de </w:t>
      </w:r>
      <w:r>
        <w:rPr>
          <w:i/>
          <w:sz w:val="24"/>
        </w:rPr>
        <w:t>Clostridium difficile </w:t>
      </w:r>
      <w:r>
        <w:rPr>
          <w:sz w:val="24"/>
        </w:rPr>
        <w:t>iar la copil de </w:t>
      </w:r>
      <w:r>
        <w:rPr>
          <w:i/>
          <w:sz w:val="24"/>
        </w:rPr>
        <w:t>rotavirusuri</w:t>
      </w:r>
      <w:r>
        <w:rPr>
          <w:sz w:val="24"/>
        </w:rPr>
        <w:t>.</w:t>
      </w:r>
    </w:p>
    <w:p>
      <w:pPr>
        <w:spacing w:after="0"/>
        <w:jc w:val="left"/>
        <w:rPr>
          <w:sz w:val="24"/>
        </w:rPr>
        <w:sectPr>
          <w:footerReference w:type="default" r:id="rId16"/>
          <w:pgSz w:w="11910" w:h="16840"/>
          <w:pgMar w:footer="738" w:header="0" w:top="1500" w:bottom="920" w:left="900" w:right="0"/>
          <w:pgNumType w:start="8"/>
        </w:sectPr>
      </w:pPr>
    </w:p>
    <w:p>
      <w:pPr>
        <w:pStyle w:val="BodyText"/>
        <w:ind w:left="0"/>
        <w:rPr>
          <w:sz w:val="20"/>
        </w:rPr>
      </w:pPr>
      <w:r>
        <w:rPr/>
        <w:pict>
          <v:group style="position:absolute;margin-left:59.003063pt;margin-top:74.354088pt;width:427.35pt;height:260.9pt;mso-position-horizontal-relative:page;mso-position-vertical-relative:page;z-index:251855872" coordorigin="1180,1487" coordsize="8547,5218">
            <v:rect style="position:absolute;left:1180;top:1487;width:8545;height:5216" filled="false" stroked="true" strokeweight=".08252pt" strokecolor="#000000">
              <v:stroke dashstyle="solid"/>
            </v:rect>
            <v:shape style="position:absolute;left:3542;top:5622;width:3575;height:665" coordorigin="3542,5622" coordsize="3575,665" path="m3796,5622l3542,5815,6971,6287,7117,6061,3796,5622xe" filled="true" fillcolor="#808080" stroked="false">
              <v:path arrowok="t"/>
              <v:fill type="solid"/>
            </v:shape>
            <v:shape style="position:absolute;left:3429;top:2233;width:3812;height:3828" coordorigin="3429,2234" coordsize="3812,3828" path="m7241,2409l3702,2234,3429,2310,3542,5815,3796,5622,7117,6061,7241,2409e" filled="true" fillcolor="#ffffff" stroked="false">
              <v:path arrowok="t"/>
              <v:fill type="solid"/>
            </v:shape>
            <v:shape style="position:absolute;left:3894;top:9176;width:6465;height:6494" coordorigin="3894,9177" coordsize="6465,6494" path="m3543,5816l3795,5625m3796,5623l7116,6062m3533,5485l3786,5303m3788,5302l7127,5718m3522,5149l3778,4978m3779,4978l7140,5370m3510,4810l3768,4650m3769,4650l7151,5016m3499,4467l3759,4317m3761,4317l7164,4658m3488,4119l3750,3980m3751,3980l7175,4296m3477,3767l3740,3639m3741,3639l7188,3929m3465,3409l3731,3294m3733,3294l7201,3557m3454,3048l3721,2946m3723,2946l7213,3180m3443,2681l3711,2592m3713,2592l7226,2797m3430,2311l3701,2234m3703,2234l7240,2410e" filled="false" stroked="true" strokeweight=".082522pt" strokecolor="#000000">
              <v:path arrowok="t"/>
              <v:stroke dashstyle="solid"/>
            </v:shape>
            <v:shape style="position:absolute;left:3543;top:5623;width:3575;height:665" coordorigin="3543,5623" coordsize="3575,665" path="m7117,6062l6972,6288,3543,5816,3796,5623,7117,6062xe" filled="false" stroked="true" strokeweight=".082518pt" strokecolor="#000000">
              <v:path arrowok="t"/>
              <v:stroke dashstyle="solid"/>
            </v:shape>
            <v:shape style="position:absolute;left:3893;top:9175;width:6467;height:6494" coordorigin="3893,9176" coordsize="6467,6494" path="m3542,5815l3429,2310,3702,2234,3796,5622,3542,5815m3796,5622l3702,2234,7241,2409,7117,6061,3796,5622e" filled="false" stroked="true" strokeweight=".565865pt" strokecolor="#808080">
              <v:path arrowok="t"/>
              <v:stroke dashstyle="solid"/>
            </v:shape>
            <v:shape style="position:absolute;left:4086;top:15252;width:5817;height:905" coordorigin="4086,15253" coordsize="5817,905" path="m3543,5816l6970,6288m3543,5816l3543,5876m4077,5889l4077,5950m4626,5965l4626,6026m5187,6042l5187,6103m5766,6123l5766,6183m6360,6205l6360,6265m6972,6288l6972,6349e" filled="false" stroked="true" strokeweight=".082522pt" strokecolor="#000000">
              <v:path arrowok="t"/>
              <v:stroke dashstyle="solid"/>
            </v:shape>
            <v:shape style="position:absolute;left:3765;top:5505;width:326;height:307" type="#_x0000_t75" stroked="false">
              <v:imagedata r:id="rId17" o:title=""/>
            </v:shape>
            <v:shape style="position:absolute;left:3975;top:5160;width:107;height:427" coordorigin="3976,5160" coordsize="107,427" path="m4075,5160l3976,5231,3984,5586,4082,5511,4075,5160xe" filled="true" fillcolor="#808066" stroked="false">
              <v:path arrowok="t"/>
              <v:fill type="solid"/>
            </v:shape>
            <v:shape style="position:absolute;left:3975;top:5160;width:107;height:427" coordorigin="3976,5160" coordsize="107,427" path="m3984,5586l3976,5231,4075,5160,4082,5511,3984,5586xe" filled="false" stroked="true" strokeweight=".082526pt" strokecolor="#ffff00">
              <v:path arrowok="t"/>
              <v:stroke dashstyle="solid"/>
            </v:shape>
            <v:shape style="position:absolute;left:3761;top:5203;width:224;height:384" type="#_x0000_t75" stroked="false">
              <v:imagedata r:id="rId18" o:title=""/>
            </v:shape>
            <v:shape style="position:absolute;left:3963;top:4714;width:111;height:517" coordorigin="3964,4714" coordsize="111,517" path="m4065,4714l3964,4779,3975,5230,4075,5160,4065,4714xe" filled="true" fillcolor="#330033" stroked="false">
              <v:path arrowok="t"/>
              <v:fill type="solid"/>
            </v:shape>
            <v:shape style="position:absolute;left:3963;top:4714;width:111;height:517" coordorigin="3964,4714" coordsize="111,517" path="m3975,5230l3964,4779,4065,4714,4075,5160,3975,5230xe" filled="false" stroked="true" strokeweight=".565894pt" strokecolor="#800080">
              <v:path arrowok="t"/>
              <v:stroke dashstyle="solid"/>
            </v:shape>
            <v:shape style="position:absolute;left:3748;top:4755;width:227;height:476" coordorigin="3749,4755" coordsize="227,476" path="m3749,4755l3762,5203,3975,5230,3964,4779,3749,4755xe" filled="true" fillcolor="#660066" stroked="false">
              <v:path arrowok="t"/>
              <v:fill type="solid"/>
            </v:shape>
            <v:shape style="position:absolute;left:3748;top:4755;width:227;height:476" coordorigin="3749,4755" coordsize="227,476" path="m3762,5203l3749,4755,3964,4779,3975,5230,3762,5203xe" filled="false" stroked="true" strokeweight=".565885pt" strokecolor="#800080">
              <v:path arrowok="t"/>
              <v:stroke dashstyle="solid"/>
            </v:shape>
            <v:shape style="position:absolute;left:3905;top:2324;width:159;height:2455" coordorigin="3906,2324" coordsize="159,2455" path="m4011,2324l3906,2357,3964,4779,4065,4714,4011,2324xe" filled="true" fillcolor="#668080" stroked="false">
              <v:path arrowok="t"/>
              <v:fill type="solid"/>
            </v:shape>
            <v:shape style="position:absolute;left:3905;top:2324;width:159;height:2455" coordorigin="3906,2324" coordsize="159,2455" path="m3964,4779l3906,2357,4011,2324,4065,4714,3964,4779xe" filled="false" stroked="true" strokeweight=".565897pt" strokecolor="#00ffff">
              <v:path arrowok="t"/>
              <v:stroke dashstyle="solid"/>
            </v:shape>
            <v:shape style="position:absolute;left:3680;top:2345;width:283;height:2434" coordorigin="3681,2345" coordsize="283,2434" path="m3681,2345l3749,4755,3964,4779,3906,2357,3681,2345xe" filled="true" fillcolor="#ccffff" stroked="false">
              <v:path arrowok="t"/>
              <v:fill type="solid"/>
            </v:shape>
            <v:shape style="position:absolute;left:3680;top:2345;width:283;height:2434" coordorigin="3681,2345" coordsize="283,2434" path="m3749,4755l3681,2345,3906,2357,3964,4779,3749,4755xe" filled="false" stroked="true" strokeweight=".565896pt" strokecolor="#00ffff">
              <v:path arrowok="t"/>
              <v:stroke dashstyle="solid"/>
            </v:shape>
            <v:shape style="position:absolute;left:3675;top:2259;width:341;height:104" type="#_x0000_t75" stroked="false">
              <v:imagedata r:id="rId19" o:title=""/>
            </v:shape>
            <v:shape style="position:absolute;left:4305;top:5468;width:320;height:418" type="#_x0000_t75" stroked="false">
              <v:imagedata r:id="rId20" o:title=""/>
            </v:shape>
            <v:shape style="position:absolute;left:4523;top:5468;width:97;height:392" coordorigin="4523,5468" coordsize="97,392" path="m4529,5860l4523,5545,4615,5468,4619,5781,4529,5860xe" filled="false" stroked="true" strokeweight=".565893pt" strokecolor="#000080">
              <v:path arrowok="t"/>
              <v:stroke dashstyle="solid"/>
            </v:shape>
            <v:shape style="position:absolute;left:4299;top:5153;width:318;height:712" type="#_x0000_t75" stroked="false">
              <v:imagedata r:id="rId21" o:title=""/>
            </v:shape>
            <v:shape style="position:absolute;left:4508;top:4453;width:102;height:773" coordorigin="4509,4454" coordsize="102,773" path="m4602,4454l4509,4516,4519,5226,4611,5154,4602,4454xe" filled="true" fillcolor="#330033" stroked="false">
              <v:path arrowok="t"/>
              <v:fill type="solid"/>
            </v:shape>
            <v:shape style="position:absolute;left:4508;top:4453;width:102;height:773" coordorigin="4509,4454" coordsize="102,773" path="m4519,5226l4509,4516,4602,4454,4611,5154,4519,5226xe" filled="false" stroked="true" strokeweight=".565896pt" strokecolor="#800080">
              <v:path arrowok="t"/>
              <v:stroke dashstyle="solid"/>
            </v:shape>
            <v:shape style="position:absolute;left:4286;top:4493;width:233;height:733" coordorigin="4287,4493" coordsize="233,733" path="m4287,4493l4300,5199,4519,5226,4509,4516,4287,4493xe" filled="true" fillcolor="#660066" stroked="false">
              <v:path arrowok="t"/>
              <v:fill type="solid"/>
            </v:shape>
            <v:shape style="position:absolute;left:4286;top:4493;width:233;height:733" coordorigin="4287,4493" coordsize="233,733" path="m4300,5199l4287,4493,4509,4516,4519,5226,4300,5199xe" filled="false" stroked="true" strokeweight=".565891pt" strokecolor="#800080">
              <v:path arrowok="t"/>
              <v:stroke dashstyle="solid"/>
            </v:shape>
            <v:shape style="position:absolute;left:4479;top:2410;width:124;height:2106" coordorigin="4479,2411" coordsize="124,2106" path="m4577,2411l4479,2444,4509,4516,4602,4454,4577,2411xe" filled="true" fillcolor="#668080" stroked="false">
              <v:path arrowok="t"/>
              <v:fill type="solid"/>
            </v:shape>
            <v:shape style="position:absolute;left:4479;top:2410;width:124;height:2106" coordorigin="4479,2411" coordsize="124,2106" path="m4509,4516l4479,2444,4577,2411,4602,4454,4509,4516xe" filled="false" stroked="true" strokeweight=".565897pt" strokecolor="#00ffff">
              <v:path arrowok="t"/>
              <v:stroke dashstyle="solid"/>
            </v:shape>
            <v:shape style="position:absolute;left:4248;top:2431;width:261;height:2085" coordorigin="4249,2432" coordsize="261,2085" path="m4249,2432l4287,4493,4509,4516,4479,2444,4249,2432xe" filled="true" fillcolor="#ccffff" stroked="false">
              <v:path arrowok="t"/>
              <v:fill type="solid"/>
            </v:shape>
            <v:shape style="position:absolute;left:4248;top:2431;width:261;height:2085" coordorigin="4249,2432" coordsize="261,2085" path="m4287,4493l4249,2432,4479,2444,4509,4516,4287,4493xe" filled="false" stroked="true" strokeweight=".565896pt" strokecolor="#00ffff">
              <v:path arrowok="t"/>
              <v:stroke dashstyle="solid"/>
            </v:shape>
            <v:shape style="position:absolute;left:4241;top:2287;width:341;height:163" type="#_x0000_t75" stroked="false">
              <v:imagedata r:id="rId22" o:title=""/>
            </v:shape>
            <v:shape style="position:absolute;left:4851;top:5762;width:320;height:199" type="#_x0000_t75" stroked="false">
              <v:imagedata r:id="rId23" o:title=""/>
            </v:shape>
            <v:shape style="position:absolute;left:5079;top:5135;width:87;height:714" coordorigin="5079,5136" coordsize="87,714" path="m5164,5136l5079,5208,5081,5849,5165,5768,5164,5136xe" filled="true" fillcolor="#4d4d80" stroked="false">
              <v:path arrowok="t"/>
              <v:fill type="solid"/>
            </v:shape>
            <v:shape style="position:absolute;left:5079;top:5135;width:87;height:714" coordorigin="5079,5136" coordsize="87,714" path="m5081,5849l5079,5208,5164,5136,5165,5768,5081,5849xe" filled="false" stroked="true" strokeweight=".565896pt" strokecolor="#000080">
              <v:path arrowok="t"/>
              <v:stroke dashstyle="solid"/>
            </v:shape>
            <v:shape style="position:absolute;left:4852;top:5182;width:228;height:667" coordorigin="4853,5182" coordsize="228,667" path="m4853,5182l4857,5819,5081,5849,5079,5208,4853,5182xe" filled="true" fillcolor="#9999ff" stroked="false">
              <v:path arrowok="t"/>
              <v:fill type="solid"/>
            </v:shape>
            <v:shape style="position:absolute;left:4852;top:5182;width:228;height:667" coordorigin="4853,5182" coordsize="228,667" path="m4857,5819l4853,5182,5079,5208,5081,5849,4857,5819xe" filled="false" stroked="true" strokeweight=".56589pt" strokecolor="#000080">
              <v:path arrowok="t"/>
              <v:stroke dashstyle="solid"/>
            </v:shape>
            <v:shape style="position:absolute;left:4851;top:5027;width:315;height:182" type="#_x0000_t75" stroked="false">
              <v:imagedata r:id="rId24" o:title=""/>
            </v:shape>
            <v:line style="position:absolute" from="5118,3937" to="5118,5100" stroked="true" strokeweight="4.456439pt" strokecolor="#330033">
              <v:stroke dashstyle="solid"/>
            </v:line>
            <v:shape style="position:absolute;left:5073;top:3937;width:90;height:1164" coordorigin="5073,3937" coordsize="90,1164" path="m5078,5100l5073,3994,5161,3937,5163,5028,5078,5100xe" filled="false" stroked="true" strokeweight=".565897pt" strokecolor="#800080">
              <v:path arrowok="t"/>
              <v:stroke dashstyle="solid"/>
            </v:shape>
            <v:shape style="position:absolute;left:4842;top:3972;width:235;height:1128" coordorigin="4843,3972" coordsize="235,1128" path="m4843,3972l4851,5073,5078,5100,5073,3994,4843,3972xe" filled="true" fillcolor="#660066" stroked="false">
              <v:path arrowok="t"/>
              <v:fill type="solid"/>
            </v:shape>
            <v:shape style="position:absolute;left:4842;top:3972;width:235;height:1128" coordorigin="4843,3972" coordsize="235,1128" path="m4851,5073l4843,3972,5073,3994,5078,5100,4851,5073xe" filled="false" stroked="true" strokeweight=".565894pt" strokecolor="#800080">
              <v:path arrowok="t"/>
              <v:stroke dashstyle="solid"/>
            </v:shape>
            <v:shape style="position:absolute;left:5067;top:2509;width:94;height:1485" coordorigin="5068,2510" coordsize="94,1485" path="m5157,2510l5068,2545,5073,3994,5161,3937,5157,2510xe" filled="true" fillcolor="#668080" stroked="false">
              <v:path arrowok="t"/>
              <v:fill type="solid"/>
            </v:shape>
            <v:shape style="position:absolute;left:5067;top:2509;width:94;height:1485" coordorigin="5068,2510" coordsize="94,1485" path="m5073,3994l5068,2545,5157,2510,5161,3937,5073,3994xe" filled="false" stroked="true" strokeweight=".565897pt" strokecolor="#00ffff">
              <v:path arrowok="t"/>
              <v:stroke dashstyle="solid"/>
            </v:shape>
            <v:shape style="position:absolute;left:4831;top:2532;width:242;height:1462" coordorigin="4832,2532" coordsize="242,1462" path="m4832,2532l4843,3972,5073,3994,5068,2545,4832,2532xe" filled="true" fillcolor="#ccffff" stroked="false">
              <v:path arrowok="t"/>
              <v:fill type="solid"/>
            </v:shape>
            <v:shape style="position:absolute;left:4831;top:2532;width:242;height:1462" coordorigin="4832,2532" coordsize="242,1462" path="m4843,3972l4832,2532,5068,2545,5073,3994,4843,3972xe" filled="false" stroked="true" strokeweight=".565895pt" strokecolor="#00ffff">
              <v:path arrowok="t"/>
              <v:stroke dashstyle="solid"/>
            </v:shape>
            <v:shape style="position:absolute;left:4824;top:2315;width:339;height:235" type="#_x0000_t75" stroked="false">
              <v:imagedata r:id="rId25" o:title=""/>
            </v:shape>
            <v:shape style="position:absolute;left:5414;top:5717;width:319;height:320" type="#_x0000_t75" stroked="false">
              <v:imagedata r:id="rId26" o:title=""/>
            </v:shape>
            <v:line style="position:absolute" from="5693,4803" to="5693,5804" stroked="true" strokeweight="4.244227pt" strokecolor="#4d4d80">
              <v:stroke dashstyle="solid"/>
            </v:line>
            <v:shape style="position:absolute;left:5650;top:4803;width:85;height:1001" coordorigin="5651,4803" coordsize="85,1001" path="m5651,5804l5656,4872,5736,4803,5727,5723,5651,5804xe" filled="false" stroked="true" strokeweight=".565896pt" strokecolor="#000080">
              <v:path arrowok="t"/>
              <v:stroke dashstyle="solid"/>
            </v:shape>
            <v:shape style="position:absolute;left:5421;top:4847;width:235;height:957" coordorigin="5421,4847" coordsize="235,957" path="m5423,4847l5421,5774,5651,5804,5656,4872,5423,4847xe" filled="true" fillcolor="#9999ff" stroked="false">
              <v:path arrowok="t"/>
              <v:fill type="solid"/>
            </v:shape>
            <v:shape style="position:absolute;left:5421;top:4847;width:235;height:957" coordorigin="5421,4847" coordsize="235,957" path="m5421,5774l5423,4847,5656,4872,5651,5804,5421,5774xe" filled="false" stroked="true" strokeweight=".565893pt" strokecolor="#000080">
              <v:path arrowok="t"/>
              <v:stroke dashstyle="solid"/>
            </v:shape>
            <v:shape style="position:absolute;left:5656;top:4092;width:85;height:780" coordorigin="5656,4093" coordsize="85,780" path="m5741,4093l5662,4152,5656,4872,5736,4803,5741,4093xe" filled="true" fillcolor="#330033" stroked="false">
              <v:path arrowok="t"/>
              <v:fill type="solid"/>
            </v:shape>
            <v:shape style="position:absolute;left:5656;top:4092;width:85;height:780" coordorigin="5656,4093" coordsize="85,780" path="m5656,4872l5662,4152,5741,4093,5736,4803,5656,4872xe" filled="false" stroked="true" strokeweight=".565896pt" strokecolor="#800080">
              <v:path arrowok="t"/>
              <v:stroke dashstyle="solid"/>
            </v:shape>
            <v:shape style="position:absolute;left:5422;top:4130;width:240;height:742" coordorigin="5423,4131" coordsize="240,742" path="m5424,4131l5423,4847,5656,4872,5662,4152,5424,4131xe" filled="true" fillcolor="#660066" stroked="false">
              <v:path arrowok="t"/>
              <v:fill type="solid"/>
            </v:shape>
            <v:shape style="position:absolute;left:5422;top:4130;width:240;height:742" coordorigin="5423,4131" coordsize="240,742" path="m5423,4847l5424,4131,5662,4152,5656,4872,5423,4847xe" filled="false" stroked="true" strokeweight=".565891pt" strokecolor="#800080">
              <v:path arrowok="t"/>
              <v:stroke dashstyle="solid"/>
            </v:shape>
            <v:shape style="position:absolute;left:5661;top:2617;width:91;height:1536" coordorigin="5662,2617" coordsize="91,1536" path="m5753,2617l5672,2655,5662,4152,5741,4093,5753,2617xe" filled="true" fillcolor="#668080" stroked="false">
              <v:path arrowok="t"/>
              <v:fill type="solid"/>
            </v:shape>
            <v:shape style="position:absolute;left:5661;top:2617;width:91;height:1536" coordorigin="5662,2617" coordsize="91,1536" path="m5662,4152l5672,2655,5753,2617,5741,4093,5662,4152xe" filled="false" stroked="true" strokeweight=".565897pt" strokecolor="#00ffff">
              <v:path arrowok="t"/>
              <v:stroke dashstyle="solid"/>
            </v:shape>
            <v:shape style="position:absolute;left:5424;top:2641;width:248;height:1511" coordorigin="5424,2641" coordsize="248,1511" path="m5429,2641l5424,4131,5662,4152,5672,2655,5429,2641xe" filled="true" fillcolor="#ccffff" stroked="false">
              <v:path arrowok="t"/>
              <v:fill type="solid"/>
            </v:shape>
            <v:shape style="position:absolute;left:5424;top:2641;width:248;height:1511" coordorigin="5424,2641" coordsize="248,1511" path="m5424,4131l5429,2641,5672,2655,5662,4152,5424,4131xe" filled="false" stroked="true" strokeweight=".565895pt" strokecolor="#00ffff">
              <v:path arrowok="t"/>
              <v:stroke dashstyle="solid"/>
            </v:shape>
            <v:shape style="position:absolute;left:5422;top:2345;width:339;height:316" type="#_x0000_t75" stroked="false">
              <v:imagedata r:id="rId27" o:title=""/>
            </v:shape>
            <v:shape style="position:absolute;left:5991;top:5930;width:317;height:187" type="#_x0000_t75" stroked="false">
              <v:imagedata r:id="rId28" o:title=""/>
            </v:shape>
            <v:shape style="position:absolute;left:6233;top:5431;width:80;height:590" coordorigin="6234,5431" coordsize="80,590" path="m6313,5431l6244,5511,6234,6021,6303,5936,6313,5431xe" filled="true" fillcolor="#4d4d80" stroked="false">
              <v:path arrowok="t"/>
              <v:fill type="solid"/>
            </v:shape>
            <v:shape style="position:absolute;left:6233;top:5431;width:80;height:590" coordorigin="6234,5431" coordsize="80,590" path="m6234,6021l6244,5511,6313,5431,6303,5936,6234,6021xe" filled="false" stroked="true" strokeweight=".565896pt" strokecolor="#000080">
              <v:path arrowok="t"/>
              <v:stroke dashstyle="solid"/>
            </v:shape>
            <v:shape style="position:absolute;left:5998;top:5480;width:245;height:541" coordorigin="5999,5481" coordsize="245,541" path="m6006,5481l5999,5990,6234,6021,6244,5511,6006,5481xe" filled="true" fillcolor="#9999ff" stroked="false">
              <v:path arrowok="t"/>
              <v:fill type="solid"/>
            </v:shape>
            <v:shape style="position:absolute;left:5998;top:5480;width:245;height:541" coordorigin="5999,5481" coordsize="245,541" path="m5999,5990l6006,5481,6244,5511,6234,6021,5999,5990xe" filled="false" stroked="true" strokeweight=".565886pt" strokecolor="#000080">
              <v:path arrowok="t"/>
              <v:stroke dashstyle="solid"/>
            </v:shape>
            <v:shape style="position:absolute;left:6000;top:5185;width:323;height:328" type="#_x0000_t75" stroked="false">
              <v:imagedata r:id="rId29" o:title=""/>
            </v:shape>
            <v:shape style="position:absolute;left:6247;top:2394;width:122;height:2873" coordorigin="6248,2395" coordsize="122,2873" path="m6370,2395l6297,2429,6248,5267,6317,5191,6370,2395xe" filled="true" fillcolor="#804040" stroked="false">
              <v:path arrowok="t"/>
              <v:fill type="solid"/>
            </v:shape>
            <v:shape style="position:absolute;left:6247;top:2394;width:122;height:2873" coordorigin="6248,2395" coordsize="122,2873" path="m6248,5267l6297,2429,6370,2395,6317,5191,6248,5267xe" filled="false" stroked="true" strokeweight=".565897pt" strokecolor="#800000">
              <v:path arrowok="t"/>
              <v:stroke dashstyle="solid"/>
            </v:shape>
            <v:shape style="position:absolute;left:6008;top:2416;width:289;height:2851" coordorigin="6009,2416" coordsize="289,2851" path="m6046,2416l6009,5239,6248,5267,6297,2429,6046,2416xe" filled="true" fillcolor="#ff8080" stroked="false">
              <v:path arrowok="t"/>
              <v:fill type="solid"/>
            </v:shape>
            <v:shape style="position:absolute;left:6008;top:2416;width:289;height:2851" coordorigin="6009,2416" coordsize="289,2851" path="m6009,5239l6046,2416,6297,2429,6248,5267,6009,5239xe" filled="false" stroked="true" strokeweight=".565896pt" strokecolor="#800000">
              <v:path arrowok="t"/>
              <v:stroke dashstyle="solid"/>
            </v:shape>
            <v:shape style="position:absolute;left:6045;top:2382;width:324;height:47" coordorigin="6046,2382" coordsize="324,47" path="m6122,2382l6046,2416,6297,2429,6370,2395,6122,2382xe" filled="true" fillcolor="#be5f5f" stroked="false">
              <v:path arrowok="t"/>
              <v:fill type="solid"/>
            </v:shape>
            <v:shape style="position:absolute;left:6045;top:2382;width:324;height:47" coordorigin="6046,2382" coordsize="324,47" path="m6297,2429l6370,2395,6122,2382,6046,2416,6297,2429xe" filled="false" stroked="true" strokeweight=".565834pt" strokecolor="#800000">
              <v:path arrowok="t"/>
              <v:stroke dashstyle="solid"/>
            </v:shape>
            <v:shape style="position:absolute;left:6584;top:5870;width:322;height:329" type="#_x0000_t75" stroked="false">
              <v:imagedata r:id="rId30" o:title=""/>
            </v:shape>
            <v:shape style="position:absolute;left:6839;top:2426;width:165;height:3536" coordorigin="6839,2426" coordsize="165,3536" path="m7003,2426l6940,2463,6839,5962,6900,5876,7003,2426xe" filled="true" fillcolor="#804040" stroked="false">
              <v:path arrowok="t"/>
              <v:fill type="solid"/>
            </v:shape>
            <v:shape style="position:absolute;left:6839;top:2426;width:165;height:3536" coordorigin="6839,2426" coordsize="165,3536" path="m6839,5962l6940,2463,7003,2426,6900,5876,6839,5962xe" filled="false" stroked="true" strokeweight=".565897pt" strokecolor="#800000">
              <v:path arrowok="t"/>
              <v:stroke dashstyle="solid"/>
            </v:shape>
            <v:shape style="position:absolute;left:6595;top:2448;width:344;height:3514" coordorigin="6596,2449" coordsize="344,3514" path="m6681,2449l6596,5929,6839,5962,6940,2463,6681,2449xe" filled="true" fillcolor="#ff8080" stroked="false">
              <v:path arrowok="t"/>
              <v:fill type="solid"/>
            </v:shape>
            <v:shape style="position:absolute;left:6595;top:2448;width:344;height:3514" coordorigin="6596,2449" coordsize="344,3514" path="m6596,5929l6681,2449,6940,2463,6839,5962,6596,5929xe" filled="false" stroked="true" strokeweight=".565896pt" strokecolor="#800000">
              <v:path arrowok="t"/>
              <v:stroke dashstyle="solid"/>
            </v:shape>
            <v:shape style="position:absolute;left:6680;top:2413;width:323;height:50" coordorigin="6681,2413" coordsize="323,50" path="m6747,2413l6681,2449,6940,2463,7003,2426,6747,2413xe" filled="true" fillcolor="#be5f5f" stroked="false">
              <v:path arrowok="t"/>
              <v:fill type="solid"/>
            </v:shape>
            <v:shape style="position:absolute;left:6680;top:2413;width:323;height:50" coordorigin="6681,2413" coordsize="323,50" path="m6940,2463l7003,2426,6747,2413,6681,2449,6940,2463xe" filled="false" stroked="true" strokeweight=".565834pt" strokecolor="#800000">
              <v:path arrowok="t"/>
              <v:stroke dashstyle="solid"/>
            </v:shape>
            <v:shape style="position:absolute;left:3791;top:9306;width:296;height:5947" coordorigin="3791,9306" coordsize="296,5947" path="m3543,5816l3430,2312m3543,5816l3482,5816m3533,5485l3472,5485m3522,5149l3461,5149m3510,4810l3450,4810m3499,4467l3438,4467m3488,4119l3427,4119m3477,3767l3416,3767m3465,3409l3404,3409m3454,3048l3393,3048m3443,2681l3382,2681m3430,2311l3369,2311e" filled="false" stroked="true" strokeweight=".082522pt" strokecolor="#000000">
              <v:path arrowok="t"/>
              <v:stroke dashstyle="solid"/>
            </v:shape>
            <v:rect style="position:absolute;left:8746;top:3866;width:972;height:1045" filled="false" stroked="true" strokeweight=".082522pt" strokecolor="#000000">
              <v:stroke dashstyle="solid"/>
            </v:rect>
            <v:rect style="position:absolute;left:8786;top:3920;width:71;height:71" filled="true" fillcolor="#ff8080" stroked="false">
              <v:fill type="solid"/>
            </v:rect>
            <v:rect style="position:absolute;left:8786;top:3920;width:71;height:71" filled="false" stroked="true" strokeweight=".565865pt" strokecolor="#800000">
              <v:stroke dashstyle="solid"/>
            </v:rect>
            <v:rect style="position:absolute;left:8786;top:4094;width:71;height:71" filled="true" fillcolor="#ccffff" stroked="false">
              <v:fill type="solid"/>
            </v:rect>
            <v:rect style="position:absolute;left:8786;top:4094;width:71;height:71" filled="false" stroked="true" strokeweight=".565865pt" strokecolor="#00ffff">
              <v:stroke dashstyle="solid"/>
            </v:rect>
            <v:rect style="position:absolute;left:8786;top:4268;width:71;height:71" filled="true" fillcolor="#660066" stroked="false">
              <v:fill type="solid"/>
            </v:rect>
            <v:rect style="position:absolute;left:8786;top:4268;width:71;height:71" filled="false" stroked="true" strokeweight=".565865pt" strokecolor="#800080">
              <v:stroke dashstyle="solid"/>
            </v:rect>
            <v:rect style="position:absolute;left:8786;top:4446;width:71;height:71" filled="true" fillcolor="#ffffcc" stroked="false">
              <v:fill type="solid"/>
            </v:rect>
            <v:rect style="position:absolute;left:8786;top:4446;width:71;height:71" filled="false" stroked="true" strokeweight=".082522pt" strokecolor="#ffff00">
              <v:stroke dashstyle="solid"/>
            </v:rect>
            <v:rect style="position:absolute;left:8786;top:4616;width:71;height:71" filled="true" fillcolor="#9999ff" stroked="false">
              <v:fill type="solid"/>
            </v:rect>
            <v:rect style="position:absolute;left:8786;top:4616;width:71;height:71" filled="false" stroked="true" strokeweight=".565865pt" strokecolor="#000080">
              <v:stroke dashstyle="solid"/>
            </v:rect>
            <v:rect style="position:absolute;left:8786;top:4790;width:71;height:71" filled="true" fillcolor="#993366" stroked="false">
              <v:fill type="solid"/>
            </v:rect>
            <v:rect style="position:absolute;left:8786;top:4790;width:71;height:71" filled="false" stroked="true" strokeweight=".565865pt" strokecolor="#ff00ff">
              <v:stroke dashstyle="solid"/>
            </v:rect>
            <v:rect style="position:absolute;left:1180;top:1487;width:8545;height:5216" filled="false" stroked="true" strokeweight=".08252pt" strokecolor="#000000">
              <v:stroke dashstyle="solid"/>
            </v:rect>
            <v:shape style="position:absolute;left:2467;top:1631;width:5989;height:159" type="#_x0000_t202" filled="false" stroked="false">
              <v:textbox inset="0,0,0,0">
                <w:txbxContent>
                  <w:p>
                    <w:pPr>
                      <w:spacing w:line="158" w:lineRule="exact" w:before="0"/>
                      <w:ind w:left="0" w:right="0" w:firstLine="0"/>
                      <w:jc w:val="left"/>
                      <w:rPr>
                        <w:rFonts w:ascii="Arial"/>
                        <w:b/>
                        <w:sz w:val="14"/>
                      </w:rPr>
                    </w:pPr>
                    <w:r>
                      <w:rPr>
                        <w:rFonts w:ascii="Arial"/>
                        <w:b/>
                        <w:sz w:val="14"/>
                      </w:rPr>
                      <w:t>Fig. nr. 1 - BDA spitalizata - Prevalenta etiologii pe grupe de varsta - Bucuresti, vara 2017</w:t>
                    </w:r>
                  </w:p>
                </w:txbxContent>
              </v:textbox>
              <w10:wrap type="none"/>
            </v:shape>
            <v:shape style="position:absolute;left:3050;top:2240;width:433;height:3636" type="#_x0000_t202" filled="false" stroked="false">
              <v:textbox inset="0,0,0,0">
                <w:txbxContent>
                  <w:p>
                    <w:pPr>
                      <w:spacing w:before="3"/>
                      <w:ind w:left="0" w:right="131" w:firstLine="0"/>
                      <w:jc w:val="right"/>
                      <w:rPr>
                        <w:rFonts w:ascii="Arial"/>
                        <w:sz w:val="11"/>
                      </w:rPr>
                    </w:pPr>
                    <w:r>
                      <w:rPr>
                        <w:rFonts w:ascii="Arial"/>
                        <w:spacing w:val="-1"/>
                        <w:w w:val="105"/>
                        <w:sz w:val="11"/>
                      </w:rPr>
                      <w:t>100%</w:t>
                    </w:r>
                  </w:p>
                  <w:p>
                    <w:pPr>
                      <w:spacing w:line="240" w:lineRule="auto" w:before="0"/>
                      <w:rPr>
                        <w:rFonts w:ascii="Arial"/>
                        <w:sz w:val="12"/>
                      </w:rPr>
                    </w:pPr>
                  </w:p>
                  <w:p>
                    <w:pPr>
                      <w:spacing w:before="106"/>
                      <w:ind w:left="0" w:right="118" w:firstLine="0"/>
                      <w:jc w:val="right"/>
                      <w:rPr>
                        <w:rFonts w:ascii="Arial"/>
                        <w:sz w:val="11"/>
                      </w:rPr>
                    </w:pPr>
                    <w:r>
                      <w:rPr>
                        <w:rFonts w:ascii="Arial"/>
                        <w:spacing w:val="-1"/>
                        <w:w w:val="105"/>
                        <w:sz w:val="11"/>
                      </w:rPr>
                      <w:t>90%</w:t>
                    </w:r>
                  </w:p>
                  <w:p>
                    <w:pPr>
                      <w:spacing w:line="240" w:lineRule="auto" w:before="0"/>
                      <w:rPr>
                        <w:rFonts w:ascii="Arial"/>
                        <w:sz w:val="12"/>
                      </w:rPr>
                    </w:pPr>
                  </w:p>
                  <w:p>
                    <w:pPr>
                      <w:spacing w:before="102"/>
                      <w:ind w:left="0" w:right="107" w:firstLine="0"/>
                      <w:jc w:val="right"/>
                      <w:rPr>
                        <w:rFonts w:ascii="Arial"/>
                        <w:sz w:val="11"/>
                      </w:rPr>
                    </w:pPr>
                    <w:r>
                      <w:rPr>
                        <w:rFonts w:ascii="Arial"/>
                        <w:spacing w:val="-1"/>
                        <w:w w:val="105"/>
                        <w:sz w:val="11"/>
                      </w:rPr>
                      <w:t>80%</w:t>
                    </w:r>
                  </w:p>
                  <w:p>
                    <w:pPr>
                      <w:spacing w:line="240" w:lineRule="auto" w:before="0"/>
                      <w:rPr>
                        <w:rFonts w:ascii="Arial"/>
                        <w:sz w:val="12"/>
                      </w:rPr>
                    </w:pPr>
                  </w:p>
                  <w:p>
                    <w:pPr>
                      <w:spacing w:before="96"/>
                      <w:ind w:left="0" w:right="95" w:firstLine="0"/>
                      <w:jc w:val="right"/>
                      <w:rPr>
                        <w:rFonts w:ascii="Arial"/>
                        <w:sz w:val="11"/>
                      </w:rPr>
                    </w:pPr>
                    <w:r>
                      <w:rPr>
                        <w:rFonts w:ascii="Arial"/>
                        <w:spacing w:val="-1"/>
                        <w:w w:val="105"/>
                        <w:sz w:val="11"/>
                      </w:rPr>
                      <w:t>70%</w:t>
                    </w:r>
                  </w:p>
                  <w:p>
                    <w:pPr>
                      <w:spacing w:line="240" w:lineRule="auto" w:before="0"/>
                      <w:rPr>
                        <w:rFonts w:ascii="Arial"/>
                        <w:sz w:val="12"/>
                      </w:rPr>
                    </w:pPr>
                  </w:p>
                  <w:p>
                    <w:pPr>
                      <w:spacing w:before="94"/>
                      <w:ind w:left="0" w:right="84" w:firstLine="0"/>
                      <w:jc w:val="right"/>
                      <w:rPr>
                        <w:rFonts w:ascii="Arial"/>
                        <w:sz w:val="11"/>
                      </w:rPr>
                    </w:pPr>
                    <w:r>
                      <w:rPr>
                        <w:rFonts w:ascii="Arial"/>
                        <w:spacing w:val="-1"/>
                        <w:w w:val="105"/>
                        <w:sz w:val="11"/>
                      </w:rPr>
                      <w:t>60%</w:t>
                    </w:r>
                  </w:p>
                  <w:p>
                    <w:pPr>
                      <w:spacing w:line="240" w:lineRule="auto" w:before="0"/>
                      <w:rPr>
                        <w:rFonts w:ascii="Arial"/>
                        <w:sz w:val="12"/>
                      </w:rPr>
                    </w:pPr>
                  </w:p>
                  <w:p>
                    <w:pPr>
                      <w:spacing w:before="87"/>
                      <w:ind w:left="0" w:right="73" w:firstLine="0"/>
                      <w:jc w:val="right"/>
                      <w:rPr>
                        <w:rFonts w:ascii="Arial"/>
                        <w:sz w:val="11"/>
                      </w:rPr>
                    </w:pPr>
                    <w:r>
                      <w:rPr>
                        <w:rFonts w:ascii="Arial"/>
                        <w:spacing w:val="-1"/>
                        <w:w w:val="105"/>
                        <w:sz w:val="11"/>
                      </w:rPr>
                      <w:t>50%</w:t>
                    </w:r>
                  </w:p>
                  <w:p>
                    <w:pPr>
                      <w:spacing w:line="240" w:lineRule="auto" w:before="0"/>
                      <w:rPr>
                        <w:rFonts w:ascii="Arial"/>
                        <w:sz w:val="12"/>
                      </w:rPr>
                    </w:pPr>
                  </w:p>
                  <w:p>
                    <w:pPr>
                      <w:spacing w:before="84"/>
                      <w:ind w:left="0" w:right="61" w:firstLine="0"/>
                      <w:jc w:val="right"/>
                      <w:rPr>
                        <w:rFonts w:ascii="Arial"/>
                        <w:sz w:val="11"/>
                      </w:rPr>
                    </w:pPr>
                    <w:r>
                      <w:rPr>
                        <w:rFonts w:ascii="Arial"/>
                        <w:spacing w:val="-1"/>
                        <w:w w:val="105"/>
                        <w:sz w:val="11"/>
                      </w:rPr>
                      <w:t>40%</w:t>
                    </w:r>
                  </w:p>
                  <w:p>
                    <w:pPr>
                      <w:spacing w:line="240" w:lineRule="auto" w:before="0"/>
                      <w:rPr>
                        <w:rFonts w:ascii="Arial"/>
                        <w:sz w:val="12"/>
                      </w:rPr>
                    </w:pPr>
                  </w:p>
                  <w:p>
                    <w:pPr>
                      <w:spacing w:before="78"/>
                      <w:ind w:left="0" w:right="50" w:firstLine="0"/>
                      <w:jc w:val="right"/>
                      <w:rPr>
                        <w:rFonts w:ascii="Arial"/>
                        <w:sz w:val="11"/>
                      </w:rPr>
                    </w:pPr>
                    <w:r>
                      <w:rPr>
                        <w:rFonts w:ascii="Arial"/>
                        <w:spacing w:val="-1"/>
                        <w:w w:val="105"/>
                        <w:sz w:val="11"/>
                      </w:rPr>
                      <w:t>30%</w:t>
                    </w:r>
                  </w:p>
                  <w:p>
                    <w:pPr>
                      <w:spacing w:line="240" w:lineRule="auto" w:before="0"/>
                      <w:rPr>
                        <w:rFonts w:ascii="Arial"/>
                        <w:sz w:val="12"/>
                      </w:rPr>
                    </w:pPr>
                  </w:p>
                  <w:p>
                    <w:pPr>
                      <w:spacing w:before="75"/>
                      <w:ind w:left="0" w:right="39" w:firstLine="0"/>
                      <w:jc w:val="right"/>
                      <w:rPr>
                        <w:rFonts w:ascii="Arial"/>
                        <w:sz w:val="11"/>
                      </w:rPr>
                    </w:pPr>
                    <w:r>
                      <w:rPr>
                        <w:rFonts w:ascii="Arial"/>
                        <w:spacing w:val="-1"/>
                        <w:w w:val="105"/>
                        <w:sz w:val="11"/>
                      </w:rPr>
                      <w:t>20%</w:t>
                    </w:r>
                  </w:p>
                  <w:p>
                    <w:pPr>
                      <w:spacing w:line="240" w:lineRule="auto" w:before="0"/>
                      <w:rPr>
                        <w:rFonts w:ascii="Arial"/>
                        <w:sz w:val="12"/>
                      </w:rPr>
                    </w:pPr>
                  </w:p>
                  <w:p>
                    <w:pPr>
                      <w:spacing w:before="71"/>
                      <w:ind w:left="0" w:right="27" w:firstLine="0"/>
                      <w:jc w:val="right"/>
                      <w:rPr>
                        <w:rFonts w:ascii="Arial"/>
                        <w:sz w:val="11"/>
                      </w:rPr>
                    </w:pPr>
                    <w:r>
                      <w:rPr>
                        <w:rFonts w:ascii="Arial"/>
                        <w:spacing w:val="-1"/>
                        <w:w w:val="105"/>
                        <w:sz w:val="11"/>
                      </w:rPr>
                      <w:t>10%</w:t>
                    </w:r>
                  </w:p>
                  <w:p>
                    <w:pPr>
                      <w:spacing w:line="240" w:lineRule="auto" w:before="9"/>
                      <w:rPr>
                        <w:rFonts w:ascii="Arial"/>
                        <w:sz w:val="17"/>
                      </w:rPr>
                    </w:pPr>
                  </w:p>
                  <w:p>
                    <w:pPr>
                      <w:spacing w:before="0"/>
                      <w:ind w:left="0" w:right="18" w:firstLine="0"/>
                      <w:jc w:val="right"/>
                      <w:rPr>
                        <w:rFonts w:ascii="Arial"/>
                        <w:sz w:val="11"/>
                      </w:rPr>
                    </w:pPr>
                    <w:r>
                      <w:rPr>
                        <w:rFonts w:ascii="Arial"/>
                        <w:spacing w:val="-1"/>
                        <w:w w:val="105"/>
                        <w:sz w:val="11"/>
                      </w:rPr>
                      <w:t>0%</w:t>
                    </w:r>
                  </w:p>
                </w:txbxContent>
              </v:textbox>
              <w10:wrap type="none"/>
            </v:shape>
            <v:shape style="position:absolute;left:3726;top:5964;width:186;height:132" type="#_x0000_t202" filled="false" stroked="false">
              <v:textbox inset="0,0,0,0">
                <w:txbxContent>
                  <w:p>
                    <w:pPr>
                      <w:spacing w:before="3"/>
                      <w:ind w:left="0" w:right="0" w:firstLine="0"/>
                      <w:jc w:val="left"/>
                      <w:rPr>
                        <w:rFonts w:ascii="Arial"/>
                        <w:sz w:val="11"/>
                      </w:rPr>
                    </w:pPr>
                    <w:r>
                      <w:rPr>
                        <w:rFonts w:ascii="Arial"/>
                        <w:w w:val="105"/>
                        <w:sz w:val="11"/>
                      </w:rPr>
                      <w:t>&lt; 1</w:t>
                    </w:r>
                  </w:p>
                </w:txbxContent>
              </v:textbox>
              <w10:wrap type="none"/>
            </v:shape>
            <v:shape style="position:absolute;left:4264;top:6039;width:190;height:132" type="#_x0000_t202" filled="false" stroked="false">
              <v:textbox inset="0,0,0,0">
                <w:txbxContent>
                  <w:p>
                    <w:pPr>
                      <w:spacing w:before="3"/>
                      <w:ind w:left="0" w:right="0" w:firstLine="0"/>
                      <w:jc w:val="left"/>
                      <w:rPr>
                        <w:rFonts w:ascii="Arial"/>
                        <w:sz w:val="11"/>
                      </w:rPr>
                    </w:pPr>
                    <w:r>
                      <w:rPr>
                        <w:rFonts w:ascii="Arial"/>
                        <w:w w:val="105"/>
                        <w:sz w:val="11"/>
                      </w:rPr>
                      <w:t>1-4</w:t>
                    </w:r>
                  </w:p>
                </w:txbxContent>
              </v:textbox>
              <w10:wrap type="none"/>
            </v:shape>
            <v:shape style="position:absolute;left:4818;top:6115;width:190;height:132" type="#_x0000_t202" filled="false" stroked="false">
              <v:textbox inset="0,0,0,0">
                <w:txbxContent>
                  <w:p>
                    <w:pPr>
                      <w:spacing w:before="3"/>
                      <w:ind w:left="0" w:right="0" w:firstLine="0"/>
                      <w:jc w:val="left"/>
                      <w:rPr>
                        <w:rFonts w:ascii="Arial"/>
                        <w:sz w:val="11"/>
                      </w:rPr>
                    </w:pPr>
                    <w:r>
                      <w:rPr>
                        <w:rFonts w:ascii="Arial"/>
                        <w:w w:val="105"/>
                        <w:sz w:val="11"/>
                      </w:rPr>
                      <w:t>5-9</w:t>
                    </w:r>
                  </w:p>
                </w:txbxContent>
              </v:textbox>
              <w10:wrap type="none"/>
            </v:shape>
            <v:shape style="position:absolute;left:5323;top:6193;width:321;height:132" type="#_x0000_t202" filled="false" stroked="false">
              <v:textbox inset="0,0,0,0">
                <w:txbxContent>
                  <w:p>
                    <w:pPr>
                      <w:spacing w:before="3"/>
                      <w:ind w:left="0" w:right="0" w:firstLine="0"/>
                      <w:jc w:val="left"/>
                      <w:rPr>
                        <w:rFonts w:ascii="Arial"/>
                        <w:sz w:val="11"/>
                      </w:rPr>
                    </w:pPr>
                    <w:r>
                      <w:rPr>
                        <w:rFonts w:ascii="Arial"/>
                        <w:w w:val="105"/>
                        <w:sz w:val="11"/>
                      </w:rPr>
                      <w:t>10-14</w:t>
                    </w:r>
                  </w:p>
                </w:txbxContent>
              </v:textbox>
              <w10:wrap type="none"/>
            </v:shape>
            <v:shape style="position:absolute;left:5910;top:6274;width:321;height:132" type="#_x0000_t202" filled="false" stroked="false">
              <v:textbox inset="0,0,0,0">
                <w:txbxContent>
                  <w:p>
                    <w:pPr>
                      <w:spacing w:before="3"/>
                      <w:ind w:left="0" w:right="0" w:firstLine="0"/>
                      <w:jc w:val="left"/>
                      <w:rPr>
                        <w:rFonts w:ascii="Arial"/>
                        <w:sz w:val="11"/>
                      </w:rPr>
                    </w:pPr>
                    <w:r>
                      <w:rPr>
                        <w:rFonts w:ascii="Arial"/>
                        <w:w w:val="105"/>
                        <w:sz w:val="11"/>
                      </w:rPr>
                      <w:t>15-64</w:t>
                    </w:r>
                  </w:p>
                </w:txbxContent>
              </v:textbox>
              <w10:wrap type="none"/>
            </v:shape>
            <v:shape style="position:absolute;left:4293;top:6369;width:1027;height:132" type="#_x0000_t202" filled="false" stroked="false">
              <v:textbox inset="0,0,0,0">
                <w:txbxContent>
                  <w:p>
                    <w:pPr>
                      <w:spacing w:before="3"/>
                      <w:ind w:left="0" w:right="0" w:firstLine="0"/>
                      <w:jc w:val="left"/>
                      <w:rPr>
                        <w:rFonts w:ascii="Arial"/>
                        <w:b/>
                        <w:sz w:val="11"/>
                      </w:rPr>
                    </w:pPr>
                    <w:r>
                      <w:rPr>
                        <w:rFonts w:ascii="Arial"/>
                        <w:b/>
                        <w:w w:val="105"/>
                        <w:sz w:val="11"/>
                      </w:rPr>
                      <w:t>Grupe varsta (ani)</w:t>
                    </w:r>
                  </w:p>
                </w:txbxContent>
              </v:textbox>
              <w10:wrap type="none"/>
            </v:shape>
            <v:shape style="position:absolute;left:6563;top:6358;width:219;height:132" type="#_x0000_t202" filled="false" stroked="false">
              <v:textbox inset="0,0,0,0">
                <w:txbxContent>
                  <w:p>
                    <w:pPr>
                      <w:spacing w:before="3"/>
                      <w:ind w:left="0" w:right="0" w:firstLine="0"/>
                      <w:jc w:val="left"/>
                      <w:rPr>
                        <w:rFonts w:ascii="Arial"/>
                        <w:sz w:val="11"/>
                      </w:rPr>
                    </w:pPr>
                    <w:r>
                      <w:rPr>
                        <w:rFonts w:ascii="Arial"/>
                        <w:w w:val="105"/>
                        <w:sz w:val="11"/>
                      </w:rPr>
                      <w:t>65+</w:t>
                    </w:r>
                  </w:p>
                </w:txbxContent>
              </v:textbox>
              <w10:wrap type="none"/>
            </v:shape>
            <v:shape style="position:absolute;left:8747;top:3867;width:978;height:1043" type="#_x0000_t202" filled="false" stroked="false">
              <v:textbox inset="0,0,0,0">
                <w:txbxContent>
                  <w:p>
                    <w:pPr>
                      <w:spacing w:line="331" w:lineRule="auto" w:before="26"/>
                      <w:ind w:left="137" w:right="44" w:firstLine="0"/>
                      <w:jc w:val="left"/>
                      <w:rPr>
                        <w:rFonts w:ascii="Arial"/>
                        <w:sz w:val="11"/>
                      </w:rPr>
                    </w:pPr>
                    <w:r>
                      <w:rPr>
                        <w:rFonts w:ascii="Arial"/>
                        <w:w w:val="105"/>
                        <w:sz w:val="11"/>
                      </w:rPr>
                      <w:t>Cl difficile Rotavirus Campylobacter E coli Patogen</w:t>
                    </w:r>
                  </w:p>
                  <w:p>
                    <w:pPr>
                      <w:spacing w:line="331" w:lineRule="auto" w:before="0"/>
                      <w:ind w:left="137" w:right="249" w:firstLine="0"/>
                      <w:jc w:val="left"/>
                      <w:rPr>
                        <w:rFonts w:ascii="Arial"/>
                        <w:sz w:val="11"/>
                      </w:rPr>
                    </w:pPr>
                    <w:r>
                      <w:rPr>
                        <w:rFonts w:ascii="Arial"/>
                        <w:w w:val="105"/>
                        <w:sz w:val="11"/>
                      </w:rPr>
                      <w:t>Salmonella Shigella</w:t>
                    </w:r>
                  </w:p>
                </w:txbxContent>
              </v:textbox>
              <w10:wrap type="none"/>
            </v:shape>
            <w10:wrap type="none"/>
          </v:group>
        </w:pict>
      </w:r>
      <w:r>
        <w:rPr/>
        <w:pict>
          <v:shape style="position:absolute;margin-left:135.574249pt;margin-top:177.72139pt;width:8.6pt;height:52.9pt;mso-position-horizontal-relative:page;mso-position-vertical-relative:page;z-index:251871232"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 cazuri raportate</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16"/>
        </w:rPr>
      </w:pPr>
    </w:p>
    <w:p>
      <w:pPr>
        <w:spacing w:before="90"/>
        <w:ind w:left="233" w:right="1070" w:firstLine="0"/>
        <w:jc w:val="left"/>
        <w:rPr>
          <w:sz w:val="24"/>
        </w:rPr>
      </w:pPr>
      <w:r>
        <w:rPr/>
        <w:pict>
          <v:group style="position:absolute;margin-left:59.003071pt;margin-top:-272.422821pt;width:427.35pt;height:260.8500pt;mso-position-horizontal-relative:page;mso-position-vertical-relative:paragraph;z-index:251869184" coordorigin="1180,-5448" coordsize="8547,5217">
            <v:rect style="position:absolute;left:1180;top:-5448;width:8545;height:5215" filled="false" stroked="true" strokeweight=".082508pt" strokecolor="#000000">
              <v:stroke dashstyle="solid"/>
            </v:rect>
            <v:shape style="position:absolute;left:1183;top:-3761;width:11861;height:6792" coordorigin="1183,-3760" coordsize="11861,6792" path="m1832,-4838l8823,-4838,8823,-3006m8823,-2658l8823,-836,1832,-836,1832,-4838e" filled="false" stroked="true" strokeweight=".565811pt" strokecolor="#808080">
              <v:path arrowok="t"/>
              <v:stroke dashstyle="solid"/>
            </v:shape>
            <v:rect style="position:absolute;left:1881;top:-1991;width:204;height:1155" filled="true" fillcolor="#ffff99" stroked="false">
              <v:fill type="solid"/>
            </v:rect>
            <v:rect style="position:absolute;left:1881;top:-1991;width:204;height:1155" filled="false" stroked="true" strokeweight=".565892pt" strokecolor="#000000">
              <v:stroke dashstyle="solid"/>
            </v:rect>
            <v:rect style="position:absolute;left:2185;top:-2255;width:204;height:1419" filled="true" fillcolor="#ffff99" stroked="false">
              <v:fill type="solid"/>
            </v:rect>
            <v:rect style="position:absolute;left:2185;top:-2255;width:204;height:1419" filled="false" stroked="true" strokeweight=".565893pt" strokecolor="#000000">
              <v:stroke dashstyle="solid"/>
            </v:rect>
            <v:rect style="position:absolute;left:2489;top:-3021;width:203;height:2185" filled="true" fillcolor="#ffff99" stroked="false">
              <v:fill type="solid"/>
            </v:rect>
            <v:rect style="position:absolute;left:2489;top:-3021;width:203;height:2185" filled="false" stroked="true" strokeweight=".565895pt" strokecolor="#000000">
              <v:stroke dashstyle="solid"/>
            </v:rect>
            <v:rect style="position:absolute;left:2792;top:-3667;width:204;height:2831" filled="true" fillcolor="#ffff99" stroked="false">
              <v:fill type="solid"/>
            </v:rect>
            <v:rect style="position:absolute;left:2792;top:-3667;width:204;height:2831" filled="false" stroked="true" strokeweight=".565896pt" strokecolor="#000000">
              <v:stroke dashstyle="solid"/>
            </v:rect>
            <v:rect style="position:absolute;left:3096;top:-3932;width:204;height:3096" filled="true" fillcolor="#ffff99" stroked="false">
              <v:fill type="solid"/>
            </v:rect>
            <v:rect style="position:absolute;left:3096;top:-3932;width:204;height:3096" filled="false" stroked="true" strokeweight=".565896pt" strokecolor="#000000">
              <v:stroke dashstyle="solid"/>
            </v:rect>
            <v:rect style="position:absolute;left:3400;top:-3138;width:204;height:2302" filled="true" fillcolor="#ffff99" stroked="false">
              <v:fill type="solid"/>
            </v:rect>
            <v:rect style="position:absolute;left:3400;top:-3138;width:204;height:2302" filled="false" stroked="true" strokeweight=".565896pt" strokecolor="#000000">
              <v:stroke dashstyle="solid"/>
            </v:rect>
            <v:rect style="position:absolute;left:3705;top:-2755;width:204;height:1919" filled="true" fillcolor="#ffff99" stroked="false">
              <v:fill type="solid"/>
            </v:rect>
            <v:rect style="position:absolute;left:3705;top:-2755;width:204;height:1919" filled="false" stroked="true" strokeweight=".565895pt" strokecolor="#000000">
              <v:stroke dashstyle="solid"/>
            </v:rect>
            <v:rect style="position:absolute;left:4009;top:-4314;width:204;height:3478" filled="true" fillcolor="#ffff99" stroked="false">
              <v:fill type="solid"/>
            </v:rect>
            <v:rect style="position:absolute;left:4009;top:-4314;width:204;height:3478" filled="false" stroked="true" strokeweight=".565896pt" strokecolor="#000000">
              <v:stroke dashstyle="solid"/>
            </v:rect>
            <v:rect style="position:absolute;left:4313;top:-3872;width:203;height:3036" filled="true" fillcolor="#ffff99" stroked="false">
              <v:fill type="solid"/>
            </v:rect>
            <v:rect style="position:absolute;left:4313;top:-3872;width:203;height:3036" filled="false" stroked="true" strokeweight=".565896pt" strokecolor="#000000">
              <v:stroke dashstyle="solid"/>
            </v:rect>
            <v:rect style="position:absolute;left:4616;top:-4108;width:204;height:3273" filled="true" fillcolor="#ffff99" stroked="false">
              <v:fill type="solid"/>
            </v:rect>
            <v:rect style="position:absolute;left:4616;top:-4108;width:204;height:3273" filled="false" stroked="true" strokeweight=".565896pt" strokecolor="#000000">
              <v:stroke dashstyle="solid"/>
            </v:rect>
            <v:rect style="position:absolute;left:4920;top:-3550;width:204;height:2714" filled="true" fillcolor="#ffff99" stroked="false">
              <v:fill type="solid"/>
            </v:rect>
            <v:rect style="position:absolute;left:4920;top:-3550;width:204;height:2714" filled="false" stroked="true" strokeweight=".565896pt" strokecolor="#000000">
              <v:stroke dashstyle="solid"/>
            </v:rect>
            <v:rect style="position:absolute;left:5224;top:-3637;width:204;height:2801" filled="true" fillcolor="#ffff99" stroked="false">
              <v:fill type="solid"/>
            </v:rect>
            <v:rect style="position:absolute;left:5224;top:-3637;width:204;height:2801" filled="false" stroked="true" strokeweight=".565896pt" strokecolor="#000000">
              <v:stroke dashstyle="solid"/>
            </v:rect>
            <v:rect style="position:absolute;left:5528;top:-3255;width:204;height:2420" filled="true" fillcolor="#ffff99" stroked="false">
              <v:fill type="solid"/>
            </v:rect>
            <v:rect style="position:absolute;left:5528;top:-3255;width:204;height:2420" filled="false" stroked="true" strokeweight=".565896pt" strokecolor="#000000">
              <v:stroke dashstyle="solid"/>
            </v:rect>
            <v:rect style="position:absolute;left:5833;top:-3726;width:204;height:2891" filled="true" fillcolor="#ffff99" stroked="false">
              <v:fill type="solid"/>
            </v:rect>
            <v:rect style="position:absolute;left:5833;top:-3726;width:204;height:2891" filled="false" stroked="true" strokeweight=".565896pt" strokecolor="#000000">
              <v:stroke dashstyle="solid"/>
            </v:rect>
            <v:rect style="position:absolute;left:6137;top:-3343;width:203;height:2507" filled="true" fillcolor="#ffff99" stroked="false">
              <v:fill type="solid"/>
            </v:rect>
            <v:rect style="position:absolute;left:6137;top:-3343;width:203;height:2507" filled="false" stroked="true" strokeweight=".565896pt" strokecolor="#000000">
              <v:stroke dashstyle="solid"/>
            </v:rect>
            <v:rect style="position:absolute;left:6440;top:-2579;width:204;height:1743" filled="true" fillcolor="#ffff99" stroked="false">
              <v:fill type="solid"/>
            </v:rect>
            <v:rect style="position:absolute;left:6440;top:-2579;width:204;height:1743" filled="false" stroked="true" strokeweight=".565895pt" strokecolor="#000000">
              <v:stroke dashstyle="solid"/>
            </v:rect>
            <v:rect style="position:absolute;left:6744;top:-3313;width:204;height:2478" filled="true" fillcolor="#ffff99" stroked="false">
              <v:fill type="solid"/>
            </v:rect>
            <v:rect style="position:absolute;left:6744;top:-3313;width:204;height:2478" filled="false" stroked="true" strokeweight=".565896pt" strokecolor="#000000">
              <v:stroke dashstyle="solid"/>
            </v:rect>
            <v:rect style="position:absolute;left:7048;top:-1903;width:204;height:1067" filled="true" fillcolor="#ffff99" stroked="false">
              <v:fill type="solid"/>
            </v:rect>
            <v:rect style="position:absolute;left:7048;top:-1903;width:204;height:1067" filled="false" stroked="true" strokeweight=".565891pt" strokecolor="#000000">
              <v:stroke dashstyle="solid"/>
            </v:rect>
            <v:rect style="position:absolute;left:7352;top:-3196;width:204;height:2360" filled="true" fillcolor="#ffff99" stroked="false">
              <v:fill type="solid"/>
            </v:rect>
            <v:rect style="position:absolute;left:7352;top:-3196;width:204;height:2360" filled="false" stroked="true" strokeweight=".565896pt" strokecolor="#000000">
              <v:stroke dashstyle="solid"/>
            </v:rect>
            <v:rect style="position:absolute;left:7656;top:-2726;width:204;height:1890" filled="true" fillcolor="#ffff99" stroked="false">
              <v:fill type="solid"/>
            </v:rect>
            <v:rect style="position:absolute;left:7656;top:-2726;width:204;height:1890" filled="false" stroked="true" strokeweight=".565895pt" strokecolor="#000000">
              <v:stroke dashstyle="solid"/>
            </v:rect>
            <v:rect style="position:absolute;left:7961;top:-2637;width:203;height:1801" filled="true" fillcolor="#ffff99" stroked="false">
              <v:fill type="solid"/>
            </v:rect>
            <v:rect style="position:absolute;left:7961;top:-2637;width:203;height:1801" filled="false" stroked="true" strokeweight=".565895pt" strokecolor="#000000">
              <v:stroke dashstyle="solid"/>
            </v:rect>
            <v:rect style="position:absolute;left:8264;top:-3079;width:204;height:2243" filled="true" fillcolor="#ffff99" stroked="false">
              <v:fill type="solid"/>
            </v:rect>
            <v:rect style="position:absolute;left:8264;top:-3079;width:204;height:2243" filled="false" stroked="true" strokeweight=".565896pt" strokecolor="#000000">
              <v:stroke dashstyle="solid"/>
            </v:rect>
            <v:rect style="position:absolute;left:8568;top:-1314;width:204;height:479" filled="true" fillcolor="#ffff99" stroked="false">
              <v:fill type="solid"/>
            </v:rect>
            <v:rect style="position:absolute;left:8568;top:-1314;width:204;height:479" filled="false" stroked="true" strokeweight=".565871pt" strokecolor="#000000">
              <v:stroke dashstyle="solid"/>
            </v:rect>
            <v:shape style="position:absolute;left:1124;top:-3760;width:11921;height:6852" coordorigin="1124,-3759" coordsize="11921,6852" path="m1832,-4837l1832,-837m1797,-835l1866,-835m1797,-1407l1866,-1407m1797,-1978l1866,-1978m1797,-2550l1866,-2550m1797,-3123l1866,-3123m1797,-3694l1866,-3694m1797,-4266l1866,-4266m1797,-4837l1866,-4837m1832,-835l8822,-835m1832,-800l1832,-869m2137,-800l2137,-869m2441,-800l2441,-869m2744,-800l2744,-869m3048,-800l3048,-869m3352,-800l3352,-869m3656,-800l3656,-869m3960,-800l3960,-869m4265,-800l4265,-869m4568,-800l4568,-869m4872,-800l4872,-869m5176,-800l5176,-869m5480,-800l5480,-869m5784,-800l5784,-869m6089,-800l6089,-869m6392,-800l6392,-869m6696,-800l6696,-869m7000,-800l7000,-869m7304,-800l7304,-869m7608,-800l7608,-869m7913,-800l7913,-869m8215,-800l8215,-869m8520,-800l8520,-869m8824,-800l8824,-869e" filled="false" stroked="true" strokeweight=".082514pt" strokecolor="#000000">
              <v:path arrowok="t"/>
              <v:stroke dashstyle="solid"/>
            </v:shape>
            <v:line style="position:absolute" from="1977,-4381" to="8373,-4381" stroked="true" strokeweight=".565725pt" strokecolor="#000080">
              <v:stroke dashstyle="solid"/>
            </v:line>
            <v:shape style="position:absolute;left:1953;top:-4411;width:60;height:60" coordorigin="1953,-4411" coordsize="60,60" path="m1983,-4411l1953,-4381,1983,-4351,2013,-4381,1983,-4411xe" filled="true" fillcolor="#000080" stroked="false">
              <v:path arrowok="t"/>
              <v:fill type="solid"/>
            </v:shape>
            <v:shape style="position:absolute;left:1953;top:-4411;width:60;height:60" coordorigin="1953,-4411" coordsize="60,60" path="m1983,-4411l2013,-4381,1983,-4351,1953,-4381,1983,-4411xe" filled="false" stroked="true" strokeweight=".565811pt" strokecolor="#000080">
              <v:path arrowok="t"/>
              <v:stroke dashstyle="solid"/>
            </v:shape>
            <v:shape style="position:absolute;left:2257;top:-4411;width:60;height:60" coordorigin="2258,-4411" coordsize="60,60" path="m2287,-4411l2258,-4381,2287,-4351,2317,-4381,2287,-4411xe" filled="true" fillcolor="#000080" stroked="false">
              <v:path arrowok="t"/>
              <v:fill type="solid"/>
            </v:shape>
            <v:shape style="position:absolute;left:2257;top:-4411;width:60;height:60" coordorigin="2258,-4411" coordsize="60,60" path="m2287,-4411l2317,-4381,2287,-4351,2258,-4381,2287,-4411xe" filled="false" stroked="true" strokeweight=".565811pt" strokecolor="#000080">
              <v:path arrowok="t"/>
              <v:stroke dashstyle="solid"/>
            </v:shape>
            <v:shape style="position:absolute;left:2561;top:-4411;width:60;height:60" coordorigin="2562,-4411" coordsize="60,60" path="m2592,-4411l2562,-4381,2592,-4351,2621,-4381,2592,-4411xe" filled="true" fillcolor="#000080" stroked="false">
              <v:path arrowok="t"/>
              <v:fill type="solid"/>
            </v:shape>
            <v:shape style="position:absolute;left:2561;top:-4411;width:60;height:60" coordorigin="2562,-4411" coordsize="60,60" path="m2592,-4411l2621,-4381,2592,-4351,2562,-4381,2592,-4411xe" filled="false" stroked="true" strokeweight=".565811pt" strokecolor="#000080">
              <v:path arrowok="t"/>
              <v:stroke dashstyle="solid"/>
            </v:shape>
            <v:shape style="position:absolute;left:2866;top:-4411;width:60;height:60" coordorigin="2866,-4411" coordsize="60,60" path="m2896,-4411l2866,-4381,2896,-4351,2925,-4381,2896,-4411xe" filled="true" fillcolor="#000080" stroked="false">
              <v:path arrowok="t"/>
              <v:fill type="solid"/>
            </v:shape>
            <v:shape style="position:absolute;left:2866;top:-4411;width:60;height:60" coordorigin="2866,-4411" coordsize="60,60" path="m2896,-4411l2925,-4381,2896,-4351,2866,-4381,2896,-4411xe" filled="false" stroked="true" strokeweight=".565811pt" strokecolor="#000080">
              <v:path arrowok="t"/>
              <v:stroke dashstyle="solid"/>
            </v:shape>
            <v:shape style="position:absolute;left:3170;top:-4411;width:60;height:60" coordorigin="3170,-4411" coordsize="60,60" path="m3200,-4411l3170,-4381,3200,-4351,3230,-4381,3200,-4411xe" filled="true" fillcolor="#000080" stroked="false">
              <v:path arrowok="t"/>
              <v:fill type="solid"/>
            </v:shape>
            <v:shape style="position:absolute;left:3170;top:-4411;width:60;height:60" coordorigin="3170,-4411" coordsize="60,60" path="m3200,-4411l3230,-4381,3200,-4351,3170,-4381,3200,-4411xe" filled="false" stroked="true" strokeweight=".565811pt" strokecolor="#000080">
              <v:path arrowok="t"/>
              <v:stroke dashstyle="solid"/>
            </v:shape>
            <v:shape style="position:absolute;left:3474;top:-4411;width:60;height:60" coordorigin="3474,-4411" coordsize="60,60" path="m3504,-4411l3474,-4381,3504,-4351,3534,-4381,3504,-4411xe" filled="true" fillcolor="#000080" stroked="false">
              <v:path arrowok="t"/>
              <v:fill type="solid"/>
            </v:shape>
            <v:shape style="position:absolute;left:3474;top:-4411;width:60;height:60" coordorigin="3474,-4411" coordsize="60,60" path="m3504,-4411l3534,-4381,3504,-4351,3474,-4381,3504,-4411xe" filled="false" stroked="true" strokeweight=".565811pt" strokecolor="#000080">
              <v:path arrowok="t"/>
              <v:stroke dashstyle="solid"/>
            </v:shape>
            <v:shape style="position:absolute;left:3777;top:-4411;width:60;height:60" coordorigin="3777,-4411" coordsize="60,60" path="m3807,-4411l3777,-4381,3807,-4351,3837,-4381,3807,-4411xe" filled="true" fillcolor="#000080" stroked="false">
              <v:path arrowok="t"/>
              <v:fill type="solid"/>
            </v:shape>
            <v:shape style="position:absolute;left:3777;top:-4411;width:60;height:60" coordorigin="3777,-4411" coordsize="60,60" path="m3807,-4411l3837,-4381,3807,-4351,3777,-4381,3807,-4411xe" filled="false" stroked="true" strokeweight=".565811pt" strokecolor="#000080">
              <v:path arrowok="t"/>
              <v:stroke dashstyle="solid"/>
            </v:shape>
            <v:shape style="position:absolute;left:4081;top:-4411;width:60;height:60" coordorigin="4082,-4411" coordsize="60,60" path="m4111,-4411l4082,-4381,4111,-4351,4141,-4381,4111,-4411xe" filled="true" fillcolor="#000080" stroked="false">
              <v:path arrowok="t"/>
              <v:fill type="solid"/>
            </v:shape>
            <v:shape style="position:absolute;left:4081;top:-4411;width:60;height:60" coordorigin="4082,-4411" coordsize="60,60" path="m4111,-4411l4141,-4381,4111,-4351,4082,-4381,4111,-4411xe" filled="false" stroked="true" strokeweight=".565811pt" strokecolor="#000080">
              <v:path arrowok="t"/>
              <v:stroke dashstyle="solid"/>
            </v:shape>
            <v:shape style="position:absolute;left:4385;top:-4411;width:60;height:60" coordorigin="4386,-4411" coordsize="60,60" path="m4416,-4411l4386,-4381,4416,-4351,4445,-4381,4416,-4411xe" filled="true" fillcolor="#000080" stroked="false">
              <v:path arrowok="t"/>
              <v:fill type="solid"/>
            </v:shape>
            <v:shape style="position:absolute;left:4385;top:-4411;width:60;height:60" coordorigin="4386,-4411" coordsize="60,60" path="m4416,-4411l4445,-4381,4416,-4351,4386,-4381,4416,-4411xe" filled="false" stroked="true" strokeweight=".565811pt" strokecolor="#000080">
              <v:path arrowok="t"/>
              <v:stroke dashstyle="solid"/>
            </v:shape>
            <v:shape style="position:absolute;left:4690;top:-4411;width:60;height:60" coordorigin="4690,-4411" coordsize="60,60" path="m4720,-4411l4690,-4381,4720,-4351,4749,-4381,4720,-4411xe" filled="true" fillcolor="#000080" stroked="false">
              <v:path arrowok="t"/>
              <v:fill type="solid"/>
            </v:shape>
            <v:shape style="position:absolute;left:4690;top:-4411;width:60;height:60" coordorigin="4690,-4411" coordsize="60,60" path="m4720,-4411l4749,-4381,4720,-4351,4690,-4381,4720,-4411xe" filled="false" stroked="true" strokeweight=".565811pt" strokecolor="#000080">
              <v:path arrowok="t"/>
              <v:stroke dashstyle="solid"/>
            </v:shape>
            <v:shape style="position:absolute;left:4994;top:-4411;width:60;height:60" coordorigin="4994,-4411" coordsize="60,60" path="m5024,-4411l4994,-4381,5024,-4351,5054,-4381,5024,-4411xe" filled="true" fillcolor="#000080" stroked="false">
              <v:path arrowok="t"/>
              <v:fill type="solid"/>
            </v:shape>
            <v:shape style="position:absolute;left:4994;top:-4411;width:60;height:60" coordorigin="4994,-4411" coordsize="60,60" path="m5024,-4411l5054,-4381,5024,-4351,4994,-4381,5024,-4411xe" filled="false" stroked="true" strokeweight=".565811pt" strokecolor="#000080">
              <v:path arrowok="t"/>
              <v:stroke dashstyle="solid"/>
            </v:shape>
            <v:shape style="position:absolute;left:5298;top:-4411;width:60;height:60" coordorigin="5298,-4411" coordsize="60,60" path="m5328,-4411l5298,-4381,5328,-4351,5358,-4381,5328,-4411xe" filled="true" fillcolor="#000080" stroked="false">
              <v:path arrowok="t"/>
              <v:fill type="solid"/>
            </v:shape>
            <v:shape style="position:absolute;left:5298;top:-4411;width:60;height:60" coordorigin="5298,-4411" coordsize="60,60" path="m5328,-4411l5358,-4381,5328,-4351,5298,-4381,5328,-4411xe" filled="false" stroked="true" strokeweight=".565811pt" strokecolor="#000080">
              <v:path arrowok="t"/>
              <v:stroke dashstyle="solid"/>
            </v:shape>
            <v:shape style="position:absolute;left:5601;top:-4411;width:60;height:60" coordorigin="5601,-4411" coordsize="60,60" path="m5631,-4411l5601,-4381,5631,-4351,5661,-4381,5631,-4411xe" filled="true" fillcolor="#000080" stroked="false">
              <v:path arrowok="t"/>
              <v:fill type="solid"/>
            </v:shape>
            <v:shape style="position:absolute;left:5601;top:-4411;width:60;height:60" coordorigin="5601,-4411" coordsize="60,60" path="m5631,-4411l5661,-4381,5631,-4351,5601,-4381,5631,-4411xe" filled="false" stroked="true" strokeweight=".565811pt" strokecolor="#000080">
              <v:path arrowok="t"/>
              <v:stroke dashstyle="solid"/>
            </v:shape>
            <v:shape style="position:absolute;left:5905;top:-4411;width:60;height:60" coordorigin="5905,-4411" coordsize="60,60" path="m5935,-4411l5905,-4381,5935,-4351,5965,-4381,5935,-4411xe" filled="true" fillcolor="#000080" stroked="false">
              <v:path arrowok="t"/>
              <v:fill type="solid"/>
            </v:shape>
            <v:shape style="position:absolute;left:5905;top:-4411;width:60;height:60" coordorigin="5905,-4411" coordsize="60,60" path="m5935,-4411l5965,-4381,5935,-4351,5905,-4381,5935,-4411xe" filled="false" stroked="true" strokeweight=".565811pt" strokecolor="#000080">
              <v:path arrowok="t"/>
              <v:stroke dashstyle="solid"/>
            </v:shape>
            <v:shape style="position:absolute;left:6209;top:-4411;width:60;height:60" coordorigin="6210,-4411" coordsize="60,60" path="m6239,-4411l6210,-4381,6239,-4351,6269,-4381,6239,-4411xe" filled="true" fillcolor="#000080" stroked="false">
              <v:path arrowok="t"/>
              <v:fill type="solid"/>
            </v:shape>
            <v:shape style="position:absolute;left:6209;top:-4411;width:60;height:60" coordorigin="6210,-4411" coordsize="60,60" path="m6239,-4411l6269,-4381,6239,-4351,6210,-4381,6239,-4411xe" filled="false" stroked="true" strokeweight=".565811pt" strokecolor="#000080">
              <v:path arrowok="t"/>
              <v:stroke dashstyle="solid"/>
            </v:shape>
            <v:shape style="position:absolute;left:6513;top:-4411;width:60;height:60" coordorigin="6514,-4411" coordsize="60,60" path="m6544,-4411l6514,-4381,6544,-4351,6573,-4381,6544,-4411xe" filled="true" fillcolor="#000080" stroked="false">
              <v:path arrowok="t"/>
              <v:fill type="solid"/>
            </v:shape>
            <v:shape style="position:absolute;left:6513;top:-4411;width:60;height:60" coordorigin="6514,-4411" coordsize="60,60" path="m6544,-4411l6573,-4381,6544,-4351,6514,-4381,6544,-4411xe" filled="false" stroked="true" strokeweight=".565811pt" strokecolor="#000080">
              <v:path arrowok="t"/>
              <v:stroke dashstyle="solid"/>
            </v:shape>
            <v:shape style="position:absolute;left:6818;top:-4411;width:60;height:60" coordorigin="6818,-4411" coordsize="60,60" path="m6848,-4411l6818,-4381,6848,-4351,6877,-4381,6848,-4411xe" filled="true" fillcolor="#000080" stroked="false">
              <v:path arrowok="t"/>
              <v:fill type="solid"/>
            </v:shape>
            <v:shape style="position:absolute;left:6818;top:-4411;width:60;height:60" coordorigin="6818,-4411" coordsize="60,60" path="m6848,-4411l6877,-4381,6848,-4351,6818,-4381,6848,-4411xe" filled="false" stroked="true" strokeweight=".565811pt" strokecolor="#000080">
              <v:path arrowok="t"/>
              <v:stroke dashstyle="solid"/>
            </v:shape>
            <v:shape style="position:absolute;left:7120;top:-4411;width:60;height:60" coordorigin="7121,-4411" coordsize="60,60" path="m7151,-4411l7121,-4381,7151,-4351,7180,-4381,7151,-4411xe" filled="true" fillcolor="#000080" stroked="false">
              <v:path arrowok="t"/>
              <v:fill type="solid"/>
            </v:shape>
            <v:shape style="position:absolute;left:7120;top:-4411;width:60;height:60" coordorigin="7121,-4411" coordsize="60,60" path="m7151,-4411l7180,-4381,7151,-4351,7121,-4381,7151,-4411xe" filled="false" stroked="true" strokeweight=".565811pt" strokecolor="#000080">
              <v:path arrowok="t"/>
              <v:stroke dashstyle="solid"/>
            </v:shape>
            <v:shape style="position:absolute;left:7424;top:-4411;width:60;height:60" coordorigin="7425,-4411" coordsize="60,60" path="m7455,-4411l7425,-4381,7455,-4351,7484,-4381,7455,-4411xe" filled="true" fillcolor="#000080" stroked="false">
              <v:path arrowok="t"/>
              <v:fill type="solid"/>
            </v:shape>
            <v:shape style="position:absolute;left:7424;top:-4411;width:60;height:60" coordorigin="7425,-4411" coordsize="60,60" path="m7455,-4411l7484,-4381,7455,-4351,7425,-4381,7455,-4411xe" filled="false" stroked="true" strokeweight=".565811pt" strokecolor="#000080">
              <v:path arrowok="t"/>
              <v:stroke dashstyle="solid"/>
            </v:shape>
            <v:shape style="position:absolute;left:7729;top:-4411;width:60;height:60" coordorigin="7729,-4411" coordsize="60,60" path="m7759,-4411l7729,-4381,7759,-4351,7789,-4381,7759,-4411xe" filled="true" fillcolor="#000080" stroked="false">
              <v:path arrowok="t"/>
              <v:fill type="solid"/>
            </v:shape>
            <v:shape style="position:absolute;left:7729;top:-4411;width:60;height:60" coordorigin="7729,-4411" coordsize="60,60" path="m7759,-4411l7789,-4381,7759,-4351,7729,-4381,7759,-4411xe" filled="false" stroked="true" strokeweight=".565811pt" strokecolor="#000080">
              <v:path arrowok="t"/>
              <v:stroke dashstyle="solid"/>
            </v:shape>
            <v:shape style="position:absolute;left:8033;top:-4411;width:60;height:60" coordorigin="8034,-4411" coordsize="60,60" path="m8063,-4411l8034,-4381,8063,-4351,8093,-4381,8063,-4411xe" filled="true" fillcolor="#000080" stroked="false">
              <v:path arrowok="t"/>
              <v:fill type="solid"/>
            </v:shape>
            <v:shape style="position:absolute;left:8033;top:-4411;width:60;height:60" coordorigin="8034,-4411" coordsize="60,60" path="m8063,-4411l8093,-4381,8063,-4351,8034,-4381,8063,-4411xe" filled="false" stroked="true" strokeweight=".565811pt" strokecolor="#000080">
              <v:path arrowok="t"/>
              <v:stroke dashstyle="solid"/>
            </v:shape>
            <v:shape style="position:absolute;left:8337;top:-4411;width:60;height:60" coordorigin="8338,-4411" coordsize="60,60" path="m8368,-4411l8338,-4381,8368,-4351,8397,-4381,8368,-4411xe" filled="true" fillcolor="#000080" stroked="false">
              <v:path arrowok="t"/>
              <v:fill type="solid"/>
            </v:shape>
            <v:shape style="position:absolute;left:8337;top:-4411;width:60;height:60" coordorigin="8338,-4411" coordsize="60,60" path="m8368,-4411l8397,-4381,8368,-4351,8338,-4381,8368,-4411xe" filled="false" stroked="true" strokeweight=".565811pt" strokecolor="#000080">
              <v:path arrowok="t"/>
              <v:stroke dashstyle="solid"/>
            </v:shape>
            <v:rect style="position:absolute;left:8700;top:-3006;width:804;height:349" filled="true" fillcolor="#ffffff" stroked="false">
              <v:fill type="solid"/>
            </v:rect>
            <v:rect style="position:absolute;left:8700;top:-3006;width:804;height:349" filled="false" stroked="true" strokeweight=".082506pt" strokecolor="#000000">
              <v:stroke dashstyle="solid"/>
            </v:rect>
            <v:line style="position:absolute" from="8740,-2917" to="8974,-2917" stroked="true" strokeweight="3.535781pt" strokecolor="#ffff99">
              <v:stroke dashstyle="solid"/>
            </v:line>
            <v:rect style="position:absolute;left:8739;top:-2953;width:235;height:71" filled="false" stroked="true" strokeweight=".565739pt" strokecolor="#000000">
              <v:stroke dashstyle="solid"/>
            </v:rect>
            <v:line style="position:absolute" from="8740,-2743" to="8976,-2743" stroked="true" strokeweight=".565725pt" strokecolor="#000080">
              <v:stroke dashstyle="solid"/>
            </v:line>
            <v:shape style="position:absolute;left:8827;top:-2773;width:60;height:60" coordorigin="8827,-2773" coordsize="60,60" path="m8857,-2773l8827,-2743,8857,-2713,8887,-2743,8857,-2773xe" filled="true" fillcolor="#000080" stroked="false">
              <v:path arrowok="t"/>
              <v:fill type="solid"/>
            </v:shape>
            <v:shape style="position:absolute;left:8827;top:-2773;width:60;height:60" coordorigin="8827,-2773" coordsize="60,60" path="m8857,-2773l8887,-2743,8857,-2713,8827,-2743,8857,-2773xe" filled="false" stroked="true" strokeweight=".565811pt" strokecolor="#000080">
              <v:path arrowok="t"/>
              <v:stroke dashstyle="solid"/>
            </v:shape>
            <v:rect style="position:absolute;left:1180;top:-5448;width:8545;height:5215" filled="false" stroked="true" strokeweight=".082508pt" strokecolor="#000000">
              <v:stroke dashstyle="solid"/>
            </v:rect>
            <v:rect style="position:absolute;left:2084;top:-4952;width:3942;height:254" filled="true" fillcolor="#ffcc99" stroked="false">
              <v:fill type="solid"/>
            </v:rect>
            <v:rect style="position:absolute;left:2084;top:-4952;width:3942;height:254" filled="false" stroked="true" strokeweight=".441973pt" strokecolor="#800080">
              <v:stroke dashstyle="solid"/>
            </v:rect>
            <v:shape style="position:absolute;left:1879;top:-738;width:6918;height:334" type="#_x0000_t202" filled="false" stroked="false">
              <v:textbox inset="0,0,0,0">
                <w:txbxContent>
                  <w:p>
                    <w:pPr>
                      <w:spacing w:before="3"/>
                      <w:ind w:left="713" w:right="731" w:firstLine="0"/>
                      <w:jc w:val="center"/>
                      <w:rPr>
                        <w:rFonts w:ascii="Arial"/>
                        <w:sz w:val="11"/>
                      </w:rPr>
                    </w:pPr>
                    <w:r>
                      <w:rPr>
                        <w:rFonts w:ascii="Arial"/>
                        <w:w w:val="105"/>
                        <w:sz w:val="11"/>
                      </w:rPr>
                      <w:t>S22 S23 S24 S25 S26 S27 S28 S29 S30 S31 S32 S33 S34 S35 S36 S37 S38 S39 S40 S41 S42 S43 S44</w:t>
                    </w:r>
                  </w:p>
                  <w:p>
                    <w:pPr>
                      <w:spacing w:before="76"/>
                      <w:ind w:left="710" w:right="731" w:firstLine="0"/>
                      <w:jc w:val="center"/>
                      <w:rPr>
                        <w:rFonts w:ascii="Arial"/>
                        <w:b/>
                        <w:sz w:val="11"/>
                      </w:rPr>
                    </w:pPr>
                    <w:r>
                      <w:rPr>
                        <w:rFonts w:ascii="Arial"/>
                        <w:b/>
                        <w:w w:val="105"/>
                        <w:sz w:val="11"/>
                      </w:rPr>
                      <w:t>Rang saptamana</w:t>
                    </w:r>
                  </w:p>
                </w:txbxContent>
              </v:textbox>
              <w10:wrap type="none"/>
            </v:shape>
            <v:shape style="position:absolute;left:1581;top:-906;width:183;height:132" type="#_x0000_t202" filled="false" stroked="false">
              <v:textbox inset="0,0,0,0">
                <w:txbxContent>
                  <w:p>
                    <w:pPr>
                      <w:spacing w:before="3"/>
                      <w:ind w:left="0" w:right="0" w:firstLine="0"/>
                      <w:jc w:val="left"/>
                      <w:rPr>
                        <w:rFonts w:ascii="Arial"/>
                        <w:sz w:val="11"/>
                      </w:rPr>
                    </w:pPr>
                    <w:r>
                      <w:rPr>
                        <w:rFonts w:ascii="Arial"/>
                        <w:w w:val="105"/>
                        <w:sz w:val="11"/>
                      </w:rPr>
                      <w:t>4.0</w:t>
                    </w:r>
                  </w:p>
                </w:txbxContent>
              </v:textbox>
              <w10:wrap type="none"/>
            </v:shape>
            <v:shape style="position:absolute;left:1581;top:-1477;width:183;height:132" type="#_x0000_t202" filled="false" stroked="false">
              <v:textbox inset="0,0,0,0">
                <w:txbxContent>
                  <w:p>
                    <w:pPr>
                      <w:spacing w:before="3"/>
                      <w:ind w:left="0" w:right="0" w:firstLine="0"/>
                      <w:jc w:val="left"/>
                      <w:rPr>
                        <w:rFonts w:ascii="Arial"/>
                        <w:sz w:val="11"/>
                      </w:rPr>
                    </w:pPr>
                    <w:r>
                      <w:rPr>
                        <w:rFonts w:ascii="Arial"/>
                        <w:w w:val="105"/>
                        <w:sz w:val="11"/>
                      </w:rPr>
                      <w:t>5.0</w:t>
                    </w:r>
                  </w:p>
                </w:txbxContent>
              </v:textbox>
              <w10:wrap type="none"/>
            </v:shape>
            <v:shape style="position:absolute;left:1581;top:-2049;width:183;height:132" type="#_x0000_t202" filled="false" stroked="false">
              <v:textbox inset="0,0,0,0">
                <w:txbxContent>
                  <w:p>
                    <w:pPr>
                      <w:spacing w:before="3"/>
                      <w:ind w:left="0" w:right="0" w:firstLine="0"/>
                      <w:jc w:val="left"/>
                      <w:rPr>
                        <w:rFonts w:ascii="Arial"/>
                        <w:sz w:val="11"/>
                      </w:rPr>
                    </w:pPr>
                    <w:r>
                      <w:rPr>
                        <w:rFonts w:ascii="Arial"/>
                        <w:w w:val="105"/>
                        <w:sz w:val="11"/>
                      </w:rPr>
                      <w:t>6.0</w:t>
                    </w:r>
                  </w:p>
                </w:txbxContent>
              </v:textbox>
              <w10:wrap type="none"/>
            </v:shape>
            <v:shape style="position:absolute;left:1581;top:-2620;width:183;height:132" type="#_x0000_t202" filled="false" stroked="false">
              <v:textbox inset="0,0,0,0">
                <w:txbxContent>
                  <w:p>
                    <w:pPr>
                      <w:spacing w:before="3"/>
                      <w:ind w:left="0" w:right="0" w:firstLine="0"/>
                      <w:jc w:val="left"/>
                      <w:rPr>
                        <w:rFonts w:ascii="Arial"/>
                        <w:sz w:val="11"/>
                      </w:rPr>
                    </w:pPr>
                    <w:r>
                      <w:rPr>
                        <w:rFonts w:ascii="Arial"/>
                        <w:w w:val="105"/>
                        <w:sz w:val="11"/>
                      </w:rPr>
                      <w:t>7.0</w:t>
                    </w:r>
                  </w:p>
                </w:txbxContent>
              </v:textbox>
              <w10:wrap type="none"/>
            </v:shape>
            <v:shape style="position:absolute;left:9002;top:-2983;width:476;height:306" type="#_x0000_t202" filled="false" stroked="false">
              <v:textbox inset="0,0,0,0">
                <w:txbxContent>
                  <w:p>
                    <w:pPr>
                      <w:spacing w:before="3"/>
                      <w:ind w:left="0" w:right="0" w:firstLine="0"/>
                      <w:jc w:val="left"/>
                      <w:rPr>
                        <w:rFonts w:ascii="Arial"/>
                        <w:sz w:val="11"/>
                      </w:rPr>
                    </w:pPr>
                    <w:r>
                      <w:rPr>
                        <w:rFonts w:ascii="Arial"/>
                        <w:w w:val="105"/>
                        <w:sz w:val="11"/>
                      </w:rPr>
                      <w:t>Mo</w:t>
                    </w:r>
                    <w:r>
                      <w:rPr>
                        <w:rFonts w:ascii="Arial"/>
                        <w:spacing w:val="1"/>
                        <w:w w:val="105"/>
                        <w:sz w:val="11"/>
                      </w:rPr>
                      <w:t> </w:t>
                    </w:r>
                    <w:r>
                      <w:rPr>
                        <w:rFonts w:ascii="Arial"/>
                        <w:w w:val="105"/>
                        <w:sz w:val="11"/>
                      </w:rPr>
                      <w:t>2017</w:t>
                    </w:r>
                  </w:p>
                  <w:p>
                    <w:pPr>
                      <w:spacing w:before="48"/>
                      <w:ind w:left="0" w:right="0" w:firstLine="0"/>
                      <w:jc w:val="left"/>
                      <w:rPr>
                        <w:rFonts w:ascii="Arial"/>
                        <w:sz w:val="11"/>
                      </w:rPr>
                    </w:pPr>
                    <w:r>
                      <w:rPr>
                        <w:rFonts w:ascii="Arial"/>
                        <w:w w:val="105"/>
                        <w:sz w:val="11"/>
                      </w:rPr>
                      <w:t>EpiPrag</w:t>
                    </w:r>
                  </w:p>
                </w:txbxContent>
              </v:textbox>
              <w10:wrap type="none"/>
            </v:shape>
            <v:shape style="position:absolute;left:1581;top:-3193;width:183;height:132" type="#_x0000_t202" filled="false" stroked="false">
              <v:textbox inset="0,0,0,0">
                <w:txbxContent>
                  <w:p>
                    <w:pPr>
                      <w:spacing w:before="3"/>
                      <w:ind w:left="0" w:right="0" w:firstLine="0"/>
                      <w:jc w:val="left"/>
                      <w:rPr>
                        <w:rFonts w:ascii="Arial"/>
                        <w:sz w:val="11"/>
                      </w:rPr>
                    </w:pPr>
                    <w:r>
                      <w:rPr>
                        <w:rFonts w:ascii="Arial"/>
                        <w:w w:val="105"/>
                        <w:sz w:val="11"/>
                      </w:rPr>
                      <w:t>8.0</w:t>
                    </w:r>
                  </w:p>
                </w:txbxContent>
              </v:textbox>
              <w10:wrap type="none"/>
            </v:shape>
            <v:shape style="position:absolute;left:1581;top:-3765;width:183;height:132" type="#_x0000_t202" filled="false" stroked="false">
              <v:textbox inset="0,0,0,0">
                <w:txbxContent>
                  <w:p>
                    <w:pPr>
                      <w:spacing w:before="3"/>
                      <w:ind w:left="0" w:right="0" w:firstLine="0"/>
                      <w:jc w:val="left"/>
                      <w:rPr>
                        <w:rFonts w:ascii="Arial"/>
                        <w:sz w:val="11"/>
                      </w:rPr>
                    </w:pPr>
                    <w:r>
                      <w:rPr>
                        <w:rFonts w:ascii="Arial"/>
                        <w:w w:val="105"/>
                        <w:sz w:val="11"/>
                      </w:rPr>
                      <w:t>9.0</w:t>
                    </w:r>
                  </w:p>
                </w:txbxContent>
              </v:textbox>
              <w10:wrap type="none"/>
            </v:shape>
            <v:shape style="position:absolute;left:1516;top:-4336;width:248;height:132" type="#_x0000_t202" filled="false" stroked="false">
              <v:textbox inset="0,0,0,0">
                <w:txbxContent>
                  <w:p>
                    <w:pPr>
                      <w:spacing w:before="3"/>
                      <w:ind w:left="0" w:right="0" w:firstLine="0"/>
                      <w:jc w:val="left"/>
                      <w:rPr>
                        <w:rFonts w:ascii="Arial"/>
                        <w:sz w:val="11"/>
                      </w:rPr>
                    </w:pPr>
                    <w:r>
                      <w:rPr>
                        <w:rFonts w:ascii="Arial"/>
                        <w:w w:val="105"/>
                        <w:sz w:val="11"/>
                      </w:rPr>
                      <w:t>10.0</w:t>
                    </w:r>
                  </w:p>
                </w:txbxContent>
              </v:textbox>
              <w10:wrap type="none"/>
            </v:shape>
            <v:shape style="position:absolute;left:2189;top:-4940;width:3749;height:132" type="#_x0000_t202" filled="false" stroked="false">
              <v:textbox inset="0,0,0,0">
                <w:txbxContent>
                  <w:p>
                    <w:pPr>
                      <w:spacing w:before="3"/>
                      <w:ind w:left="0" w:right="0" w:firstLine="0"/>
                      <w:jc w:val="left"/>
                      <w:rPr>
                        <w:rFonts w:ascii="Arial"/>
                        <w:b/>
                        <w:sz w:val="11"/>
                      </w:rPr>
                    </w:pPr>
                    <w:r>
                      <w:rPr>
                        <w:rFonts w:ascii="Arial"/>
                        <w:b/>
                        <w:w w:val="105"/>
                        <w:sz w:val="11"/>
                      </w:rPr>
                      <w:t>EpiPrag: morbiditate saptamanala medie 2013 + 3 deviatii standard</w:t>
                    </w:r>
                  </w:p>
                </w:txbxContent>
              </v:textbox>
              <w10:wrap type="none"/>
            </v:shape>
            <v:shape style="position:absolute;left:1516;top:-4908;width:248;height:132" type="#_x0000_t202" filled="false" stroked="false">
              <v:textbox inset="0,0,0,0">
                <w:txbxContent>
                  <w:p>
                    <w:pPr>
                      <w:spacing w:before="3"/>
                      <w:ind w:left="0" w:right="0" w:firstLine="0"/>
                      <w:jc w:val="left"/>
                      <w:rPr>
                        <w:rFonts w:ascii="Arial"/>
                        <w:sz w:val="11"/>
                      </w:rPr>
                    </w:pPr>
                    <w:r>
                      <w:rPr>
                        <w:rFonts w:ascii="Arial"/>
                        <w:w w:val="105"/>
                        <w:sz w:val="11"/>
                      </w:rPr>
                      <w:t>11.0</w:t>
                    </w:r>
                  </w:p>
                </w:txbxContent>
              </v:textbox>
              <w10:wrap type="none"/>
            </v:shape>
            <v:shape style="position:absolute;left:2594;top:-5305;width:5735;height:158" type="#_x0000_t202" filled="false" stroked="false">
              <v:textbox inset="0,0,0,0">
                <w:txbxContent>
                  <w:p>
                    <w:pPr>
                      <w:spacing w:line="158" w:lineRule="exact" w:before="0"/>
                      <w:ind w:left="0" w:right="0" w:firstLine="0"/>
                      <w:jc w:val="left"/>
                      <w:rPr>
                        <w:rFonts w:ascii="Arial"/>
                        <w:b/>
                        <w:sz w:val="14"/>
                      </w:rPr>
                    </w:pPr>
                    <w:r>
                      <w:rPr>
                        <w:rFonts w:ascii="Arial"/>
                        <w:b/>
                        <w:sz w:val="14"/>
                      </w:rPr>
                      <w:t>Fig. nr. 2 - Incidenta saptamanala a morbiditatii prin BDA spitalizata - Bucuresti, 2017</w:t>
                    </w:r>
                  </w:p>
                </w:txbxContent>
              </v:textbox>
              <w10:wrap type="none"/>
            </v:shape>
            <w10:wrap type="none"/>
          </v:group>
        </w:pict>
      </w:r>
      <w:r>
        <w:rPr/>
        <w:pict>
          <v:shape style="position:absolute;margin-left:65.179031pt;margin-top:-195.582077pt;width:8.6pt;height:102.75pt;mso-position-horizontal-relative:page;mso-position-vertical-relative:paragraph;z-index:251870208"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Cazuri la 100.000 locuitori Bucuresti</w:t>
                  </w:r>
                </w:p>
              </w:txbxContent>
            </v:textbox>
            <w10:wrap type="none"/>
          </v:shape>
        </w:pict>
      </w:r>
      <w:r>
        <w:rPr>
          <w:b/>
          <w:i/>
          <w:sz w:val="24"/>
        </w:rPr>
        <w:t>Morbiditatea specifica estivala (S22 – S44) pe grupe de varsta prin BDA spitalizata </w:t>
      </w:r>
      <w:r>
        <w:rPr>
          <w:sz w:val="24"/>
        </w:rPr>
        <w:t>este ilustrata in figura de mai jos: cei mai afectati au fost copiii prescolari, atat copilul in varsta de &lt; 1 an (2310,5</w:t>
      </w:r>
    </w:p>
    <w:p>
      <w:pPr>
        <w:pStyle w:val="BodyText"/>
        <w:ind w:left="233"/>
      </w:pPr>
      <w:r>
        <w:rPr/>
        <w:t>%ooo) cat si copilul in varsta de 1-4 ani (2258,5 %.ooo).</w:t>
      </w:r>
    </w:p>
    <w:p>
      <w:pPr>
        <w:spacing w:after="0"/>
        <w:sectPr>
          <w:pgSz w:w="11910" w:h="16840"/>
          <w:pgMar w:header="0" w:footer="738" w:top="1460" w:bottom="920" w:left="900" w:right="0"/>
        </w:sectPr>
      </w:pPr>
    </w:p>
    <w:p>
      <w:pPr>
        <w:pStyle w:val="BodyText"/>
        <w:ind w:left="0"/>
        <w:rPr>
          <w:sz w:val="20"/>
        </w:rPr>
      </w:pPr>
      <w:r>
        <w:rPr/>
        <w:pict>
          <v:shape style="position:absolute;margin-left:64.188713pt;margin-top:182.55777pt;width:8.6pt;height:52.25pt;mso-position-horizontal-relative:page;mso-position-vertical-relative:page;z-index:251898880"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Grupe varsta (ani)</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11"/>
        <w:ind w:left="233" w:right="987"/>
      </w:pPr>
      <w:r>
        <w:rPr/>
        <w:pict>
          <v:group style="position:absolute;margin-left:59.003063pt;margin-top:-264.062775pt;width:427.35pt;height:260.9pt;mso-position-horizontal-relative:page;mso-position-vertical-relative:paragraph;z-index:251887616" coordorigin="1180,-5281" coordsize="8547,5218">
            <v:rect style="position:absolute;left:1180;top:-5281;width:8545;height:5216" filled="false" stroked="true" strokeweight=".08252pt" strokecolor="#000000">
              <v:stroke dashstyle="solid"/>
            </v:rect>
            <v:shape style="position:absolute;left:3284;top:2365;width:9470;height:6662" coordorigin="3285,2365" coordsize="9470,6662" path="m3071,-4559l3071,-633m4466,-4559l4466,-633m5862,-4559l5862,-633m7257,-4559l7257,-633m8653,-4559l8653,-633e" filled="false" stroked="true" strokeweight=".082522pt" strokecolor="#000000">
              <v:path arrowok="t"/>
              <v:stroke dashstyle="solid"/>
            </v:shape>
            <v:shape style="position:absolute;left:918;top:2365;width:11837;height:6664" coordorigin="918,2365" coordsize="11837,6664" path="m1675,-4559l8651,-4559m8653,-4559l8653,-633m8653,-632l1677,-632m1675,-632l1675,-4558e" filled="false" stroked="true" strokeweight=".082522pt" strokecolor="#000000">
              <v:path arrowok="t"/>
              <v:stroke dashstyle="solid"/>
            </v:shape>
            <v:shape style="position:absolute;left:1675;top:-1549;width:387;height:524" type="#_x0000_t75" stroked="false">
              <v:imagedata r:id="rId31" o:title=""/>
            </v:shape>
            <v:rect style="position:absolute;left:1674;top:-1548;width:387;height:524" filled="false" stroked="true" strokeweight=".565874pt" strokecolor="#000000">
              <v:stroke dashstyle="solid"/>
            </v:rect>
            <v:line style="position:absolute" from="1728,-2071" to="1728,-1548" stroked="true" strokeweight="5.305284pt" strokecolor="#ffff00">
              <v:stroke dashstyle="solid"/>
            </v:line>
            <v:rect style="position:absolute;left:1674;top:-2072;width:107;height:524" filled="false" stroked="true" strokeweight=".565894pt" strokecolor="#000000">
              <v:stroke dashstyle="solid"/>
            </v:rect>
            <v:shape style="position:absolute;left:1675;top:-2597;width:590;height:525" type="#_x0000_t75" stroked="false">
              <v:imagedata r:id="rId32" o:title=""/>
            </v:shape>
            <v:rect style="position:absolute;left:1674;top:-2597;width:591;height:526" filled="false" stroked="true" strokeweight=".565861pt" strokecolor="#000000">
              <v:stroke dashstyle="solid"/>
            </v:rect>
            <v:shape style="position:absolute;left:1675;top:-3120;width:1852;height:524" type="#_x0000_t75" stroked="false">
              <v:imagedata r:id="rId33" o:title=""/>
            </v:shape>
            <v:rect style="position:absolute;left:1674;top:-3120;width:1853;height:524" filled="false" stroked="true" strokeweight=".565837pt" strokecolor="#000000">
              <v:stroke dashstyle="solid"/>
            </v:rect>
            <v:shape style="position:absolute;left:1675;top:-3643;width:6303;height:524" type="#_x0000_t75" stroked="false">
              <v:imagedata r:id="rId34" o:title=""/>
            </v:shape>
            <v:rect style="position:absolute;left:1674;top:-3644;width:6304;height:524" filled="false" stroked="true" strokeweight=".565833pt" strokecolor="#000000">
              <v:stroke dashstyle="solid"/>
            </v:rect>
            <v:shape style="position:absolute;left:1675;top:-4167;width:6447;height:524" type="#_x0000_t75" stroked="false">
              <v:imagedata r:id="rId35" o:title=""/>
            </v:shape>
            <v:rect style="position:absolute;left:1674;top:-4167;width:6449;height:524" filled="false" stroked="true" strokeweight=".565833pt" strokecolor="#000000">
              <v:stroke dashstyle="solid"/>
            </v:rect>
            <v:shape style="position:absolute;left:858;top:2365;width:11897;height:6724" coordorigin="858,2365" coordsize="11897,6724" path="m1675,-632l8651,-632m1675,-596l1675,-630m3071,-596l3071,-630m4466,-596l4466,-630m5862,-596l5862,-630m7257,-596l7257,-630m8653,-596l8653,-630m1675,-4559l1675,-633m1640,-632l1674,-632m1640,-4559l1674,-4559e" filled="false" stroked="true" strokeweight=".082522pt" strokecolor="#000000">
              <v:path arrowok="t"/>
              <v:stroke dashstyle="solid"/>
            </v:shape>
            <v:shape style="position:absolute;left:8998;top:-3293;width:115;height:115" type="#_x0000_t75" stroked="false">
              <v:imagedata r:id="rId36" o:title=""/>
            </v:shape>
            <v:rect style="position:absolute;left:8998;top:-3293;width:115;height:115" filled="false" stroked="true" strokeweight=".565865pt" strokecolor="#000000">
              <v:stroke dashstyle="solid"/>
            </v:rect>
            <v:shape style="position:absolute;left:8998;top:-3034;width:115;height:115" type="#_x0000_t75" stroked="false">
              <v:imagedata r:id="rId37" o:title=""/>
            </v:shape>
            <v:rect style="position:absolute;left:8998;top:-3034;width:115;height:115" filled="false" stroked="true" strokeweight=".565865pt" strokecolor="#000000">
              <v:stroke dashstyle="solid"/>
            </v:rect>
            <v:shape style="position:absolute;left:8998;top:-2775;width:115;height:115" type="#_x0000_t75" stroked="false">
              <v:imagedata r:id="rId38" o:title=""/>
            </v:shape>
            <v:rect style="position:absolute;left:8998;top:-2775;width:115;height:115" filled="false" stroked="true" strokeweight=".565865pt" strokecolor="#000000">
              <v:stroke dashstyle="solid"/>
            </v:rect>
            <v:shape style="position:absolute;left:8998;top:-2516;width:115;height:115" type="#_x0000_t75" stroked="false">
              <v:imagedata r:id="rId39" o:title=""/>
            </v:shape>
            <v:rect style="position:absolute;left:8998;top:-2516;width:115;height:115" filled="false" stroked="true" strokeweight=".565865pt" strokecolor="#000000">
              <v:stroke dashstyle="solid"/>
            </v:rect>
            <v:rect style="position:absolute;left:8998;top:-2257;width:115;height:115" filled="true" fillcolor="#ffff00" stroked="false">
              <v:fill type="solid"/>
            </v:rect>
            <v:rect style="position:absolute;left:8998;top:-2257;width:115;height:115" filled="false" stroked="true" strokeweight=".565865pt" strokecolor="#000000">
              <v:stroke dashstyle="solid"/>
            </v:rect>
            <v:shape style="position:absolute;left:8998;top:-1998;width:115;height:115" type="#_x0000_t75" stroked="false">
              <v:imagedata r:id="rId40" o:title=""/>
            </v:shape>
            <v:rect style="position:absolute;left:8998;top:-1998;width:115;height:115" filled="false" stroked="true" strokeweight=".565865pt" strokecolor="#000000">
              <v:stroke dashstyle="solid"/>
            </v:rect>
            <v:rect style="position:absolute;left:1180;top:-5281;width:8545;height:5216" filled="false" stroked="true" strokeweight=".08252pt" strokecolor="#000000">
              <v:stroke dashstyle="solid"/>
            </v:rect>
            <v:shape style="position:absolute;left:2847;top:-5137;width:5229;height:159" type="#_x0000_t202" filled="false" stroked="false">
              <v:textbox inset="0,0,0,0">
                <w:txbxContent>
                  <w:p>
                    <w:pPr>
                      <w:spacing w:line="158" w:lineRule="exact" w:before="0"/>
                      <w:ind w:left="0" w:right="0" w:firstLine="0"/>
                      <w:jc w:val="left"/>
                      <w:rPr>
                        <w:rFonts w:ascii="Arial"/>
                        <w:b/>
                        <w:sz w:val="14"/>
                      </w:rPr>
                    </w:pPr>
                    <w:r>
                      <w:rPr>
                        <w:rFonts w:ascii="Arial"/>
                        <w:b/>
                        <w:sz w:val="14"/>
                      </w:rPr>
                      <w:t>Fig. nr. 3 - BDA spitalizata - vara 2017 - Incidenta specifica pe grupe de varsta</w:t>
                    </w:r>
                  </w:p>
                </w:txbxContent>
              </v:textbox>
              <w10:wrap type="none"/>
            </v:shape>
            <v:shape style="position:absolute;left:8028;top:-4015;width:741;height:734" type="#_x0000_t202" filled="false" stroked="false">
              <v:textbox inset="0,0,0,0">
                <w:txbxContent>
                  <w:p>
                    <w:pPr>
                      <w:spacing w:line="211" w:lineRule="exact" w:before="0"/>
                      <w:ind w:left="144" w:right="0" w:firstLine="0"/>
                      <w:jc w:val="left"/>
                      <w:rPr>
                        <w:rFonts w:ascii="Arial"/>
                        <w:sz w:val="19"/>
                      </w:rPr>
                    </w:pPr>
                    <w:r>
                      <w:rPr>
                        <w:rFonts w:ascii="Arial"/>
                        <w:sz w:val="19"/>
                      </w:rPr>
                      <w:t>2310.5</w:t>
                    </w:r>
                  </w:p>
                  <w:p>
                    <w:pPr>
                      <w:spacing w:line="240" w:lineRule="auto" w:before="6"/>
                      <w:rPr>
                        <w:rFonts w:ascii="Arial"/>
                        <w:sz w:val="26"/>
                      </w:rPr>
                    </w:pPr>
                  </w:p>
                  <w:p>
                    <w:pPr>
                      <w:spacing w:line="218" w:lineRule="exact" w:before="0"/>
                      <w:ind w:left="0" w:right="0" w:firstLine="0"/>
                      <w:jc w:val="left"/>
                      <w:rPr>
                        <w:rFonts w:ascii="Arial"/>
                        <w:sz w:val="19"/>
                      </w:rPr>
                    </w:pPr>
                    <w:r>
                      <w:rPr>
                        <w:rFonts w:ascii="Arial"/>
                        <w:sz w:val="19"/>
                      </w:rPr>
                      <w:t>2258.5</w:t>
                    </w:r>
                  </w:p>
                </w:txbxContent>
              </v:textbox>
              <w10:wrap type="none"/>
            </v:shape>
            <v:shape style="position:absolute;left:3576;top:-2968;width:492;height:211" type="#_x0000_t202" filled="false" stroked="false">
              <v:textbox inset="0,0,0,0">
                <w:txbxContent>
                  <w:p>
                    <w:pPr>
                      <w:spacing w:line="210" w:lineRule="exact" w:before="0"/>
                      <w:ind w:left="0" w:right="0" w:firstLine="0"/>
                      <w:jc w:val="left"/>
                      <w:rPr>
                        <w:rFonts w:ascii="Arial"/>
                        <w:sz w:val="19"/>
                      </w:rPr>
                    </w:pPr>
                    <w:r>
                      <w:rPr>
                        <w:rFonts w:ascii="Arial"/>
                        <w:sz w:val="19"/>
                      </w:rPr>
                      <w:t>663.6</w:t>
                    </w:r>
                  </w:p>
                </w:txbxContent>
              </v:textbox>
              <w10:wrap type="none"/>
            </v:shape>
            <v:shape style="position:absolute;left:1521;top:-2666;width:86;height:132" type="#_x0000_t202" filled="false" stroked="false">
              <v:textbox inset="0,0,0,0">
                <w:txbxContent>
                  <w:p>
                    <w:pPr>
                      <w:spacing w:before="3"/>
                      <w:ind w:left="0" w:right="0" w:firstLine="0"/>
                      <w:jc w:val="left"/>
                      <w:rPr>
                        <w:rFonts w:ascii="Arial"/>
                        <w:sz w:val="11"/>
                      </w:rPr>
                    </w:pPr>
                    <w:r>
                      <w:rPr>
                        <w:rFonts w:ascii="Arial"/>
                        <w:w w:val="106"/>
                        <w:sz w:val="11"/>
                      </w:rPr>
                      <w:t>1</w:t>
                    </w:r>
                  </w:p>
                </w:txbxContent>
              </v:textbox>
              <w10:wrap type="none"/>
            </v:shape>
            <v:shape style="position:absolute;left:2314;top:-2444;width:492;height:211" type="#_x0000_t202" filled="false" stroked="false">
              <v:textbox inset="0,0,0,0">
                <w:txbxContent>
                  <w:p>
                    <w:pPr>
                      <w:spacing w:line="210" w:lineRule="exact" w:before="0"/>
                      <w:ind w:left="0" w:right="0" w:firstLine="0"/>
                      <w:jc w:val="left"/>
                      <w:rPr>
                        <w:rFonts w:ascii="Arial"/>
                        <w:sz w:val="19"/>
                      </w:rPr>
                    </w:pPr>
                    <w:r>
                      <w:rPr>
                        <w:rFonts w:ascii="Arial"/>
                        <w:sz w:val="19"/>
                      </w:rPr>
                      <w:t>211.3</w:t>
                    </w:r>
                  </w:p>
                </w:txbxContent>
              </v:textbox>
              <w10:wrap type="none"/>
            </v:shape>
            <v:shape style="position:absolute;left:2110;top:-1396;width:492;height:211" type="#_x0000_t202" filled="false" stroked="false">
              <v:textbox inset="0,0,0,0">
                <w:txbxContent>
                  <w:p>
                    <w:pPr>
                      <w:spacing w:line="210" w:lineRule="exact" w:before="0"/>
                      <w:ind w:left="0" w:right="0" w:firstLine="0"/>
                      <w:jc w:val="left"/>
                      <w:rPr>
                        <w:rFonts w:ascii="Arial"/>
                        <w:sz w:val="19"/>
                      </w:rPr>
                    </w:pPr>
                    <w:r>
                      <w:rPr>
                        <w:rFonts w:ascii="Arial"/>
                        <w:sz w:val="19"/>
                      </w:rPr>
                      <w:t>138.3</w:t>
                    </w:r>
                  </w:p>
                </w:txbxContent>
              </v:textbox>
              <w10:wrap type="none"/>
            </v:shape>
            <v:shape style="position:absolute;left:1594;top:-534;width:183;height:132" type="#_x0000_t202" filled="false" stroked="false">
              <v:textbox inset="0,0,0,0">
                <w:txbxContent>
                  <w:p>
                    <w:pPr>
                      <w:spacing w:before="3"/>
                      <w:ind w:left="0" w:right="0" w:firstLine="0"/>
                      <w:jc w:val="left"/>
                      <w:rPr>
                        <w:rFonts w:ascii="Arial"/>
                        <w:sz w:val="11"/>
                      </w:rPr>
                    </w:pPr>
                    <w:r>
                      <w:rPr>
                        <w:rFonts w:ascii="Arial"/>
                        <w:w w:val="105"/>
                        <w:sz w:val="11"/>
                      </w:rPr>
                      <w:t>0.0</w:t>
                    </w:r>
                  </w:p>
                </w:txbxContent>
              </v:textbox>
              <w10:wrap type="none"/>
            </v:shape>
            <v:shape style="position:absolute;left:2924;top:-534;width:313;height:132" type="#_x0000_t202" filled="false" stroked="false">
              <v:textbox inset="0,0,0,0">
                <w:txbxContent>
                  <w:p>
                    <w:pPr>
                      <w:spacing w:before="3"/>
                      <w:ind w:left="0" w:right="0" w:firstLine="0"/>
                      <w:jc w:val="left"/>
                      <w:rPr>
                        <w:rFonts w:ascii="Arial"/>
                        <w:sz w:val="11"/>
                      </w:rPr>
                    </w:pPr>
                    <w:r>
                      <w:rPr>
                        <w:rFonts w:ascii="Arial"/>
                        <w:w w:val="105"/>
                        <w:sz w:val="11"/>
                      </w:rPr>
                      <w:t>500.0</w:t>
                    </w:r>
                  </w:p>
                </w:txbxContent>
              </v:textbox>
              <w10:wrap type="none"/>
            </v:shape>
            <v:shape style="position:absolute;left:4286;top:-534;width:378;height:132" type="#_x0000_t202" filled="false" stroked="false">
              <v:textbox inset="0,0,0,0">
                <w:txbxContent>
                  <w:p>
                    <w:pPr>
                      <w:spacing w:before="3"/>
                      <w:ind w:left="0" w:right="0" w:firstLine="0"/>
                      <w:jc w:val="left"/>
                      <w:rPr>
                        <w:rFonts w:ascii="Arial"/>
                        <w:sz w:val="11"/>
                      </w:rPr>
                    </w:pPr>
                    <w:r>
                      <w:rPr>
                        <w:rFonts w:ascii="Arial"/>
                        <w:w w:val="105"/>
                        <w:sz w:val="11"/>
                      </w:rPr>
                      <w:t>1000.0</w:t>
                    </w:r>
                  </w:p>
                </w:txbxContent>
              </v:textbox>
              <w10:wrap type="none"/>
            </v:shape>
            <v:shape style="position:absolute;left:5683;top:-534;width:378;height:132" type="#_x0000_t202" filled="false" stroked="false">
              <v:textbox inset="0,0,0,0">
                <w:txbxContent>
                  <w:p>
                    <w:pPr>
                      <w:spacing w:before="3"/>
                      <w:ind w:left="0" w:right="0" w:firstLine="0"/>
                      <w:jc w:val="left"/>
                      <w:rPr>
                        <w:rFonts w:ascii="Arial"/>
                        <w:sz w:val="11"/>
                      </w:rPr>
                    </w:pPr>
                    <w:r>
                      <w:rPr>
                        <w:rFonts w:ascii="Arial"/>
                        <w:w w:val="105"/>
                        <w:sz w:val="11"/>
                      </w:rPr>
                      <w:t>1500.0</w:t>
                    </w:r>
                  </w:p>
                </w:txbxContent>
              </v:textbox>
              <w10:wrap type="none"/>
            </v:shape>
            <v:shape style="position:absolute;left:7078;top:-534;width:378;height:132" type="#_x0000_t202" filled="false" stroked="false">
              <v:textbox inset="0,0,0,0">
                <w:txbxContent>
                  <w:p>
                    <w:pPr>
                      <w:spacing w:before="3"/>
                      <w:ind w:left="0" w:right="0" w:firstLine="0"/>
                      <w:jc w:val="left"/>
                      <w:rPr>
                        <w:rFonts w:ascii="Arial"/>
                        <w:sz w:val="11"/>
                      </w:rPr>
                    </w:pPr>
                    <w:r>
                      <w:rPr>
                        <w:rFonts w:ascii="Arial"/>
                        <w:w w:val="105"/>
                        <w:sz w:val="11"/>
                      </w:rPr>
                      <w:t>2000.0</w:t>
                    </w:r>
                  </w:p>
                </w:txbxContent>
              </v:textbox>
              <w10:wrap type="none"/>
            </v:shape>
            <v:shape style="position:absolute;left:8473;top:-534;width:378;height:132" type="#_x0000_t202" filled="false" stroked="false">
              <v:textbox inset="0,0,0,0">
                <w:txbxContent>
                  <w:p>
                    <w:pPr>
                      <w:spacing w:before="3"/>
                      <w:ind w:left="0" w:right="0" w:firstLine="0"/>
                      <w:jc w:val="left"/>
                      <w:rPr>
                        <w:rFonts w:ascii="Arial"/>
                        <w:sz w:val="11"/>
                      </w:rPr>
                    </w:pPr>
                    <w:r>
                      <w:rPr>
                        <w:rFonts w:ascii="Arial"/>
                        <w:w w:val="105"/>
                        <w:sz w:val="11"/>
                      </w:rPr>
                      <w:t>2500.0</w:t>
                    </w:r>
                  </w:p>
                </w:txbxContent>
              </v:textbox>
              <w10:wrap type="none"/>
            </v:shape>
            <v:shape style="position:absolute;left:4458;top:-331;width:1429;height:132" type="#_x0000_t202" filled="false" stroked="false">
              <v:textbox inset="0,0,0,0">
                <w:txbxContent>
                  <w:p>
                    <w:pPr>
                      <w:spacing w:before="3"/>
                      <w:ind w:left="0" w:right="0" w:firstLine="0"/>
                      <w:jc w:val="left"/>
                      <w:rPr>
                        <w:rFonts w:ascii="Arial"/>
                        <w:b/>
                        <w:sz w:val="11"/>
                      </w:rPr>
                    </w:pPr>
                    <w:r>
                      <w:rPr>
                        <w:rFonts w:ascii="Arial"/>
                        <w:b/>
                        <w:w w:val="105"/>
                        <w:sz w:val="11"/>
                      </w:rPr>
                      <w:t>Cazuri la 100000 locuitori</w:t>
                    </w:r>
                  </w:p>
                </w:txbxContent>
              </v:textbox>
              <w10:wrap type="none"/>
            </v:shape>
            <v:shape style="position:absolute;left:8943;top:-3373;width:783;height:1554" type="#_x0000_t202" filled="false" stroked="true" strokeweight=".08252pt" strokecolor="#000000">
              <v:textbox inset="0,0,0,0">
                <w:txbxContent>
                  <w:p>
                    <w:pPr>
                      <w:spacing w:before="21"/>
                      <w:ind w:left="214" w:right="0" w:firstLine="0"/>
                      <w:jc w:val="left"/>
                      <w:rPr>
                        <w:rFonts w:ascii="Arial"/>
                        <w:sz w:val="19"/>
                      </w:rPr>
                    </w:pPr>
                    <w:r>
                      <w:rPr>
                        <w:rFonts w:ascii="Arial"/>
                        <w:sz w:val="19"/>
                      </w:rPr>
                      <w:t>&lt;</w:t>
                    </w:r>
                    <w:r>
                      <w:rPr>
                        <w:rFonts w:ascii="Arial"/>
                        <w:spacing w:val="-4"/>
                        <w:sz w:val="19"/>
                      </w:rPr>
                      <w:t> </w:t>
                    </w:r>
                    <w:r>
                      <w:rPr>
                        <w:rFonts w:ascii="Arial"/>
                        <w:sz w:val="19"/>
                      </w:rPr>
                      <w:t>1</w:t>
                    </w:r>
                  </w:p>
                  <w:p>
                    <w:pPr>
                      <w:spacing w:before="41"/>
                      <w:ind w:left="214" w:right="0" w:firstLine="0"/>
                      <w:jc w:val="left"/>
                      <w:rPr>
                        <w:rFonts w:ascii="Arial"/>
                        <w:sz w:val="19"/>
                      </w:rPr>
                    </w:pPr>
                    <w:r>
                      <w:rPr>
                        <w:rFonts w:ascii="Arial"/>
                        <w:sz w:val="19"/>
                      </w:rPr>
                      <w:t>1-4</w:t>
                    </w:r>
                  </w:p>
                  <w:p>
                    <w:pPr>
                      <w:spacing w:before="40"/>
                      <w:ind w:left="214" w:right="0" w:firstLine="0"/>
                      <w:jc w:val="left"/>
                      <w:rPr>
                        <w:rFonts w:ascii="Arial"/>
                        <w:sz w:val="19"/>
                      </w:rPr>
                    </w:pPr>
                    <w:r>
                      <w:rPr>
                        <w:rFonts w:ascii="Arial"/>
                        <w:sz w:val="19"/>
                      </w:rPr>
                      <w:t>5-9</w:t>
                    </w:r>
                  </w:p>
                  <w:p>
                    <w:pPr>
                      <w:spacing w:before="41"/>
                      <w:ind w:left="214" w:right="0" w:firstLine="0"/>
                      <w:jc w:val="left"/>
                      <w:rPr>
                        <w:rFonts w:ascii="Arial"/>
                        <w:sz w:val="19"/>
                      </w:rPr>
                    </w:pPr>
                    <w:r>
                      <w:rPr>
                        <w:rFonts w:ascii="Arial"/>
                        <w:sz w:val="19"/>
                      </w:rPr>
                      <w:t>10-14</w:t>
                    </w:r>
                  </w:p>
                  <w:p>
                    <w:pPr>
                      <w:spacing w:before="40"/>
                      <w:ind w:left="214" w:right="0" w:firstLine="0"/>
                      <w:jc w:val="left"/>
                      <w:rPr>
                        <w:rFonts w:ascii="Arial"/>
                        <w:sz w:val="19"/>
                      </w:rPr>
                    </w:pPr>
                    <w:r>
                      <w:rPr>
                        <w:rFonts w:ascii="Arial"/>
                        <w:sz w:val="19"/>
                      </w:rPr>
                      <w:t>15-64</w:t>
                    </w:r>
                  </w:p>
                  <w:p>
                    <w:pPr>
                      <w:spacing w:before="41"/>
                      <w:ind w:left="214" w:right="0" w:firstLine="0"/>
                      <w:jc w:val="left"/>
                      <w:rPr>
                        <w:rFonts w:ascii="Arial"/>
                        <w:sz w:val="19"/>
                      </w:rPr>
                    </w:pPr>
                    <w:r>
                      <w:rPr>
                        <w:rFonts w:ascii="Arial"/>
                        <w:sz w:val="19"/>
                      </w:rPr>
                      <w:t>65+</w:t>
                    </w:r>
                  </w:p>
                </w:txbxContent>
              </v:textbox>
              <v:stroke dashstyle="solid"/>
              <w10:wrap type="none"/>
            </v:shape>
            <v:shape style="position:absolute;left:1786;top:-2066;width:1284;height:513" type="#_x0000_t202" filled="false" stroked="false">
              <v:textbox inset="0,0,0,0">
                <w:txbxContent>
                  <w:p>
                    <w:pPr>
                      <w:spacing w:before="138"/>
                      <w:ind w:left="43" w:right="0" w:firstLine="0"/>
                      <w:jc w:val="left"/>
                      <w:rPr>
                        <w:rFonts w:ascii="Arial"/>
                        <w:sz w:val="19"/>
                      </w:rPr>
                    </w:pPr>
                    <w:r>
                      <w:rPr>
                        <w:rFonts w:ascii="Arial"/>
                        <w:sz w:val="19"/>
                      </w:rPr>
                      <w:t>38.1</w:t>
                    </w:r>
                  </w:p>
                </w:txbxContent>
              </v:textbox>
              <w10:wrap type="none"/>
            </v:shape>
            <w10:wrap type="none"/>
          </v:group>
        </w:pict>
      </w:r>
      <w:r>
        <w:rPr>
          <w:b/>
          <w:i/>
        </w:rPr>
        <w:t>Ratele de pozitivitate pe specialitati medicale </w:t>
      </w:r>
      <w:r>
        <w:rPr/>
        <w:t>ilustrate in figura de mai jos arata ca, pe specialitati medicale, prevalenta cazurilor de BDA spitalizate cu o etiologie precizata a fost mai mare (33,7 %) in spitalele de pediatrie decat in cele de boli infectioase (24,9 %).</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18"/>
        </w:rPr>
      </w:pPr>
    </w:p>
    <w:p>
      <w:pPr>
        <w:pStyle w:val="BodyText"/>
        <w:spacing w:before="90"/>
        <w:ind w:left="233" w:right="920" w:firstLine="60"/>
        <w:rPr>
          <w:i/>
        </w:rPr>
      </w:pPr>
      <w:r>
        <w:rPr/>
        <w:pict>
          <v:group style="position:absolute;margin-left:59.003063pt;margin-top:-270.172791pt;width:427.35pt;height:260.9pt;mso-position-horizontal-relative:page;mso-position-vertical-relative:paragraph;z-index:251896832" coordorigin="1180,-5403" coordsize="8547,5218">
            <v:rect style="position:absolute;left:1180;top:-5403;width:8545;height:5216" filled="false" stroked="true" strokeweight=".08252pt" strokecolor="#000000">
              <v:stroke dashstyle="solid"/>
            </v:rect>
            <v:shape style="position:absolute;left:1150;top:-4235;width:13267;height:5992" coordorigin="1151,-4234" coordsize="13267,5992" path="m1813,-1052l9633,-1052m1813,-1556l9633,-1556m1813,-2061l9633,-2061m1813,-2565l9633,-2565m1813,-3070l9633,-3070m1813,-3575l9633,-3575m1813,-4079l9633,-4079m1813,-4584l9633,-4584e" filled="false" stroked="true" strokeweight=".082522pt" strokecolor="#000000">
              <v:path arrowok="t"/>
              <v:stroke dashstyle="solid"/>
            </v:shape>
            <v:rect style="position:absolute;left:1811;top:-4585;width:7822;height:4037" filled="false" stroked="true" strokeweight=".565846pt" strokecolor="#808080">
              <v:stroke dashstyle="solid"/>
            </v:rect>
            <v:shape style="position:absolute;left:2985;top:-3066;width:1565;height:2517" type="#_x0000_t75" stroked="false">
              <v:imagedata r:id="rId41" o:title=""/>
            </v:shape>
            <v:rect style="position:absolute;left:2984;top:-3066;width:1565;height:2518" filled="false" stroked="true" strokeweight=".565879pt" strokecolor="#000000">
              <v:stroke dashstyle="solid"/>
            </v:rect>
            <v:shape style="position:absolute;left:6895;top:-3954;width:1565;height:3405" type="#_x0000_t75" stroked="false">
              <v:imagedata r:id="rId42" o:title=""/>
            </v:shape>
            <v:rect style="position:absolute;left:6895;top:-3954;width:1565;height:3406" filled="false" stroked="true" strokeweight=".565886pt" strokecolor="#000000">
              <v:stroke dashstyle="solid"/>
            </v:rect>
            <v:shape style="position:absolute;left:1090;top:-4235;width:13330;height:6909" coordorigin="1091,-4234" coordsize="13330,6909" path="m1813,-4584l1813,-549m1777,-547l1811,-547m1777,-1052l1811,-1052m1777,-1556l1811,-1556m1777,-2061l1811,-2061m1777,-2565l1811,-2565m1777,-3070l1811,-3070m1777,-3575l1811,-3575m1777,-4079l1811,-4079m1777,-4584l1811,-4584m1813,-547l9633,-547m1813,-512l1813,-546m5724,-512l5724,-546m9634,-512l9634,-546e" filled="false" stroked="true" strokeweight=".082522pt" strokecolor="#000000">
              <v:path arrowok="t"/>
              <v:stroke dashstyle="solid"/>
            </v:shape>
            <v:rect style="position:absolute;left:1180;top:-5403;width:8545;height:5216" filled="false" stroked="true" strokeweight=".08252pt" strokecolor="#000000">
              <v:stroke dashstyle="solid"/>
            </v:rect>
            <v:shape style="position:absolute;left:7447;top:-449;width:482;height:132" type="#_x0000_t202" filled="false" stroked="false">
              <v:textbox inset="0,0,0,0">
                <w:txbxContent>
                  <w:p>
                    <w:pPr>
                      <w:spacing w:before="3"/>
                      <w:ind w:left="0" w:right="0" w:firstLine="0"/>
                      <w:jc w:val="left"/>
                      <w:rPr>
                        <w:rFonts w:ascii="Arial"/>
                        <w:sz w:val="11"/>
                      </w:rPr>
                    </w:pPr>
                    <w:r>
                      <w:rPr>
                        <w:rFonts w:ascii="Arial"/>
                        <w:w w:val="105"/>
                        <w:sz w:val="11"/>
                      </w:rPr>
                      <w:t>Pediatrie</w:t>
                    </w:r>
                  </w:p>
                </w:txbxContent>
              </v:textbox>
              <w10:wrap type="none"/>
            </v:shape>
            <v:shape style="position:absolute;left:3482;top:-449;width:589;height:132" type="#_x0000_t202" filled="false" stroked="false">
              <v:textbox inset="0,0,0,0">
                <w:txbxContent>
                  <w:p>
                    <w:pPr>
                      <w:spacing w:before="3"/>
                      <w:ind w:left="0" w:right="0" w:firstLine="0"/>
                      <w:jc w:val="left"/>
                      <w:rPr>
                        <w:rFonts w:ascii="Arial"/>
                        <w:sz w:val="11"/>
                      </w:rPr>
                    </w:pPr>
                    <w:r>
                      <w:rPr>
                        <w:rFonts w:ascii="Arial"/>
                        <w:w w:val="105"/>
                        <w:sz w:val="11"/>
                      </w:rPr>
                      <w:t>Infectioase</w:t>
                    </w:r>
                  </w:p>
                </w:txbxContent>
              </v:textbox>
              <w10:wrap type="none"/>
            </v:shape>
            <v:shape style="position:absolute;left:1496;top:-3141;width:248;height:2654" type="#_x0000_t202" filled="false" stroked="false">
              <v:textbox inset="0,0,0,0">
                <w:txbxContent>
                  <w:p>
                    <w:pPr>
                      <w:spacing w:before="3"/>
                      <w:ind w:left="0" w:right="0" w:firstLine="0"/>
                      <w:jc w:val="left"/>
                      <w:rPr>
                        <w:rFonts w:ascii="Arial"/>
                        <w:sz w:val="11"/>
                      </w:rPr>
                    </w:pPr>
                    <w:r>
                      <w:rPr>
                        <w:rFonts w:ascii="Arial"/>
                        <w:w w:val="105"/>
                        <w:sz w:val="11"/>
                      </w:rPr>
                      <w:t>25.0</w:t>
                    </w:r>
                  </w:p>
                  <w:p>
                    <w:pPr>
                      <w:spacing w:line="240" w:lineRule="auto" w:before="0"/>
                      <w:rPr>
                        <w:rFonts w:ascii="Arial"/>
                        <w:sz w:val="12"/>
                      </w:rPr>
                    </w:pPr>
                  </w:p>
                  <w:p>
                    <w:pPr>
                      <w:spacing w:line="240" w:lineRule="auto" w:before="0"/>
                      <w:rPr>
                        <w:rFonts w:ascii="Arial"/>
                        <w:sz w:val="12"/>
                      </w:rPr>
                    </w:pPr>
                  </w:p>
                  <w:p>
                    <w:pPr>
                      <w:spacing w:before="103"/>
                      <w:ind w:left="0" w:right="0" w:firstLine="0"/>
                      <w:jc w:val="left"/>
                      <w:rPr>
                        <w:rFonts w:ascii="Arial"/>
                        <w:sz w:val="11"/>
                      </w:rPr>
                    </w:pPr>
                    <w:r>
                      <w:rPr>
                        <w:rFonts w:ascii="Arial"/>
                        <w:w w:val="105"/>
                        <w:sz w:val="11"/>
                      </w:rPr>
                      <w:t>20.0</w:t>
                    </w:r>
                  </w:p>
                  <w:p>
                    <w:pPr>
                      <w:spacing w:line="240" w:lineRule="auto" w:before="0"/>
                      <w:rPr>
                        <w:rFonts w:ascii="Arial"/>
                        <w:sz w:val="12"/>
                      </w:rPr>
                    </w:pPr>
                  </w:p>
                  <w:p>
                    <w:pPr>
                      <w:spacing w:line="240" w:lineRule="auto" w:before="0"/>
                      <w:rPr>
                        <w:rFonts w:ascii="Arial"/>
                        <w:sz w:val="12"/>
                      </w:rPr>
                    </w:pPr>
                  </w:p>
                  <w:p>
                    <w:pPr>
                      <w:spacing w:before="101"/>
                      <w:ind w:left="0" w:right="0" w:firstLine="0"/>
                      <w:jc w:val="left"/>
                      <w:rPr>
                        <w:rFonts w:ascii="Arial"/>
                        <w:sz w:val="11"/>
                      </w:rPr>
                    </w:pPr>
                    <w:r>
                      <w:rPr>
                        <w:rFonts w:ascii="Arial"/>
                        <w:w w:val="105"/>
                        <w:sz w:val="11"/>
                      </w:rPr>
                      <w:t>15.0</w:t>
                    </w:r>
                  </w:p>
                  <w:p>
                    <w:pPr>
                      <w:spacing w:line="240" w:lineRule="auto" w:before="0"/>
                      <w:rPr>
                        <w:rFonts w:ascii="Arial"/>
                        <w:sz w:val="12"/>
                      </w:rPr>
                    </w:pPr>
                  </w:p>
                  <w:p>
                    <w:pPr>
                      <w:spacing w:line="240" w:lineRule="auto" w:before="0"/>
                      <w:rPr>
                        <w:rFonts w:ascii="Arial"/>
                        <w:sz w:val="12"/>
                      </w:rPr>
                    </w:pPr>
                  </w:p>
                  <w:p>
                    <w:pPr>
                      <w:spacing w:before="103"/>
                      <w:ind w:left="0" w:right="0" w:firstLine="0"/>
                      <w:jc w:val="left"/>
                      <w:rPr>
                        <w:rFonts w:ascii="Arial"/>
                        <w:sz w:val="11"/>
                      </w:rPr>
                    </w:pPr>
                    <w:r>
                      <w:rPr>
                        <w:rFonts w:ascii="Arial"/>
                        <w:w w:val="105"/>
                        <w:sz w:val="11"/>
                      </w:rPr>
                      <w:t>10.0</w:t>
                    </w:r>
                  </w:p>
                  <w:p>
                    <w:pPr>
                      <w:spacing w:line="240" w:lineRule="auto" w:before="0"/>
                      <w:rPr>
                        <w:rFonts w:ascii="Arial"/>
                        <w:sz w:val="12"/>
                      </w:rPr>
                    </w:pPr>
                  </w:p>
                  <w:p>
                    <w:pPr>
                      <w:spacing w:line="240" w:lineRule="auto" w:before="0"/>
                      <w:rPr>
                        <w:rFonts w:ascii="Arial"/>
                        <w:sz w:val="12"/>
                      </w:rPr>
                    </w:pPr>
                  </w:p>
                  <w:p>
                    <w:pPr>
                      <w:spacing w:before="101"/>
                      <w:ind w:left="65" w:right="0" w:firstLine="0"/>
                      <w:jc w:val="left"/>
                      <w:rPr>
                        <w:rFonts w:ascii="Arial"/>
                        <w:sz w:val="11"/>
                      </w:rPr>
                    </w:pPr>
                    <w:r>
                      <w:rPr>
                        <w:rFonts w:ascii="Arial"/>
                        <w:w w:val="105"/>
                        <w:sz w:val="11"/>
                      </w:rPr>
                      <w:t>5.0</w:t>
                    </w:r>
                  </w:p>
                  <w:p>
                    <w:pPr>
                      <w:spacing w:line="240" w:lineRule="auto" w:before="0"/>
                      <w:rPr>
                        <w:rFonts w:ascii="Arial"/>
                        <w:sz w:val="12"/>
                      </w:rPr>
                    </w:pPr>
                  </w:p>
                  <w:p>
                    <w:pPr>
                      <w:spacing w:line="240" w:lineRule="auto" w:before="0"/>
                      <w:rPr>
                        <w:rFonts w:ascii="Arial"/>
                        <w:sz w:val="12"/>
                      </w:rPr>
                    </w:pPr>
                  </w:p>
                  <w:p>
                    <w:pPr>
                      <w:spacing w:before="102"/>
                      <w:ind w:left="65" w:right="0" w:firstLine="0"/>
                      <w:jc w:val="left"/>
                      <w:rPr>
                        <w:rFonts w:ascii="Arial"/>
                        <w:sz w:val="11"/>
                      </w:rPr>
                    </w:pPr>
                    <w:r>
                      <w:rPr>
                        <w:rFonts w:ascii="Arial"/>
                        <w:w w:val="105"/>
                        <w:sz w:val="11"/>
                      </w:rPr>
                      <w:t>0.0</w:t>
                    </w:r>
                  </w:p>
                </w:txbxContent>
              </v:textbox>
              <w10:wrap type="none"/>
            </v:shape>
            <v:shape style="position:absolute;left:3606;top:-3323;width:343;height:185" type="#_x0000_t202" filled="false" stroked="false">
              <v:textbox inset="0,0,0,0">
                <w:txbxContent>
                  <w:p>
                    <w:pPr>
                      <w:spacing w:line="184" w:lineRule="exact" w:before="0"/>
                      <w:ind w:left="0" w:right="0" w:firstLine="0"/>
                      <w:jc w:val="left"/>
                      <w:rPr>
                        <w:rFonts w:ascii="Arial"/>
                        <w:b/>
                        <w:sz w:val="16"/>
                      </w:rPr>
                    </w:pPr>
                    <w:r>
                      <w:rPr>
                        <w:rFonts w:ascii="Arial"/>
                        <w:b/>
                        <w:w w:val="105"/>
                        <w:sz w:val="16"/>
                      </w:rPr>
                      <w:t>24.9</w:t>
                    </w:r>
                  </w:p>
                </w:txbxContent>
              </v:textbox>
              <w10:wrap type="none"/>
            </v:shape>
            <v:shape style="position:absolute;left:1496;top:-3646;width:248;height:132" type="#_x0000_t202" filled="false" stroked="false">
              <v:textbox inset="0,0,0,0">
                <w:txbxContent>
                  <w:p>
                    <w:pPr>
                      <w:spacing w:before="3"/>
                      <w:ind w:left="0" w:right="0" w:firstLine="0"/>
                      <w:jc w:val="left"/>
                      <w:rPr>
                        <w:rFonts w:ascii="Arial"/>
                        <w:sz w:val="11"/>
                      </w:rPr>
                    </w:pPr>
                    <w:r>
                      <w:rPr>
                        <w:rFonts w:ascii="Arial"/>
                        <w:w w:val="105"/>
                        <w:sz w:val="11"/>
                      </w:rPr>
                      <w:t>30.0</w:t>
                    </w:r>
                  </w:p>
                </w:txbxContent>
              </v:textbox>
              <w10:wrap type="none"/>
            </v:shape>
            <v:shape style="position:absolute;left:7516;top:-4212;width:343;height:185" type="#_x0000_t202" filled="false" stroked="false">
              <v:textbox inset="0,0,0,0">
                <w:txbxContent>
                  <w:p>
                    <w:pPr>
                      <w:spacing w:line="184" w:lineRule="exact" w:before="0"/>
                      <w:ind w:left="0" w:right="0" w:firstLine="0"/>
                      <w:jc w:val="left"/>
                      <w:rPr>
                        <w:rFonts w:ascii="Arial"/>
                        <w:b/>
                        <w:sz w:val="16"/>
                      </w:rPr>
                    </w:pPr>
                    <w:r>
                      <w:rPr>
                        <w:rFonts w:ascii="Arial"/>
                        <w:b/>
                        <w:w w:val="105"/>
                        <w:sz w:val="16"/>
                      </w:rPr>
                      <w:t>33.7</w:t>
                    </w:r>
                  </w:p>
                </w:txbxContent>
              </v:textbox>
              <w10:wrap type="none"/>
            </v:shape>
            <v:shape style="position:absolute;left:1496;top:-4655;width:248;height:637" type="#_x0000_t202" filled="false" stroked="false">
              <v:textbox inset="0,0,0,0">
                <w:txbxContent>
                  <w:p>
                    <w:pPr>
                      <w:spacing w:before="3"/>
                      <w:ind w:left="0" w:right="0" w:firstLine="0"/>
                      <w:jc w:val="left"/>
                      <w:rPr>
                        <w:rFonts w:ascii="Arial"/>
                        <w:sz w:val="11"/>
                      </w:rPr>
                    </w:pPr>
                    <w:r>
                      <w:rPr>
                        <w:rFonts w:ascii="Arial"/>
                        <w:w w:val="105"/>
                        <w:sz w:val="11"/>
                      </w:rPr>
                      <w:t>40.0</w:t>
                    </w:r>
                  </w:p>
                  <w:p>
                    <w:pPr>
                      <w:spacing w:line="240" w:lineRule="auto" w:before="0"/>
                      <w:rPr>
                        <w:rFonts w:ascii="Arial"/>
                        <w:sz w:val="12"/>
                      </w:rPr>
                    </w:pPr>
                  </w:p>
                  <w:p>
                    <w:pPr>
                      <w:spacing w:line="240" w:lineRule="auto" w:before="0"/>
                      <w:rPr>
                        <w:rFonts w:ascii="Arial"/>
                        <w:sz w:val="12"/>
                      </w:rPr>
                    </w:pPr>
                  </w:p>
                  <w:p>
                    <w:pPr>
                      <w:spacing w:before="102"/>
                      <w:ind w:left="0" w:right="0" w:firstLine="0"/>
                      <w:jc w:val="left"/>
                      <w:rPr>
                        <w:rFonts w:ascii="Arial"/>
                        <w:sz w:val="11"/>
                      </w:rPr>
                    </w:pPr>
                    <w:r>
                      <w:rPr>
                        <w:rFonts w:ascii="Arial"/>
                        <w:w w:val="105"/>
                        <w:sz w:val="11"/>
                      </w:rPr>
                      <w:t>35.0</w:t>
                    </w:r>
                  </w:p>
                </w:txbxContent>
              </v:textbox>
              <w10:wrap type="none"/>
            </v:shape>
            <v:shape style="position:absolute;left:2233;top:-5260;width:6457;height:337" type="#_x0000_t202" filled="false" stroked="false">
              <v:textbox inset="0,0,0,0">
                <w:txbxContent>
                  <w:p>
                    <w:pPr>
                      <w:spacing w:line="266" w:lineRule="auto" w:before="0"/>
                      <w:ind w:left="2531" w:right="0" w:hanging="2532"/>
                      <w:jc w:val="left"/>
                      <w:rPr>
                        <w:rFonts w:ascii="Arial"/>
                        <w:b/>
                        <w:sz w:val="14"/>
                      </w:rPr>
                    </w:pPr>
                    <w:r>
                      <w:rPr>
                        <w:rFonts w:ascii="Arial"/>
                        <w:b/>
                        <w:sz w:val="14"/>
                      </w:rPr>
                      <w:t>Fig. nr. 6 - Rate pozitivitate (% cazuri BDA spitalizata cu etio precizata) pe specialitati medicale - Bucuresti, vara 2017</w:t>
                    </w:r>
                  </w:p>
                </w:txbxContent>
              </v:textbox>
              <w10:wrap type="none"/>
            </v:shape>
            <w10:wrap type="none"/>
          </v:group>
        </w:pict>
      </w:r>
      <w:r>
        <w:rPr/>
        <w:pict>
          <v:shape style="position:absolute;margin-left:64.188713pt;margin-top:-187.350662pt;width:8.6pt;height:117.9pt;mso-position-horizontal-relative:page;mso-position-vertical-relative:paragraph;z-index:251897856" type="#_x0000_t202" filled="false" stroked="false">
            <v:textbox inset="0,0,0,0" style="layout-flow:vertical;mso-layout-flow-alt:bottom-to-top">
              <w:txbxContent>
                <w:p>
                  <w:pPr>
                    <w:spacing w:before="23"/>
                    <w:ind w:left="20" w:right="0" w:firstLine="0"/>
                    <w:jc w:val="left"/>
                    <w:rPr>
                      <w:rFonts w:ascii="Arial"/>
                      <w:b/>
                      <w:sz w:val="11"/>
                    </w:rPr>
                  </w:pPr>
                  <w:r>
                    <w:rPr>
                      <w:rFonts w:ascii="Arial"/>
                      <w:b/>
                      <w:w w:val="105"/>
                      <w:sz w:val="11"/>
                    </w:rPr>
                    <w:t>% cazuri BDA spitalizate cu etio precizata</w:t>
                  </w:r>
                </w:p>
              </w:txbxContent>
            </v:textbox>
            <w10:wrap type="none"/>
          </v:shape>
        </w:pict>
      </w:r>
      <w:r>
        <w:rPr/>
        <w:t>Supravegherea cazurilor de boala diareica acuta (BDA) spitalizate in sezonul estival 2017, in unitati selectate din municipiul Bucuresti a identificat structura etiologica este redata in tabelul de mai jos. La copil principala etiologie a sindromului BDA a fost reprezentata de rotavirusuri iar la adult de </w:t>
      </w:r>
      <w:r>
        <w:rPr>
          <w:i/>
        </w:rPr>
        <w:t>Cl.</w:t>
      </w:r>
    </w:p>
    <w:p>
      <w:pPr>
        <w:spacing w:before="0"/>
        <w:ind w:left="233" w:right="0" w:firstLine="0"/>
        <w:jc w:val="left"/>
        <w:rPr>
          <w:i/>
          <w:sz w:val="24"/>
        </w:rPr>
      </w:pPr>
      <w:r>
        <w:rPr>
          <w:i/>
          <w:sz w:val="24"/>
        </w:rPr>
        <w:t>Difficile:</w:t>
      </w:r>
    </w:p>
    <w:p>
      <w:pPr>
        <w:pStyle w:val="BodyText"/>
        <w:spacing w:before="1"/>
        <w:ind w:left="0"/>
        <w:rPr>
          <w:i/>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2"/>
      </w:tblGrid>
      <w:tr>
        <w:trPr>
          <w:trHeight w:val="275" w:hRule="atLeast"/>
        </w:trPr>
        <w:tc>
          <w:tcPr>
            <w:tcW w:w="2953" w:type="dxa"/>
          </w:tcPr>
          <w:p>
            <w:pPr>
              <w:pStyle w:val="TableParagraph"/>
              <w:spacing w:line="256" w:lineRule="exact"/>
              <w:ind w:left="732"/>
              <w:rPr>
                <w:sz w:val="24"/>
              </w:rPr>
            </w:pPr>
            <w:r>
              <w:rPr>
                <w:sz w:val="24"/>
              </w:rPr>
              <w:t>Agent etiologic</w:t>
            </w:r>
          </w:p>
        </w:tc>
        <w:tc>
          <w:tcPr>
            <w:tcW w:w="2952" w:type="dxa"/>
          </w:tcPr>
          <w:p>
            <w:pPr>
              <w:pStyle w:val="TableParagraph"/>
              <w:spacing w:line="256" w:lineRule="exact"/>
              <w:ind w:left="716" w:right="708"/>
              <w:jc w:val="center"/>
              <w:rPr>
                <w:sz w:val="24"/>
              </w:rPr>
            </w:pPr>
            <w:r>
              <w:rPr>
                <w:sz w:val="24"/>
              </w:rPr>
              <w:t># pozitivi</w:t>
            </w:r>
          </w:p>
        </w:tc>
        <w:tc>
          <w:tcPr>
            <w:tcW w:w="2952" w:type="dxa"/>
          </w:tcPr>
          <w:p>
            <w:pPr>
              <w:pStyle w:val="TableParagraph"/>
              <w:spacing w:line="256" w:lineRule="exact"/>
              <w:ind w:left="716" w:right="704"/>
              <w:jc w:val="center"/>
              <w:rPr>
                <w:sz w:val="24"/>
              </w:rPr>
            </w:pPr>
            <w:r>
              <w:rPr>
                <w:sz w:val="24"/>
              </w:rPr>
              <w:t>% pozitvi</w:t>
            </w:r>
          </w:p>
        </w:tc>
      </w:tr>
      <w:tr>
        <w:trPr>
          <w:trHeight w:val="276" w:hRule="atLeast"/>
        </w:trPr>
        <w:tc>
          <w:tcPr>
            <w:tcW w:w="2953" w:type="dxa"/>
          </w:tcPr>
          <w:p>
            <w:pPr>
              <w:pStyle w:val="TableParagraph"/>
              <w:spacing w:line="256" w:lineRule="exact"/>
              <w:ind w:left="108"/>
              <w:rPr>
                <w:sz w:val="24"/>
              </w:rPr>
            </w:pPr>
            <w:r>
              <w:rPr>
                <w:sz w:val="24"/>
              </w:rPr>
              <w:t>Rotavirus</w:t>
            </w:r>
          </w:p>
        </w:tc>
        <w:tc>
          <w:tcPr>
            <w:tcW w:w="2952" w:type="dxa"/>
          </w:tcPr>
          <w:p>
            <w:pPr>
              <w:pStyle w:val="TableParagraph"/>
              <w:spacing w:line="256" w:lineRule="exact"/>
              <w:ind w:left="716" w:right="707"/>
              <w:jc w:val="center"/>
              <w:rPr>
                <w:sz w:val="24"/>
              </w:rPr>
            </w:pPr>
            <w:r>
              <w:rPr>
                <w:sz w:val="24"/>
              </w:rPr>
              <w:t>288</w:t>
            </w:r>
          </w:p>
        </w:tc>
        <w:tc>
          <w:tcPr>
            <w:tcW w:w="2952" w:type="dxa"/>
          </w:tcPr>
          <w:p>
            <w:pPr>
              <w:pStyle w:val="TableParagraph"/>
              <w:spacing w:line="256" w:lineRule="exact"/>
              <w:ind w:left="716" w:right="707"/>
              <w:jc w:val="center"/>
              <w:rPr>
                <w:sz w:val="24"/>
              </w:rPr>
            </w:pPr>
            <w:r>
              <w:rPr>
                <w:sz w:val="24"/>
              </w:rPr>
              <w:t>31,8</w:t>
            </w:r>
          </w:p>
        </w:tc>
      </w:tr>
    </w:tbl>
    <w:p>
      <w:pPr>
        <w:spacing w:after="0" w:line="256" w:lineRule="exact"/>
        <w:jc w:val="center"/>
        <w:rPr>
          <w:sz w:val="24"/>
        </w:rPr>
        <w:sectPr>
          <w:pgSz w:w="11910" w:h="16840"/>
          <w:pgMar w:header="0" w:footer="738" w:top="1460" w:bottom="920" w:left="900" w:right="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2"/>
      </w:tblGrid>
      <w:tr>
        <w:trPr>
          <w:trHeight w:val="276" w:hRule="atLeast"/>
        </w:trPr>
        <w:tc>
          <w:tcPr>
            <w:tcW w:w="2953" w:type="dxa"/>
          </w:tcPr>
          <w:p>
            <w:pPr>
              <w:pStyle w:val="TableParagraph"/>
              <w:spacing w:line="256" w:lineRule="exact"/>
              <w:ind w:left="108"/>
              <w:rPr>
                <w:i/>
                <w:sz w:val="24"/>
              </w:rPr>
            </w:pPr>
            <w:r>
              <w:rPr>
                <w:i/>
                <w:sz w:val="24"/>
              </w:rPr>
              <w:t>Clostridium difficile</w:t>
            </w:r>
          </w:p>
        </w:tc>
        <w:tc>
          <w:tcPr>
            <w:tcW w:w="2952" w:type="dxa"/>
          </w:tcPr>
          <w:p>
            <w:pPr>
              <w:pStyle w:val="TableParagraph"/>
              <w:spacing w:line="256" w:lineRule="exact"/>
              <w:ind w:right="1284"/>
              <w:jc w:val="right"/>
              <w:rPr>
                <w:sz w:val="24"/>
              </w:rPr>
            </w:pPr>
            <w:r>
              <w:rPr>
                <w:sz w:val="24"/>
              </w:rPr>
              <w:t>202</w:t>
            </w:r>
          </w:p>
        </w:tc>
        <w:tc>
          <w:tcPr>
            <w:tcW w:w="2952" w:type="dxa"/>
          </w:tcPr>
          <w:p>
            <w:pPr>
              <w:pStyle w:val="TableParagraph"/>
              <w:spacing w:line="256" w:lineRule="exact"/>
              <w:ind w:left="716" w:right="707"/>
              <w:jc w:val="center"/>
              <w:rPr>
                <w:sz w:val="24"/>
              </w:rPr>
            </w:pPr>
            <w:r>
              <w:rPr>
                <w:sz w:val="24"/>
              </w:rPr>
              <w:t>22,3</w:t>
            </w:r>
          </w:p>
        </w:tc>
      </w:tr>
      <w:tr>
        <w:trPr>
          <w:trHeight w:val="275" w:hRule="atLeast"/>
        </w:trPr>
        <w:tc>
          <w:tcPr>
            <w:tcW w:w="2953" w:type="dxa"/>
          </w:tcPr>
          <w:p>
            <w:pPr>
              <w:pStyle w:val="TableParagraph"/>
              <w:spacing w:line="256" w:lineRule="exact"/>
              <w:ind w:left="108"/>
              <w:rPr>
                <w:sz w:val="24"/>
              </w:rPr>
            </w:pPr>
            <w:r>
              <w:rPr>
                <w:sz w:val="24"/>
              </w:rPr>
              <w:t>Norovirus</w:t>
            </w:r>
          </w:p>
        </w:tc>
        <w:tc>
          <w:tcPr>
            <w:tcW w:w="2952" w:type="dxa"/>
          </w:tcPr>
          <w:p>
            <w:pPr>
              <w:pStyle w:val="TableParagraph"/>
              <w:spacing w:line="256" w:lineRule="exact"/>
              <w:ind w:right="1284"/>
              <w:jc w:val="right"/>
              <w:rPr>
                <w:sz w:val="24"/>
              </w:rPr>
            </w:pPr>
            <w:r>
              <w:rPr>
                <w:sz w:val="24"/>
              </w:rPr>
              <w:t>176</w:t>
            </w:r>
          </w:p>
        </w:tc>
        <w:tc>
          <w:tcPr>
            <w:tcW w:w="2952" w:type="dxa"/>
          </w:tcPr>
          <w:p>
            <w:pPr>
              <w:pStyle w:val="TableParagraph"/>
              <w:spacing w:line="256" w:lineRule="exact"/>
              <w:ind w:left="716" w:right="707"/>
              <w:jc w:val="center"/>
              <w:rPr>
                <w:sz w:val="24"/>
              </w:rPr>
            </w:pPr>
            <w:r>
              <w:rPr>
                <w:sz w:val="24"/>
              </w:rPr>
              <w:t>19,4</w:t>
            </w:r>
          </w:p>
        </w:tc>
      </w:tr>
      <w:tr>
        <w:trPr>
          <w:trHeight w:val="275" w:hRule="atLeast"/>
        </w:trPr>
        <w:tc>
          <w:tcPr>
            <w:tcW w:w="2953" w:type="dxa"/>
          </w:tcPr>
          <w:p>
            <w:pPr>
              <w:pStyle w:val="TableParagraph"/>
              <w:spacing w:line="256" w:lineRule="exact"/>
              <w:ind w:left="108"/>
              <w:rPr>
                <w:sz w:val="24"/>
              </w:rPr>
            </w:pPr>
            <w:r>
              <w:rPr>
                <w:i/>
                <w:sz w:val="24"/>
              </w:rPr>
              <w:t>Campyloacter </w:t>
            </w:r>
            <w:r>
              <w:rPr>
                <w:sz w:val="24"/>
              </w:rPr>
              <w:t>spp</w:t>
            </w:r>
          </w:p>
        </w:tc>
        <w:tc>
          <w:tcPr>
            <w:tcW w:w="2952" w:type="dxa"/>
          </w:tcPr>
          <w:p>
            <w:pPr>
              <w:pStyle w:val="TableParagraph"/>
              <w:spacing w:line="256" w:lineRule="exact"/>
              <w:ind w:right="1284"/>
              <w:jc w:val="right"/>
              <w:rPr>
                <w:sz w:val="24"/>
              </w:rPr>
            </w:pPr>
            <w:r>
              <w:rPr>
                <w:sz w:val="24"/>
              </w:rPr>
              <w:t>108</w:t>
            </w:r>
          </w:p>
        </w:tc>
        <w:tc>
          <w:tcPr>
            <w:tcW w:w="2952" w:type="dxa"/>
          </w:tcPr>
          <w:p>
            <w:pPr>
              <w:pStyle w:val="TableParagraph"/>
              <w:spacing w:line="256" w:lineRule="exact"/>
              <w:ind w:left="716" w:right="707"/>
              <w:jc w:val="center"/>
              <w:rPr>
                <w:sz w:val="24"/>
              </w:rPr>
            </w:pPr>
            <w:r>
              <w:rPr>
                <w:sz w:val="24"/>
              </w:rPr>
              <w:t>11,9</w:t>
            </w:r>
          </w:p>
        </w:tc>
      </w:tr>
      <w:tr>
        <w:trPr>
          <w:trHeight w:val="278" w:hRule="atLeast"/>
        </w:trPr>
        <w:tc>
          <w:tcPr>
            <w:tcW w:w="2953" w:type="dxa"/>
          </w:tcPr>
          <w:p>
            <w:pPr>
              <w:pStyle w:val="TableParagraph"/>
              <w:spacing w:line="257" w:lineRule="exact" w:before="1"/>
              <w:ind w:left="108"/>
              <w:rPr>
                <w:sz w:val="24"/>
              </w:rPr>
            </w:pPr>
            <w:r>
              <w:rPr>
                <w:i/>
                <w:sz w:val="24"/>
              </w:rPr>
              <w:t>Salmonella </w:t>
            </w:r>
            <w:r>
              <w:rPr>
                <w:sz w:val="24"/>
              </w:rPr>
              <w:t>spp</w:t>
            </w:r>
          </w:p>
        </w:tc>
        <w:tc>
          <w:tcPr>
            <w:tcW w:w="2952" w:type="dxa"/>
          </w:tcPr>
          <w:p>
            <w:pPr>
              <w:pStyle w:val="TableParagraph"/>
              <w:spacing w:line="257" w:lineRule="exact" w:before="1"/>
              <w:ind w:right="1344"/>
              <w:jc w:val="right"/>
              <w:rPr>
                <w:sz w:val="24"/>
              </w:rPr>
            </w:pPr>
            <w:r>
              <w:rPr>
                <w:sz w:val="24"/>
              </w:rPr>
              <w:t>74</w:t>
            </w:r>
          </w:p>
        </w:tc>
        <w:tc>
          <w:tcPr>
            <w:tcW w:w="2952" w:type="dxa"/>
          </w:tcPr>
          <w:p>
            <w:pPr>
              <w:pStyle w:val="TableParagraph"/>
              <w:spacing w:line="257" w:lineRule="exact" w:before="1"/>
              <w:ind w:left="716" w:right="707"/>
              <w:jc w:val="center"/>
              <w:rPr>
                <w:sz w:val="24"/>
              </w:rPr>
            </w:pPr>
            <w:r>
              <w:rPr>
                <w:sz w:val="24"/>
              </w:rPr>
              <w:t>8,2</w:t>
            </w:r>
          </w:p>
        </w:tc>
      </w:tr>
      <w:tr>
        <w:trPr>
          <w:trHeight w:val="275" w:hRule="atLeast"/>
        </w:trPr>
        <w:tc>
          <w:tcPr>
            <w:tcW w:w="2953" w:type="dxa"/>
          </w:tcPr>
          <w:p>
            <w:pPr>
              <w:pStyle w:val="TableParagraph"/>
              <w:spacing w:line="256" w:lineRule="exact"/>
              <w:ind w:left="108"/>
              <w:rPr>
                <w:sz w:val="24"/>
              </w:rPr>
            </w:pPr>
            <w:r>
              <w:rPr>
                <w:sz w:val="24"/>
              </w:rPr>
              <w:t>Escherichia coli patogen</w:t>
            </w:r>
          </w:p>
        </w:tc>
        <w:tc>
          <w:tcPr>
            <w:tcW w:w="2952" w:type="dxa"/>
          </w:tcPr>
          <w:p>
            <w:pPr>
              <w:pStyle w:val="TableParagraph"/>
              <w:spacing w:line="256" w:lineRule="exact"/>
              <w:ind w:right="1344"/>
              <w:jc w:val="right"/>
              <w:rPr>
                <w:sz w:val="24"/>
              </w:rPr>
            </w:pPr>
            <w:r>
              <w:rPr>
                <w:sz w:val="24"/>
              </w:rPr>
              <w:t>46</w:t>
            </w:r>
          </w:p>
        </w:tc>
        <w:tc>
          <w:tcPr>
            <w:tcW w:w="2952" w:type="dxa"/>
          </w:tcPr>
          <w:p>
            <w:pPr>
              <w:pStyle w:val="TableParagraph"/>
              <w:spacing w:line="256" w:lineRule="exact"/>
              <w:ind w:left="716" w:right="707"/>
              <w:jc w:val="center"/>
              <w:rPr>
                <w:sz w:val="24"/>
              </w:rPr>
            </w:pPr>
            <w:r>
              <w:rPr>
                <w:sz w:val="24"/>
              </w:rPr>
              <w:t>5,1</w:t>
            </w:r>
          </w:p>
        </w:tc>
      </w:tr>
      <w:tr>
        <w:trPr>
          <w:trHeight w:val="275" w:hRule="atLeast"/>
        </w:trPr>
        <w:tc>
          <w:tcPr>
            <w:tcW w:w="2953" w:type="dxa"/>
          </w:tcPr>
          <w:p>
            <w:pPr>
              <w:pStyle w:val="TableParagraph"/>
              <w:spacing w:line="256" w:lineRule="exact"/>
              <w:ind w:left="108"/>
              <w:rPr>
                <w:sz w:val="24"/>
              </w:rPr>
            </w:pPr>
            <w:r>
              <w:rPr>
                <w:sz w:val="24"/>
              </w:rPr>
              <w:t>Alti *</w:t>
            </w:r>
          </w:p>
        </w:tc>
        <w:tc>
          <w:tcPr>
            <w:tcW w:w="2952" w:type="dxa"/>
          </w:tcPr>
          <w:p>
            <w:pPr>
              <w:pStyle w:val="TableParagraph"/>
              <w:spacing w:line="256" w:lineRule="exact"/>
              <w:ind w:right="1344"/>
              <w:jc w:val="right"/>
              <w:rPr>
                <w:sz w:val="24"/>
              </w:rPr>
            </w:pPr>
            <w:r>
              <w:rPr>
                <w:sz w:val="24"/>
              </w:rPr>
              <w:t>11</w:t>
            </w:r>
          </w:p>
        </w:tc>
        <w:tc>
          <w:tcPr>
            <w:tcW w:w="2952" w:type="dxa"/>
          </w:tcPr>
          <w:p>
            <w:pPr>
              <w:pStyle w:val="TableParagraph"/>
              <w:spacing w:line="256" w:lineRule="exact"/>
              <w:ind w:left="716" w:right="707"/>
              <w:jc w:val="center"/>
              <w:rPr>
                <w:sz w:val="24"/>
              </w:rPr>
            </w:pPr>
            <w:r>
              <w:rPr>
                <w:sz w:val="24"/>
              </w:rPr>
              <w:t>1,2</w:t>
            </w:r>
          </w:p>
        </w:tc>
      </w:tr>
      <w:tr>
        <w:trPr>
          <w:trHeight w:val="275" w:hRule="atLeast"/>
        </w:trPr>
        <w:tc>
          <w:tcPr>
            <w:tcW w:w="2953" w:type="dxa"/>
          </w:tcPr>
          <w:p>
            <w:pPr>
              <w:pStyle w:val="TableParagraph"/>
              <w:spacing w:line="256" w:lineRule="exact"/>
              <w:ind w:left="108"/>
              <w:rPr>
                <w:sz w:val="24"/>
              </w:rPr>
            </w:pPr>
            <w:r>
              <w:rPr>
                <w:sz w:val="24"/>
              </w:rPr>
              <w:t>Total</w:t>
            </w:r>
          </w:p>
        </w:tc>
        <w:tc>
          <w:tcPr>
            <w:tcW w:w="2952" w:type="dxa"/>
          </w:tcPr>
          <w:p>
            <w:pPr>
              <w:pStyle w:val="TableParagraph"/>
              <w:spacing w:line="256" w:lineRule="exact"/>
              <w:ind w:right="1284"/>
              <w:jc w:val="right"/>
              <w:rPr>
                <w:sz w:val="24"/>
              </w:rPr>
            </w:pPr>
            <w:r>
              <w:rPr>
                <w:sz w:val="24"/>
              </w:rPr>
              <w:t>905</w:t>
            </w:r>
          </w:p>
        </w:tc>
        <w:tc>
          <w:tcPr>
            <w:tcW w:w="2952" w:type="dxa"/>
          </w:tcPr>
          <w:p>
            <w:pPr>
              <w:pStyle w:val="TableParagraph"/>
              <w:spacing w:line="256" w:lineRule="exact"/>
              <w:ind w:left="716" w:right="707"/>
              <w:jc w:val="center"/>
              <w:rPr>
                <w:sz w:val="24"/>
              </w:rPr>
            </w:pPr>
            <w:r>
              <w:rPr>
                <w:sz w:val="24"/>
              </w:rPr>
              <w:t>100,0</w:t>
            </w:r>
          </w:p>
        </w:tc>
      </w:tr>
      <w:tr>
        <w:trPr>
          <w:trHeight w:val="275" w:hRule="atLeast"/>
        </w:trPr>
        <w:tc>
          <w:tcPr>
            <w:tcW w:w="8857" w:type="dxa"/>
            <w:gridSpan w:val="3"/>
          </w:tcPr>
          <w:p>
            <w:pPr>
              <w:pStyle w:val="TableParagraph"/>
              <w:spacing w:line="256" w:lineRule="exact"/>
              <w:ind w:left="108"/>
              <w:rPr>
                <w:i/>
                <w:sz w:val="24"/>
              </w:rPr>
            </w:pPr>
            <w:r>
              <w:rPr>
                <w:sz w:val="24"/>
              </w:rPr>
              <w:t>*) Sigella spp, </w:t>
            </w:r>
            <w:r>
              <w:rPr>
                <w:i/>
                <w:sz w:val="24"/>
              </w:rPr>
              <w:t>Yersina enterocolitica</w:t>
            </w:r>
            <w:r>
              <w:rPr>
                <w:sz w:val="24"/>
              </w:rPr>
              <w:t>, </w:t>
            </w:r>
            <w:r>
              <w:rPr>
                <w:i/>
                <w:sz w:val="24"/>
              </w:rPr>
              <w:t>Giardia lamblia</w:t>
            </w:r>
          </w:p>
        </w:tc>
      </w:tr>
    </w:tbl>
    <w:p>
      <w:pPr>
        <w:pStyle w:val="BodyText"/>
        <w:spacing w:before="1"/>
        <w:ind w:left="0"/>
        <w:rPr>
          <w:i/>
          <w:sz w:val="16"/>
        </w:rPr>
      </w:pPr>
    </w:p>
    <w:p>
      <w:pPr>
        <w:spacing w:before="90"/>
        <w:ind w:left="233" w:right="0" w:firstLine="0"/>
        <w:jc w:val="left"/>
        <w:rPr>
          <w:b/>
          <w:sz w:val="24"/>
        </w:rPr>
      </w:pPr>
      <w:r>
        <w:rPr>
          <w:sz w:val="24"/>
        </w:rPr>
        <w:t>Au fost dispuse urmatoarele </w:t>
      </w:r>
      <w:r>
        <w:rPr>
          <w:b/>
          <w:sz w:val="24"/>
        </w:rPr>
        <w:t>recomandari:</w:t>
      </w:r>
    </w:p>
    <w:p>
      <w:pPr>
        <w:pStyle w:val="BodyText"/>
        <w:ind w:left="233" w:right="1032"/>
      </w:pPr>
      <w:r>
        <w:rPr/>
        <w:t>-investigarea cazurilor de boala diareica acuta (comunitare sau asociate cu spitalizarea) in laborator prin tehnici nonculturale (de depistare a prezentei antigenului) pentru virusuri (rotavirus, adenovirus, norovirus) sau pentru </w:t>
      </w:r>
      <w:r>
        <w:rPr>
          <w:i/>
        </w:rPr>
        <w:t>Campylobacter </w:t>
      </w:r>
      <w:r>
        <w:rPr/>
        <w:t>spp la copil si respectiv pentru </w:t>
      </w:r>
      <w:r>
        <w:rPr>
          <w:i/>
        </w:rPr>
        <w:t>Clostridium difficile </w:t>
      </w:r>
      <w:r>
        <w:rPr/>
        <w:t>la adult, iar tratamentul antimicrobian va fi adaptat in functie de rezultatul acestor investigatii</w:t>
      </w:r>
    </w:p>
    <w:p>
      <w:pPr>
        <w:pStyle w:val="ListParagraph"/>
        <w:numPr>
          <w:ilvl w:val="0"/>
          <w:numId w:val="2"/>
        </w:numPr>
        <w:tabs>
          <w:tab w:pos="373" w:val="left" w:leader="none"/>
        </w:tabs>
        <w:spacing w:line="240" w:lineRule="auto" w:before="1" w:after="0"/>
        <w:ind w:left="233" w:right="1354" w:firstLine="0"/>
        <w:jc w:val="left"/>
        <w:rPr>
          <w:sz w:val="24"/>
        </w:rPr>
      </w:pPr>
      <w:r>
        <w:rPr>
          <w:sz w:val="24"/>
        </w:rPr>
        <w:t>s-a recomandat medicilor de familie de a se abtine de la administrarea intempestiva de medicatie antimicrobiana si de a motiva parintii sa-si vaccineze copiii cu vaccin</w:t>
      </w:r>
      <w:r>
        <w:rPr>
          <w:spacing w:val="-6"/>
          <w:sz w:val="24"/>
        </w:rPr>
        <w:t> </w:t>
      </w:r>
      <w:r>
        <w:rPr>
          <w:sz w:val="24"/>
        </w:rPr>
        <w:t>antirotaviral.</w:t>
      </w:r>
    </w:p>
    <w:p>
      <w:pPr>
        <w:pStyle w:val="BodyText"/>
        <w:ind w:left="0"/>
        <w:rPr>
          <w:sz w:val="18"/>
        </w:rPr>
      </w:pPr>
      <w:r>
        <w:rPr/>
        <w:pict>
          <v:shape style="position:absolute;margin-left:55.200001pt;margin-top:11.558985pt;width:499.95pt;height:13.8pt;mso-position-horizontal-relative:page;mso-position-vertical-relative:paragraph;z-index:-251416576;mso-wrap-distance-left:0;mso-wrap-distance-right:0" type="#_x0000_t202" filled="true" fillcolor="#d9d9d9" stroked="false">
            <v:textbox inset="0,0,0,0">
              <w:txbxContent>
                <w:p>
                  <w:pPr>
                    <w:spacing w:line="275" w:lineRule="exact" w:before="0"/>
                    <w:ind w:left="2129" w:right="0" w:firstLine="0"/>
                    <w:jc w:val="left"/>
                    <w:rPr>
                      <w:b/>
                      <w:sz w:val="24"/>
                    </w:rPr>
                  </w:pPr>
                  <w:r>
                    <w:rPr>
                      <w:b/>
                      <w:sz w:val="24"/>
                      <w:u w:val="thick"/>
                    </w:rPr>
                    <w:t>Supraveghere Rujeola si Rubeola</w:t>
                  </w:r>
                </w:p>
              </w:txbxContent>
            </v:textbox>
            <v:fill type="solid"/>
            <w10:wrap type="topAndBottom"/>
          </v:shape>
        </w:pict>
      </w:r>
    </w:p>
    <w:p>
      <w:pPr>
        <w:pStyle w:val="BodyText"/>
        <w:spacing w:before="9"/>
        <w:ind w:left="0"/>
        <w:rPr>
          <w:sz w:val="14"/>
        </w:rPr>
      </w:pPr>
    </w:p>
    <w:p>
      <w:pPr>
        <w:pStyle w:val="BodyText"/>
        <w:spacing w:before="90"/>
        <w:ind w:left="233" w:right="880"/>
      </w:pPr>
      <w:r>
        <w:rPr>
          <w:b/>
        </w:rPr>
        <w:t>Misiune: </w:t>
      </w:r>
      <w:r>
        <w:rPr/>
        <w:t>supravegherea epidemiologica a rujeolei si rubeolei; calitatea supravegherii trebuie sa corespunda criteriilor de performata stabilite de catre Organizatia Mondiala a Sanatatii, biroul regional pentru Europa, in vederea certificarii eliminarii rujeolei si a sindromului rubeolic congenital.</w:t>
      </w:r>
    </w:p>
    <w:p>
      <w:pPr>
        <w:pStyle w:val="BodyText"/>
        <w:ind w:left="233" w:right="1381"/>
      </w:pPr>
      <w:r>
        <w:rPr/>
        <w:t>In primele 7 luni ale anului 2017 frecventa lunara a cazurilor raportate de rujeola a crescut in ritm exponential de la 3 cazuri in luna ianuarie la 93 de cazuri in luna iulie 2017.</w:t>
      </w:r>
    </w:p>
    <w:p>
      <w:pPr>
        <w:pStyle w:val="BodyText"/>
        <w:ind w:left="233" w:right="1640"/>
      </w:pPr>
      <w:r>
        <w:rPr/>
        <w:pict>
          <v:shape style="position:absolute;margin-left:69.791306pt;margin-top:90.215668pt;width:11pt;height:75.3pt;mso-position-horizontal-relative:page;mso-position-vertical-relative:paragraph;z-index:251910144" type="#_x0000_t202" filled="false" stroked="false">
            <v:textbox inset="0,0,0,0" style="layout-flow:vertical;mso-layout-flow-alt:bottom-to-top">
              <w:txbxContent>
                <w:p>
                  <w:pPr>
                    <w:spacing w:before="15"/>
                    <w:ind w:left="20" w:right="0" w:firstLine="0"/>
                    <w:jc w:val="left"/>
                    <w:rPr>
                      <w:rFonts w:ascii="Arial"/>
                      <w:b/>
                      <w:sz w:val="16"/>
                    </w:rPr>
                  </w:pPr>
                  <w:r>
                    <w:rPr>
                      <w:rFonts w:ascii="Arial"/>
                      <w:b/>
                      <w:sz w:val="16"/>
                    </w:rPr>
                    <w:t># cazuri confirmate</w:t>
                  </w:r>
                </w:p>
              </w:txbxContent>
            </v:textbox>
            <w10:wrap type="none"/>
          </v:shape>
        </w:pict>
      </w:r>
      <w:r>
        <w:rPr/>
        <w:t>Frecventa cazurilor de rujeola in perioada ianuarie-iulie, confirmate dupa luna de debut, pentru populatia din municipiul Bucuresti este redata in diagrama de mai jos: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3"/>
        </w:rPr>
      </w:pPr>
    </w:p>
    <w:p>
      <w:pPr>
        <w:pStyle w:val="BodyText"/>
        <w:spacing w:line="232" w:lineRule="auto" w:before="97"/>
        <w:ind w:left="233" w:right="829"/>
        <w:jc w:val="both"/>
      </w:pPr>
      <w:r>
        <w:rPr/>
        <w:pict>
          <v:group style="position:absolute;margin-left:60.189926pt;margin-top:-191.815399pt;width:416.05pt;height:181.45pt;mso-position-horizontal-relative:page;mso-position-vertical-relative:paragraph;z-index:251909120" coordorigin="1204,-3836" coordsize="8321,3629">
            <v:rect style="position:absolute;left:1213;top:-3827;width:8302;height:3610" filled="false" stroked="true" strokeweight=".959984pt" strokecolor="#000000">
              <v:stroke dashstyle="solid"/>
            </v:rect>
            <v:shape style="position:absolute;left:2133;top:-1116;width:7224;height:2" coordorigin="2133,-1116" coordsize="7224,0" path="m9126,-1116l9356,-1116m8094,-1116l8552,-1116m7061,-1116l7520,-1116m6029,-1116l6487,-1116m3967,-1116l5458,-1116m2133,-1116l3393,-1116e" filled="false" stroked="true" strokeweight=".959985pt" strokecolor="#000000">
              <v:path arrowok="t"/>
              <v:stroke dashstyle="solid"/>
            </v:shape>
            <v:shape style="position:absolute;left:2133;top:-3241;width:7224;height:1861" coordorigin="2133,-3241" coordsize="7224,1861" path="m9126,-1380l9356,-1380m8094,-1380l8552,-1380m7061,-1380l7520,-1380m2133,-1380l6487,-1380m9126,-1646l9356,-1646m8094,-1646l8552,-1646m2133,-1646l7520,-1646m9126,-1913l9356,-1913m8094,-1913l8552,-1913m2133,-1913l7520,-1913m9126,-2177l9356,-2177m8094,-2177l8552,-2177m2133,-2177l7520,-2177m9126,-2443l9356,-2443m2133,-2443l8552,-2443m9126,-2710l9356,-2710m2133,-2710l8552,-2710m9126,-2977l9356,-2977m2133,-2977l8552,-2977m9126,-3241l9356,-3241m2133,-3241l8552,-3241e" filled="false" stroked="true" strokeweight=".959985pt" strokecolor="#000000">
              <v:path arrowok="t"/>
              <v:stroke dashstyle="solid"/>
            </v:shape>
            <v:line style="position:absolute" from="2133,-3507" to="9356,-3507" stroked="true" strokeweight=".959985pt" strokecolor="#000000">
              <v:stroke dashstyle="solid"/>
            </v:line>
            <v:rect style="position:absolute;left:2133;top:-3508;width:7224;height:2659" filled="false" stroked="true" strokeweight=".959984pt" strokecolor="#808080">
              <v:stroke dashstyle="solid"/>
            </v:rect>
            <v:line style="position:absolute" from="2361,-888" to="2935,-888" stroked="true" strokeweight="3.959937pt" strokecolor="#ccffcc">
              <v:stroke dashstyle="solid"/>
            </v:line>
            <v:rect style="position:absolute;left:2361;top:-928;width:574;height:80" filled="false" stroked="true" strokeweight=".959985pt" strokecolor="#000000">
              <v:stroke dashstyle="solid"/>
            </v:rect>
            <v:rect style="position:absolute;left:3392;top:-1354;width:575;height:505" filled="true" fillcolor="#ccffcc" stroked="false">
              <v:fill type="solid"/>
            </v:rect>
            <v:rect style="position:absolute;left:3392;top:-1354;width:575;height:505" filled="false" stroked="true" strokeweight=".959983pt" strokecolor="#000000">
              <v:stroke dashstyle="solid"/>
            </v:rect>
            <v:rect style="position:absolute;left:4425;top:-1063;width:574;height:215" filled="true" fillcolor="#ccffcc" stroked="false">
              <v:fill type="solid"/>
            </v:rect>
            <v:rect style="position:absolute;left:4425;top:-1063;width:574;height:215" filled="false" stroked="true" strokeweight=".959984pt" strokecolor="#000000">
              <v:stroke dashstyle="solid"/>
            </v:rect>
            <v:rect style="position:absolute;left:5457;top:-1301;width:572;height:452" filled="true" fillcolor="#ccffcc" stroked="false">
              <v:fill type="solid"/>
            </v:rect>
            <v:rect style="position:absolute;left:5457;top:-1301;width:572;height:452" filled="false" stroked="true" strokeweight=".959983pt" strokecolor="#000000">
              <v:stroke dashstyle="solid"/>
            </v:rect>
            <v:rect style="position:absolute;left:6487;top:-1407;width:574;height:558" filled="true" fillcolor="#ccffcc" stroked="false">
              <v:fill type="solid"/>
            </v:rect>
            <v:rect style="position:absolute;left:6487;top:-1407;width:574;height:558" filled="false" stroked="true" strokeweight=".959982pt" strokecolor="#000000">
              <v:stroke dashstyle="solid"/>
            </v:rect>
            <v:rect style="position:absolute;left:7520;top:-2285;width:574;height:1437" filled="true" fillcolor="#ccffcc" stroked="false">
              <v:fill type="solid"/>
            </v:rect>
            <v:rect style="position:absolute;left:7520;top:-2285;width:574;height:1437" filled="false" stroked="true" strokeweight=".959981pt" strokecolor="#000000">
              <v:stroke dashstyle="solid"/>
            </v:rect>
            <v:rect style="position:absolute;left:8552;top:-3323;width:574;height:2474" filled="true" fillcolor="#ccffcc" stroked="false">
              <v:fill type="solid"/>
            </v:rect>
            <v:rect style="position:absolute;left:8552;top:-3323;width:574;height:2474" filled="false" stroked="true" strokeweight=".95998pt" strokecolor="#000000">
              <v:stroke dashstyle="solid"/>
            </v:rect>
            <v:shape style="position:absolute;left:941;top:626;width:7282;height:2722" coordorigin="941,627" coordsize="7282,2722" path="m2133,-3507l2133,-849m2075,-849l2133,-849m2075,-1116l2133,-1116m2075,-1380l2133,-1380m2075,-1646l2133,-1646m2075,-1913l2133,-1913m2075,-2177l2133,-2177m2075,-2443l2133,-2443m2075,-2710l2133,-2710m2075,-2977l2133,-2977m2075,-3241l2133,-3241m2075,-3507l2133,-3507m2133,-849l9356,-849m2133,-786l2133,-849m3165,-786l3165,-849m4198,-786l4198,-849m5230,-786l5230,-849m6259,-786l6259,-849m7291,-786l7291,-849m8324,-786l8324,-849m9356,-786l9356,-849e" filled="false" stroked="true" strokeweight=".959982pt" strokecolor="#000000">
              <v:path arrowok="t"/>
              <v:stroke dashstyle="solid"/>
            </v:shape>
            <v:shape style="position:absolute;left:8614;top:-667;width:474;height:223" type="#_x0000_t202" filled="false" stroked="false">
              <v:textbox inset="0,0,0,0">
                <w:txbxContent>
                  <w:p>
                    <w:pPr>
                      <w:spacing w:line="223" w:lineRule="exact" w:before="0"/>
                      <w:ind w:left="0" w:right="0" w:firstLine="0"/>
                      <w:jc w:val="left"/>
                      <w:rPr>
                        <w:rFonts w:ascii="Arial"/>
                        <w:b/>
                        <w:sz w:val="20"/>
                      </w:rPr>
                    </w:pPr>
                    <w:r>
                      <w:rPr>
                        <w:rFonts w:ascii="Arial"/>
                        <w:b/>
                        <w:sz w:val="20"/>
                      </w:rPr>
                      <w:t>7_Iul</w:t>
                    </w:r>
                  </w:p>
                </w:txbxContent>
              </v:textbox>
              <w10:wrap type="none"/>
            </v:shape>
            <v:shape style="position:absolute;left:7548;top:-667;width:540;height:223" type="#_x0000_t202" filled="false" stroked="false">
              <v:textbox inset="0,0,0,0">
                <w:txbxContent>
                  <w:p>
                    <w:pPr>
                      <w:spacing w:line="223" w:lineRule="exact" w:before="0"/>
                      <w:ind w:left="0" w:right="0" w:firstLine="0"/>
                      <w:jc w:val="left"/>
                      <w:rPr>
                        <w:rFonts w:ascii="Arial"/>
                        <w:b/>
                        <w:sz w:val="20"/>
                      </w:rPr>
                    </w:pPr>
                    <w:r>
                      <w:rPr>
                        <w:rFonts w:ascii="Arial"/>
                        <w:b/>
                        <w:sz w:val="20"/>
                      </w:rPr>
                      <w:t>6_Iun</w:t>
                    </w:r>
                  </w:p>
                </w:txbxContent>
              </v:textbox>
              <w10:wrap type="none"/>
            </v:shape>
            <v:shape style="position:absolute;left:6497;top:-667;width:577;height:223" type="#_x0000_t202" filled="false" stroked="false">
              <v:textbox inset="0,0,0,0">
                <w:txbxContent>
                  <w:p>
                    <w:pPr>
                      <w:spacing w:line="223" w:lineRule="exact" w:before="0"/>
                      <w:ind w:left="0" w:right="0" w:firstLine="0"/>
                      <w:jc w:val="left"/>
                      <w:rPr>
                        <w:rFonts w:ascii="Arial"/>
                        <w:b/>
                        <w:sz w:val="20"/>
                      </w:rPr>
                    </w:pPr>
                    <w:r>
                      <w:rPr>
                        <w:rFonts w:ascii="Arial"/>
                        <w:b/>
                        <w:sz w:val="20"/>
                      </w:rPr>
                      <w:t>5_Mai</w:t>
                    </w:r>
                  </w:p>
                </w:txbxContent>
              </v:textbox>
              <w10:wrap type="none"/>
            </v:shape>
            <v:shape style="position:absolute;left:5467;top:-667;width:578;height:223" type="#_x0000_t202" filled="false" stroked="false">
              <v:textbox inset="0,0,0,0">
                <w:txbxContent>
                  <w:p>
                    <w:pPr>
                      <w:spacing w:line="223" w:lineRule="exact" w:before="0"/>
                      <w:ind w:left="0" w:right="0" w:firstLine="0"/>
                      <w:jc w:val="left"/>
                      <w:rPr>
                        <w:rFonts w:ascii="Arial"/>
                        <w:b/>
                        <w:sz w:val="20"/>
                      </w:rPr>
                    </w:pPr>
                    <w:r>
                      <w:rPr>
                        <w:rFonts w:ascii="Arial"/>
                        <w:b/>
                        <w:sz w:val="20"/>
                      </w:rPr>
                      <w:t>4_Apr</w:t>
                    </w:r>
                  </w:p>
                </w:txbxContent>
              </v:textbox>
              <w10:wrap type="none"/>
            </v:shape>
            <v:shape style="position:absolute;left:4425;top:-667;width:600;height:223" type="#_x0000_t202" filled="false" stroked="false">
              <v:textbox inset="0,0,0,0">
                <w:txbxContent>
                  <w:p>
                    <w:pPr>
                      <w:spacing w:line="223" w:lineRule="exact" w:before="0"/>
                      <w:ind w:left="0" w:right="0" w:firstLine="0"/>
                      <w:jc w:val="left"/>
                      <w:rPr>
                        <w:rFonts w:ascii="Arial"/>
                        <w:b/>
                        <w:sz w:val="20"/>
                      </w:rPr>
                    </w:pPr>
                    <w:r>
                      <w:rPr>
                        <w:rFonts w:ascii="Arial"/>
                        <w:b/>
                        <w:sz w:val="20"/>
                      </w:rPr>
                      <w:t>3_Mar</w:t>
                    </w:r>
                  </w:p>
                </w:txbxContent>
              </v:textbox>
              <w10:wrap type="none"/>
            </v:shape>
            <v:shape style="position:absolute;left:3392;top:-667;width:596;height:223" type="#_x0000_t202" filled="false" stroked="false">
              <v:textbox inset="0,0,0,0">
                <w:txbxContent>
                  <w:p>
                    <w:pPr>
                      <w:spacing w:line="223" w:lineRule="exact" w:before="0"/>
                      <w:ind w:left="0" w:right="0" w:firstLine="0"/>
                      <w:jc w:val="left"/>
                      <w:rPr>
                        <w:rFonts w:ascii="Arial"/>
                        <w:b/>
                        <w:sz w:val="20"/>
                      </w:rPr>
                    </w:pPr>
                    <w:r>
                      <w:rPr>
                        <w:rFonts w:ascii="Arial"/>
                        <w:b/>
                        <w:sz w:val="20"/>
                      </w:rPr>
                      <w:t>2_Feb</w:t>
                    </w:r>
                  </w:p>
                </w:txbxContent>
              </v:textbox>
              <w10:wrap type="none"/>
            </v:shape>
            <v:shape style="position:absolute;left:2394;top:-667;width:528;height:223" type="#_x0000_t202" filled="false" stroked="false">
              <v:textbox inset="0,0,0,0">
                <w:txbxContent>
                  <w:p>
                    <w:pPr>
                      <w:spacing w:line="223" w:lineRule="exact" w:before="0"/>
                      <w:ind w:left="0" w:right="0" w:firstLine="0"/>
                      <w:jc w:val="left"/>
                      <w:rPr>
                        <w:rFonts w:ascii="Arial"/>
                        <w:b/>
                        <w:sz w:val="20"/>
                      </w:rPr>
                    </w:pPr>
                    <w:r>
                      <w:rPr>
                        <w:rFonts w:ascii="Arial"/>
                        <w:b/>
                        <w:sz w:val="20"/>
                      </w:rPr>
                      <w:t>1_Ian</w:t>
                    </w:r>
                  </w:p>
                </w:txbxContent>
              </v:textbox>
              <w10:wrap type="none"/>
            </v:shape>
            <v:shape style="position:absolute;left:1688;top:-3615;width:323;height:2860" type="#_x0000_t202" filled="false" stroked="false">
              <v:textbox inset="0,0,0,0">
                <w:txbxContent>
                  <w:p>
                    <w:pPr>
                      <w:spacing w:line="201" w:lineRule="exact" w:before="0"/>
                      <w:ind w:left="0" w:right="18" w:firstLine="0"/>
                      <w:jc w:val="right"/>
                      <w:rPr>
                        <w:rFonts w:ascii="Arial"/>
                        <w:b/>
                        <w:sz w:val="18"/>
                      </w:rPr>
                    </w:pPr>
                    <w:r>
                      <w:rPr>
                        <w:rFonts w:ascii="Arial"/>
                        <w:b/>
                        <w:w w:val="95"/>
                        <w:sz w:val="18"/>
                      </w:rPr>
                      <w:t>100</w:t>
                    </w:r>
                  </w:p>
                  <w:p>
                    <w:pPr>
                      <w:spacing w:before="59"/>
                      <w:ind w:left="0" w:right="18" w:firstLine="0"/>
                      <w:jc w:val="right"/>
                      <w:rPr>
                        <w:rFonts w:ascii="Arial"/>
                        <w:b/>
                        <w:sz w:val="18"/>
                      </w:rPr>
                    </w:pPr>
                    <w:r>
                      <w:rPr>
                        <w:rFonts w:ascii="Arial"/>
                        <w:b/>
                        <w:w w:val="95"/>
                        <w:sz w:val="18"/>
                      </w:rPr>
                      <w:t>90</w:t>
                    </w:r>
                  </w:p>
                  <w:p>
                    <w:pPr>
                      <w:spacing w:before="57"/>
                      <w:ind w:left="0" w:right="18" w:firstLine="0"/>
                      <w:jc w:val="right"/>
                      <w:rPr>
                        <w:rFonts w:ascii="Arial"/>
                        <w:b/>
                        <w:sz w:val="18"/>
                      </w:rPr>
                    </w:pPr>
                    <w:r>
                      <w:rPr>
                        <w:rFonts w:ascii="Arial"/>
                        <w:b/>
                        <w:w w:val="95"/>
                        <w:sz w:val="18"/>
                      </w:rPr>
                      <w:t>80</w:t>
                    </w:r>
                  </w:p>
                  <w:p>
                    <w:pPr>
                      <w:spacing w:before="60"/>
                      <w:ind w:left="0" w:right="18" w:firstLine="0"/>
                      <w:jc w:val="right"/>
                      <w:rPr>
                        <w:rFonts w:ascii="Arial"/>
                        <w:b/>
                        <w:sz w:val="18"/>
                      </w:rPr>
                    </w:pPr>
                    <w:r>
                      <w:rPr>
                        <w:rFonts w:ascii="Arial"/>
                        <w:b/>
                        <w:w w:val="95"/>
                        <w:sz w:val="18"/>
                      </w:rPr>
                      <w:t>70</w:t>
                    </w:r>
                  </w:p>
                  <w:p>
                    <w:pPr>
                      <w:spacing w:before="60"/>
                      <w:ind w:left="0" w:right="18" w:firstLine="0"/>
                      <w:jc w:val="right"/>
                      <w:rPr>
                        <w:rFonts w:ascii="Arial"/>
                        <w:b/>
                        <w:sz w:val="18"/>
                      </w:rPr>
                    </w:pPr>
                    <w:r>
                      <w:rPr>
                        <w:rFonts w:ascii="Arial"/>
                        <w:b/>
                        <w:w w:val="95"/>
                        <w:sz w:val="18"/>
                      </w:rPr>
                      <w:t>60</w:t>
                    </w:r>
                  </w:p>
                  <w:p>
                    <w:pPr>
                      <w:spacing w:before="59"/>
                      <w:ind w:left="0" w:right="18" w:firstLine="0"/>
                      <w:jc w:val="right"/>
                      <w:rPr>
                        <w:rFonts w:ascii="Arial"/>
                        <w:b/>
                        <w:sz w:val="18"/>
                      </w:rPr>
                    </w:pPr>
                    <w:r>
                      <w:rPr>
                        <w:rFonts w:ascii="Arial"/>
                        <w:b/>
                        <w:w w:val="95"/>
                        <w:sz w:val="18"/>
                      </w:rPr>
                      <w:t>50</w:t>
                    </w:r>
                  </w:p>
                  <w:p>
                    <w:pPr>
                      <w:spacing w:before="57"/>
                      <w:ind w:left="0" w:right="18" w:firstLine="0"/>
                      <w:jc w:val="right"/>
                      <w:rPr>
                        <w:rFonts w:ascii="Arial"/>
                        <w:b/>
                        <w:sz w:val="18"/>
                      </w:rPr>
                    </w:pPr>
                    <w:r>
                      <w:rPr>
                        <w:rFonts w:ascii="Arial"/>
                        <w:b/>
                        <w:w w:val="95"/>
                        <w:sz w:val="18"/>
                      </w:rPr>
                      <w:t>40</w:t>
                    </w:r>
                  </w:p>
                  <w:p>
                    <w:pPr>
                      <w:spacing w:before="60"/>
                      <w:ind w:left="0" w:right="18" w:firstLine="0"/>
                      <w:jc w:val="right"/>
                      <w:rPr>
                        <w:rFonts w:ascii="Arial"/>
                        <w:b/>
                        <w:sz w:val="18"/>
                      </w:rPr>
                    </w:pPr>
                    <w:r>
                      <w:rPr>
                        <w:rFonts w:ascii="Arial"/>
                        <w:b/>
                        <w:w w:val="95"/>
                        <w:sz w:val="18"/>
                      </w:rPr>
                      <w:t>30</w:t>
                    </w:r>
                  </w:p>
                  <w:p>
                    <w:pPr>
                      <w:spacing w:before="59"/>
                      <w:ind w:left="0" w:right="18" w:firstLine="0"/>
                      <w:jc w:val="right"/>
                      <w:rPr>
                        <w:rFonts w:ascii="Arial"/>
                        <w:b/>
                        <w:sz w:val="18"/>
                      </w:rPr>
                    </w:pPr>
                    <w:r>
                      <w:rPr>
                        <w:rFonts w:ascii="Arial"/>
                        <w:b/>
                        <w:w w:val="95"/>
                        <w:sz w:val="18"/>
                      </w:rPr>
                      <w:t>20</w:t>
                    </w:r>
                  </w:p>
                  <w:p>
                    <w:pPr>
                      <w:spacing w:before="57"/>
                      <w:ind w:left="0" w:right="18" w:firstLine="0"/>
                      <w:jc w:val="right"/>
                      <w:rPr>
                        <w:rFonts w:ascii="Arial"/>
                        <w:b/>
                        <w:sz w:val="18"/>
                      </w:rPr>
                    </w:pPr>
                    <w:r>
                      <w:rPr>
                        <w:rFonts w:ascii="Arial"/>
                        <w:b/>
                        <w:w w:val="95"/>
                        <w:sz w:val="18"/>
                      </w:rPr>
                      <w:t>10</w:t>
                    </w:r>
                  </w:p>
                  <w:p>
                    <w:pPr>
                      <w:spacing w:before="60"/>
                      <w:ind w:left="0" w:right="18" w:firstLine="0"/>
                      <w:jc w:val="right"/>
                      <w:rPr>
                        <w:rFonts w:ascii="Arial"/>
                        <w:b/>
                        <w:sz w:val="18"/>
                      </w:rPr>
                    </w:pPr>
                    <w:r>
                      <w:rPr>
                        <w:rFonts w:ascii="Arial"/>
                        <w:b/>
                        <w:w w:val="99"/>
                        <w:sz w:val="18"/>
                      </w:rPr>
                      <w:t>0</w:t>
                    </w:r>
                  </w:p>
                </w:txbxContent>
              </v:textbox>
              <w10:wrap type="none"/>
            </v:shape>
            <w10:wrap type="none"/>
          </v:group>
        </w:pict>
      </w:r>
      <w:r>
        <w:rPr/>
        <w:t>Pe grupe de varsta, cele mai mari incidente de imbolnavire prin rujeola s-au inregistrat la copilul prescolar: 280 cazuri la 10</w:t>
      </w:r>
      <w:r>
        <w:rPr>
          <w:position w:val="9"/>
          <w:sz w:val="16"/>
        </w:rPr>
        <w:t>5 </w:t>
      </w:r>
      <w:r>
        <w:rPr/>
        <w:t>la copilul in varsta de &lt; 1 an si respectiv de 186 de cazuri la 10</w:t>
      </w:r>
      <w:r>
        <w:rPr>
          <w:position w:val="9"/>
          <w:sz w:val="16"/>
        </w:rPr>
        <w:t>5 </w:t>
      </w:r>
      <w:r>
        <w:rPr/>
        <w:t>copii in varsta de 1-4 ani.</w:t>
      </w:r>
    </w:p>
    <w:p>
      <w:pPr>
        <w:pStyle w:val="BodyText"/>
        <w:spacing w:before="2"/>
        <w:ind w:left="233" w:right="829"/>
        <w:jc w:val="both"/>
      </w:pPr>
      <w:r>
        <w:rPr/>
        <w:t>Incidenta morbiditatii pe grupe de varsta pentru perioada ianuarie-iulie 2017, in Bucuresti este redata in diagrama</w:t>
      </w:r>
      <w:r>
        <w:rPr>
          <w:spacing w:val="-1"/>
        </w:rPr>
        <w:t> </w:t>
      </w:r>
      <w:r>
        <w:rPr/>
        <w:t>urmatoare:</w:t>
      </w:r>
    </w:p>
    <w:p>
      <w:pPr>
        <w:spacing w:after="0"/>
        <w:jc w:val="both"/>
        <w:sectPr>
          <w:pgSz w:w="11910" w:h="16840"/>
          <w:pgMar w:header="0" w:footer="738" w:top="1420" w:bottom="920" w:left="90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15"/>
        </w:rPr>
      </w:pPr>
    </w:p>
    <w:p>
      <w:pPr>
        <w:pStyle w:val="BodyText"/>
        <w:spacing w:before="90"/>
        <w:ind w:left="233" w:right="833"/>
      </w:pPr>
      <w:r>
        <w:rPr/>
        <w:pict>
          <v:group style="position:absolute;margin-left:60.190498pt;margin-top:-147.460327pt;width:418.35pt;height:137.050pt;mso-position-horizontal-relative:page;mso-position-vertical-relative:paragraph;z-index:251917312" coordorigin="1204,-2949" coordsize="8367,2741">
            <v:rect style="position:absolute;left:1213;top:-2940;width:8348;height:2722" filled="false" stroked="true" strokeweight=".959309pt" strokecolor="#000000">
              <v:stroke dashstyle="solid"/>
            </v:rect>
            <v:shape style="position:absolute;left:943;top:9878;width:6268;height:1561" coordorigin="944,9878" coordsize="6268,1561" path="m2078,-1077l8346,-1077m2078,-1389l8346,-1389m2078,-1701l8346,-1701m2078,-2013l8346,-2013m2078,-2325l8346,-2325m2078,-2637l8346,-2637e" filled="false" stroked="true" strokeweight=".959635pt" strokecolor="#000000">
              <v:path arrowok="t"/>
              <v:stroke dashstyle="solid"/>
            </v:shape>
            <v:rect style="position:absolute;left:2077;top:-2637;width:6269;height:1872" filled="false" stroked="true" strokeweight=".959298pt" strokecolor="#808080">
              <v:stroke dashstyle="solid"/>
            </v:rect>
            <v:shape style="position:absolute;left:2077;top:-2513;width:6269;height:1748" coordorigin="2078,-2512" coordsize="6269,1748" path="m2078,-2512l2078,-765,8346,-765,8346,-789,7061,-964,5213,-964,3646,-1927,2078,-2512xm6779,-1002l5213,-964,7061,-964,6779,-1002xe" filled="true" fillcolor="#ccffcc" stroked="false">
              <v:path arrowok="t"/>
              <v:fill type="solid"/>
            </v:shape>
            <v:shape style="position:absolute;left:2077;top:-2513;width:6269;height:1748" coordorigin="2078,-2512" coordsize="6269,1748" path="m2078,-765l2078,-2512,3646,-1927,5213,-964,6779,-1002,8346,-789,8346,-765,6779,-765,5213,-765,3646,-765,2078,-765e" filled="false" stroked="true" strokeweight=".95929pt" strokecolor="#000000">
              <v:path arrowok="t"/>
              <v:stroke dashstyle="solid"/>
            </v:shape>
            <v:shape style="position:absolute;left:893;top:9878;width:6319;height:1924" coordorigin="893,9878" coordsize="6319,1924" path="m2078,-2637l2078,-765m2028,-765l2078,-765m2028,-1077l2078,-1077m2028,-1389l2078,-1389m2028,-1701l2078,-1701m2028,-2013l2078,-2013m2028,-2325l2078,-2325m2028,-2637l2078,-2637m2078,-765l8346,-765m2078,-715l2078,-765m3646,-715l3646,-765m5213,-715l5213,-765m6779,-715l6779,-765m8346,-715l8346,-765e" filled="false" stroked="true" strokeweight=".959635pt" strokecolor="#000000">
              <v:path arrowok="t"/>
              <v:stroke dashstyle="solid"/>
            </v:shape>
            <v:rect style="position:absolute;left:8934;top:-1752;width:99;height:99" filled="true" fillcolor="#ccffcc" stroked="false">
              <v:fill type="solid"/>
            </v:rect>
            <v:rect style="position:absolute;left:8934;top:-1752;width:99;height:99" filled="false" stroked="true" strokeweight=".959634pt" strokecolor="#000000">
              <v:stroke dashstyle="solid"/>
            </v:rect>
            <v:shape style="position:absolute;left:8024;top:-618;width:662;height:180" type="#_x0000_t202" filled="false" stroked="false">
              <v:textbox inset="0,0,0,0">
                <w:txbxContent>
                  <w:p>
                    <w:pPr>
                      <w:spacing w:line="179" w:lineRule="exact" w:before="0"/>
                      <w:ind w:left="0" w:right="0" w:firstLine="0"/>
                      <w:jc w:val="left"/>
                      <w:rPr>
                        <w:rFonts w:ascii="Arial"/>
                        <w:b/>
                        <w:sz w:val="16"/>
                      </w:rPr>
                    </w:pPr>
                    <w:r>
                      <w:rPr>
                        <w:rFonts w:ascii="Arial"/>
                        <w:b/>
                        <w:sz w:val="16"/>
                      </w:rPr>
                      <w:t>&gt;=15 ani</w:t>
                    </w:r>
                  </w:p>
                </w:txbxContent>
              </v:textbox>
              <w10:wrap type="none"/>
            </v:shape>
            <v:shape style="position:absolute;left:6435;top:-618;width:706;height:180" type="#_x0000_t202" filled="false" stroked="false">
              <v:textbox inset="0,0,0,0">
                <w:txbxContent>
                  <w:p>
                    <w:pPr>
                      <w:spacing w:line="179" w:lineRule="exact" w:before="0"/>
                      <w:ind w:left="0" w:right="0" w:firstLine="0"/>
                      <w:jc w:val="left"/>
                      <w:rPr>
                        <w:rFonts w:ascii="Arial"/>
                        <w:b/>
                        <w:sz w:val="16"/>
                      </w:rPr>
                    </w:pPr>
                    <w:r>
                      <w:rPr>
                        <w:rFonts w:ascii="Arial"/>
                        <w:b/>
                        <w:sz w:val="16"/>
                      </w:rPr>
                      <w:t>10-14 ani</w:t>
                    </w:r>
                  </w:p>
                </w:txbxContent>
              </v:textbox>
              <w10:wrap type="none"/>
            </v:shape>
            <v:shape style="position:absolute;left:4958;top:-618;width:528;height:180" type="#_x0000_t202" filled="false" stroked="false">
              <v:textbox inset="0,0,0,0">
                <w:txbxContent>
                  <w:p>
                    <w:pPr>
                      <w:spacing w:line="179" w:lineRule="exact" w:before="0"/>
                      <w:ind w:left="0" w:right="0" w:firstLine="0"/>
                      <w:jc w:val="left"/>
                      <w:rPr>
                        <w:rFonts w:ascii="Arial"/>
                        <w:b/>
                        <w:sz w:val="16"/>
                      </w:rPr>
                    </w:pPr>
                    <w:r>
                      <w:rPr>
                        <w:rFonts w:ascii="Arial"/>
                        <w:b/>
                        <w:sz w:val="16"/>
                      </w:rPr>
                      <w:t>5-9 ani</w:t>
                    </w:r>
                  </w:p>
                </w:txbxContent>
              </v:textbox>
              <w10:wrap type="none"/>
            </v:shape>
            <v:shape style="position:absolute;left:3390;top:-618;width:528;height:180" type="#_x0000_t202" filled="false" stroked="false">
              <v:textbox inset="0,0,0,0">
                <w:txbxContent>
                  <w:p>
                    <w:pPr>
                      <w:spacing w:line="179" w:lineRule="exact" w:before="0"/>
                      <w:ind w:left="0" w:right="0" w:firstLine="0"/>
                      <w:jc w:val="left"/>
                      <w:rPr>
                        <w:rFonts w:ascii="Arial"/>
                        <w:b/>
                        <w:sz w:val="16"/>
                      </w:rPr>
                    </w:pPr>
                    <w:r>
                      <w:rPr>
                        <w:rFonts w:ascii="Arial"/>
                        <w:b/>
                        <w:sz w:val="16"/>
                      </w:rPr>
                      <w:t>1-4 ani</w:t>
                    </w:r>
                  </w:p>
                </w:txbxContent>
              </v:textbox>
              <w10:wrap type="none"/>
            </v:shape>
            <v:shape style="position:absolute;left:1686;top:-2735;width:642;height:2297" type="#_x0000_t202" filled="false" stroked="false">
              <v:textbox inset="0,0,0,0">
                <w:txbxContent>
                  <w:p>
                    <w:pPr>
                      <w:spacing w:line="179" w:lineRule="exact" w:before="0"/>
                      <w:ind w:left="0" w:right="0" w:firstLine="0"/>
                      <w:jc w:val="left"/>
                      <w:rPr>
                        <w:rFonts w:ascii="Arial"/>
                        <w:b/>
                        <w:sz w:val="16"/>
                      </w:rPr>
                    </w:pPr>
                    <w:r>
                      <w:rPr>
                        <w:rFonts w:ascii="Arial"/>
                        <w:b/>
                        <w:sz w:val="16"/>
                      </w:rPr>
                      <w:t>300</w:t>
                    </w:r>
                  </w:p>
                  <w:p>
                    <w:pPr>
                      <w:spacing w:before="127"/>
                      <w:ind w:left="0" w:right="0" w:firstLine="0"/>
                      <w:jc w:val="left"/>
                      <w:rPr>
                        <w:rFonts w:ascii="Arial"/>
                        <w:b/>
                        <w:sz w:val="16"/>
                      </w:rPr>
                    </w:pPr>
                    <w:r>
                      <w:rPr>
                        <w:rFonts w:ascii="Arial"/>
                        <w:b/>
                        <w:sz w:val="16"/>
                      </w:rPr>
                      <w:t>250</w:t>
                    </w:r>
                  </w:p>
                  <w:p>
                    <w:pPr>
                      <w:spacing w:before="129"/>
                      <w:ind w:left="0" w:right="0" w:firstLine="0"/>
                      <w:jc w:val="left"/>
                      <w:rPr>
                        <w:rFonts w:ascii="Arial"/>
                        <w:b/>
                        <w:sz w:val="16"/>
                      </w:rPr>
                    </w:pPr>
                    <w:r>
                      <w:rPr>
                        <w:rFonts w:ascii="Arial"/>
                        <w:b/>
                        <w:sz w:val="16"/>
                      </w:rPr>
                      <w:t>200</w:t>
                    </w:r>
                  </w:p>
                  <w:p>
                    <w:pPr>
                      <w:spacing w:before="127"/>
                      <w:ind w:left="0" w:right="0" w:firstLine="0"/>
                      <w:jc w:val="left"/>
                      <w:rPr>
                        <w:rFonts w:ascii="Arial"/>
                        <w:b/>
                        <w:sz w:val="16"/>
                      </w:rPr>
                    </w:pPr>
                    <w:r>
                      <w:rPr>
                        <w:rFonts w:ascii="Arial"/>
                        <w:b/>
                        <w:sz w:val="16"/>
                      </w:rPr>
                      <w:t>150</w:t>
                    </w:r>
                  </w:p>
                  <w:p>
                    <w:pPr>
                      <w:spacing w:before="129"/>
                      <w:ind w:left="0" w:right="0" w:firstLine="0"/>
                      <w:jc w:val="left"/>
                      <w:rPr>
                        <w:rFonts w:ascii="Arial"/>
                        <w:b/>
                        <w:sz w:val="16"/>
                      </w:rPr>
                    </w:pPr>
                    <w:r>
                      <w:rPr>
                        <w:rFonts w:ascii="Arial"/>
                        <w:b/>
                        <w:sz w:val="16"/>
                      </w:rPr>
                      <w:t>100</w:t>
                    </w:r>
                  </w:p>
                  <w:p>
                    <w:pPr>
                      <w:spacing w:before="128"/>
                      <w:ind w:left="88" w:right="0" w:firstLine="0"/>
                      <w:jc w:val="left"/>
                      <w:rPr>
                        <w:rFonts w:ascii="Arial"/>
                        <w:b/>
                        <w:sz w:val="16"/>
                      </w:rPr>
                    </w:pPr>
                    <w:r>
                      <w:rPr>
                        <w:rFonts w:ascii="Arial"/>
                        <w:b/>
                        <w:sz w:val="16"/>
                      </w:rPr>
                      <w:t>50</w:t>
                    </w:r>
                  </w:p>
                  <w:p>
                    <w:pPr>
                      <w:spacing w:before="128"/>
                      <w:ind w:left="177" w:right="0" w:firstLine="0"/>
                      <w:jc w:val="left"/>
                      <w:rPr>
                        <w:rFonts w:ascii="Arial"/>
                        <w:b/>
                        <w:sz w:val="16"/>
                      </w:rPr>
                    </w:pPr>
                    <w:r>
                      <w:rPr>
                        <w:rFonts w:ascii="Arial"/>
                        <w:b/>
                        <w:w w:val="100"/>
                        <w:sz w:val="16"/>
                      </w:rPr>
                      <w:t>0</w:t>
                    </w:r>
                  </w:p>
                  <w:p>
                    <w:pPr>
                      <w:spacing w:before="61"/>
                      <w:ind w:left="160" w:right="0" w:firstLine="0"/>
                      <w:jc w:val="left"/>
                      <w:rPr>
                        <w:rFonts w:ascii="Arial"/>
                        <w:b/>
                        <w:sz w:val="16"/>
                      </w:rPr>
                    </w:pPr>
                    <w:r>
                      <w:rPr>
                        <w:rFonts w:ascii="Arial"/>
                        <w:b/>
                        <w:sz w:val="16"/>
                      </w:rPr>
                      <w:t>&lt; 1 an</w:t>
                    </w:r>
                  </w:p>
                </w:txbxContent>
              </v:textbox>
              <w10:wrap type="none"/>
            </v:shape>
            <v:shape style="position:absolute;left:8874;top:-1831;width:610;height:258" type="#_x0000_t202" filled="false" stroked="true" strokeweight=".959354pt" strokecolor="#000000">
              <v:textbox inset="0,0,0,0">
                <w:txbxContent>
                  <w:p>
                    <w:pPr>
                      <w:spacing w:before="27"/>
                      <w:ind w:left="189" w:right="0" w:firstLine="0"/>
                      <w:jc w:val="left"/>
                      <w:rPr>
                        <w:rFonts w:ascii="Arial"/>
                        <w:b/>
                        <w:sz w:val="16"/>
                      </w:rPr>
                    </w:pPr>
                    <w:r>
                      <w:rPr>
                        <w:rFonts w:ascii="Arial"/>
                        <w:b/>
                        <w:sz w:val="16"/>
                      </w:rPr>
                      <w:t>East</w:t>
                    </w:r>
                  </w:p>
                </w:txbxContent>
              </v:textbox>
              <v:stroke dashstyle="solid"/>
              <w10:wrap type="none"/>
            </v:shape>
            <w10:wrap type="none"/>
          </v:group>
        </w:pict>
      </w:r>
      <w:r>
        <w:rPr/>
        <w:pict>
          <v:shape style="position:absolute;margin-left:69.792145pt;margin-top:-103.679848pt;width:11pt;height:37.3pt;mso-position-horizontal-relative:page;mso-position-vertical-relative:paragraph;z-index:251918336" type="#_x0000_t202" filled="false" stroked="false">
            <v:textbox inset="0,0,0,0" style="layout-flow:vertical;mso-layout-flow-alt:bottom-to-top">
              <w:txbxContent>
                <w:p>
                  <w:pPr>
                    <w:spacing w:before="15"/>
                    <w:ind w:left="20" w:right="0" w:firstLine="0"/>
                    <w:jc w:val="left"/>
                    <w:rPr>
                      <w:rFonts w:ascii="Arial"/>
                      <w:b/>
                      <w:sz w:val="16"/>
                    </w:rPr>
                  </w:pPr>
                  <w:r>
                    <w:rPr>
                      <w:rFonts w:ascii="Arial"/>
                      <w:b/>
                      <w:sz w:val="16"/>
                    </w:rPr>
                    <w:t>Incidenta</w:t>
                  </w:r>
                </w:p>
              </w:txbxContent>
            </v:textbox>
            <w10:wrap type="none"/>
          </v:shape>
        </w:pict>
      </w:r>
      <w:r>
        <w:rPr/>
        <w:t>In tabelul de mai jos este ilustrat statusul vaccinal antirujeolos al cazurilor confirmate de rujeola (copii) in perioada ianuarie – iulie 2017, in Bucuresti (majoritatea cazurilor confirmate de rujeola 75,3 %,au survenit la persoane nevaccinate):</w:t>
      </w:r>
    </w:p>
    <w:p>
      <w:pPr>
        <w:pStyle w:val="BodyText"/>
        <w:spacing w:before="1" w:after="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1635"/>
        <w:gridCol w:w="1772"/>
        <w:gridCol w:w="1772"/>
        <w:gridCol w:w="1771"/>
      </w:tblGrid>
      <w:tr>
        <w:trPr>
          <w:trHeight w:val="275" w:hRule="atLeast"/>
        </w:trPr>
        <w:tc>
          <w:tcPr>
            <w:tcW w:w="1908" w:type="dxa"/>
          </w:tcPr>
          <w:p>
            <w:pPr>
              <w:pStyle w:val="TableParagraph"/>
              <w:rPr>
                <w:sz w:val="20"/>
              </w:rPr>
            </w:pPr>
          </w:p>
        </w:tc>
        <w:tc>
          <w:tcPr>
            <w:tcW w:w="5179" w:type="dxa"/>
            <w:gridSpan w:val="3"/>
          </w:tcPr>
          <w:p>
            <w:pPr>
              <w:pStyle w:val="TableParagraph"/>
              <w:spacing w:line="256" w:lineRule="exact"/>
              <w:ind w:left="1268"/>
              <w:rPr>
                <w:sz w:val="24"/>
              </w:rPr>
            </w:pPr>
            <w:r>
              <w:rPr>
                <w:sz w:val="24"/>
              </w:rPr>
              <w:t>Status vaccinal antirujeolos</w:t>
            </w:r>
          </w:p>
        </w:tc>
        <w:tc>
          <w:tcPr>
            <w:tcW w:w="1771" w:type="dxa"/>
          </w:tcPr>
          <w:p>
            <w:pPr>
              <w:pStyle w:val="TableParagraph"/>
              <w:rPr>
                <w:sz w:val="20"/>
              </w:rPr>
            </w:pPr>
          </w:p>
        </w:tc>
      </w:tr>
      <w:tr>
        <w:trPr>
          <w:trHeight w:val="277" w:hRule="atLeast"/>
        </w:trPr>
        <w:tc>
          <w:tcPr>
            <w:tcW w:w="1908" w:type="dxa"/>
          </w:tcPr>
          <w:p>
            <w:pPr>
              <w:pStyle w:val="TableParagraph"/>
              <w:spacing w:line="257" w:lineRule="exact" w:before="1"/>
              <w:ind w:left="108"/>
              <w:rPr>
                <w:sz w:val="24"/>
              </w:rPr>
            </w:pPr>
            <w:r>
              <w:rPr>
                <w:sz w:val="24"/>
              </w:rPr>
              <w:t>Grup varsta</w:t>
            </w:r>
          </w:p>
        </w:tc>
        <w:tc>
          <w:tcPr>
            <w:tcW w:w="1635" w:type="dxa"/>
          </w:tcPr>
          <w:p>
            <w:pPr>
              <w:pStyle w:val="TableParagraph"/>
              <w:spacing w:line="257" w:lineRule="exact" w:before="1"/>
              <w:ind w:left="276"/>
              <w:rPr>
                <w:sz w:val="24"/>
              </w:rPr>
            </w:pPr>
            <w:r>
              <w:rPr>
                <w:sz w:val="24"/>
              </w:rPr>
              <w:t>Nevaccinat</w:t>
            </w:r>
          </w:p>
        </w:tc>
        <w:tc>
          <w:tcPr>
            <w:tcW w:w="1772" w:type="dxa"/>
          </w:tcPr>
          <w:p>
            <w:pPr>
              <w:pStyle w:val="TableParagraph"/>
              <w:spacing w:line="257" w:lineRule="exact" w:before="1"/>
              <w:ind w:left="501"/>
              <w:rPr>
                <w:sz w:val="24"/>
              </w:rPr>
            </w:pPr>
            <w:r>
              <w:rPr>
                <w:sz w:val="24"/>
              </w:rPr>
              <w:t>Nu stim</w:t>
            </w:r>
          </w:p>
        </w:tc>
        <w:tc>
          <w:tcPr>
            <w:tcW w:w="1772" w:type="dxa"/>
          </w:tcPr>
          <w:p>
            <w:pPr>
              <w:pStyle w:val="TableParagraph"/>
              <w:spacing w:line="257" w:lineRule="exact" w:before="1"/>
              <w:ind w:left="458"/>
              <w:rPr>
                <w:sz w:val="24"/>
              </w:rPr>
            </w:pPr>
            <w:r>
              <w:rPr>
                <w:sz w:val="24"/>
              </w:rPr>
              <w:t>Vaccinat</w:t>
            </w:r>
          </w:p>
        </w:tc>
        <w:tc>
          <w:tcPr>
            <w:tcW w:w="1771" w:type="dxa"/>
          </w:tcPr>
          <w:p>
            <w:pPr>
              <w:pStyle w:val="TableParagraph"/>
              <w:spacing w:line="257" w:lineRule="exact" w:before="1"/>
              <w:ind w:left="107"/>
              <w:rPr>
                <w:sz w:val="24"/>
              </w:rPr>
            </w:pPr>
            <w:r>
              <w:rPr>
                <w:sz w:val="24"/>
              </w:rPr>
              <w:t>Total</w:t>
            </w:r>
          </w:p>
        </w:tc>
      </w:tr>
      <w:tr>
        <w:trPr>
          <w:trHeight w:val="275" w:hRule="atLeast"/>
        </w:trPr>
        <w:tc>
          <w:tcPr>
            <w:tcW w:w="1908" w:type="dxa"/>
          </w:tcPr>
          <w:p>
            <w:pPr>
              <w:pStyle w:val="TableParagraph"/>
              <w:spacing w:line="256" w:lineRule="exact"/>
              <w:ind w:left="521"/>
              <w:rPr>
                <w:b/>
                <w:sz w:val="24"/>
              </w:rPr>
            </w:pPr>
            <w:r>
              <w:rPr>
                <w:b/>
                <w:sz w:val="24"/>
              </w:rPr>
              <w:t>A_&lt;1 an</w:t>
            </w:r>
          </w:p>
        </w:tc>
        <w:tc>
          <w:tcPr>
            <w:tcW w:w="1635" w:type="dxa"/>
          </w:tcPr>
          <w:p>
            <w:pPr>
              <w:pStyle w:val="TableParagraph"/>
              <w:spacing w:line="256" w:lineRule="exact"/>
              <w:ind w:left="676" w:right="668"/>
              <w:jc w:val="center"/>
              <w:rPr>
                <w:b/>
                <w:sz w:val="24"/>
              </w:rPr>
            </w:pPr>
            <w:r>
              <w:rPr>
                <w:b/>
                <w:sz w:val="24"/>
              </w:rPr>
              <w:t>16</w:t>
            </w:r>
          </w:p>
        </w:tc>
        <w:tc>
          <w:tcPr>
            <w:tcW w:w="1772" w:type="dxa"/>
          </w:tcPr>
          <w:p>
            <w:pPr>
              <w:pStyle w:val="TableParagraph"/>
              <w:spacing w:line="256" w:lineRule="exact"/>
              <w:ind w:left="9"/>
              <w:jc w:val="center"/>
              <w:rPr>
                <w:b/>
                <w:sz w:val="24"/>
              </w:rPr>
            </w:pPr>
            <w:r>
              <w:rPr>
                <w:b/>
                <w:sz w:val="24"/>
              </w:rPr>
              <w:t>0</w:t>
            </w:r>
          </w:p>
        </w:tc>
        <w:tc>
          <w:tcPr>
            <w:tcW w:w="1772" w:type="dxa"/>
          </w:tcPr>
          <w:p>
            <w:pPr>
              <w:pStyle w:val="TableParagraph"/>
              <w:spacing w:line="256" w:lineRule="exact"/>
              <w:ind w:left="8"/>
              <w:jc w:val="center"/>
              <w:rPr>
                <w:b/>
                <w:sz w:val="24"/>
              </w:rPr>
            </w:pPr>
            <w:r>
              <w:rPr>
                <w:b/>
                <w:sz w:val="24"/>
              </w:rPr>
              <w:t>4</w:t>
            </w:r>
          </w:p>
        </w:tc>
        <w:tc>
          <w:tcPr>
            <w:tcW w:w="1771" w:type="dxa"/>
          </w:tcPr>
          <w:p>
            <w:pPr>
              <w:pStyle w:val="TableParagraph"/>
              <w:spacing w:line="256" w:lineRule="exact"/>
              <w:ind w:right="753"/>
              <w:jc w:val="right"/>
              <w:rPr>
                <w:b/>
                <w:sz w:val="24"/>
              </w:rPr>
            </w:pPr>
            <w:r>
              <w:rPr>
                <w:b/>
                <w:sz w:val="24"/>
              </w:rPr>
              <w:t>20</w:t>
            </w:r>
          </w:p>
        </w:tc>
      </w:tr>
      <w:tr>
        <w:trPr>
          <w:trHeight w:val="275" w:hRule="atLeast"/>
        </w:trPr>
        <w:tc>
          <w:tcPr>
            <w:tcW w:w="1908" w:type="dxa"/>
          </w:tcPr>
          <w:p>
            <w:pPr>
              <w:pStyle w:val="TableParagraph"/>
              <w:spacing w:line="256" w:lineRule="exact"/>
              <w:ind w:left="108"/>
              <w:rPr>
                <w:sz w:val="24"/>
              </w:rPr>
            </w:pPr>
            <w:r>
              <w:rPr>
                <w:sz w:val="24"/>
              </w:rPr>
              <w:t>Rand (%)</w:t>
            </w:r>
          </w:p>
        </w:tc>
        <w:tc>
          <w:tcPr>
            <w:tcW w:w="1635" w:type="dxa"/>
          </w:tcPr>
          <w:p>
            <w:pPr>
              <w:pStyle w:val="TableParagraph"/>
              <w:spacing w:line="256" w:lineRule="exact"/>
              <w:ind w:left="108"/>
              <w:rPr>
                <w:sz w:val="24"/>
              </w:rPr>
            </w:pPr>
            <w:r>
              <w:rPr>
                <w:sz w:val="24"/>
              </w:rPr>
              <w:t>80,0 %</w:t>
            </w:r>
          </w:p>
        </w:tc>
        <w:tc>
          <w:tcPr>
            <w:tcW w:w="1772" w:type="dxa"/>
          </w:tcPr>
          <w:p>
            <w:pPr>
              <w:pStyle w:val="TableParagraph"/>
              <w:spacing w:line="256" w:lineRule="exact"/>
              <w:ind w:left="108"/>
              <w:rPr>
                <w:sz w:val="24"/>
              </w:rPr>
            </w:pPr>
            <w:r>
              <w:rPr>
                <w:sz w:val="24"/>
              </w:rPr>
              <w:t>0,0 %</w:t>
            </w:r>
          </w:p>
        </w:tc>
        <w:tc>
          <w:tcPr>
            <w:tcW w:w="1772" w:type="dxa"/>
          </w:tcPr>
          <w:p>
            <w:pPr>
              <w:pStyle w:val="TableParagraph"/>
              <w:spacing w:line="256" w:lineRule="exact"/>
              <w:ind w:left="107"/>
              <w:rPr>
                <w:sz w:val="24"/>
              </w:rPr>
            </w:pPr>
            <w:r>
              <w:rPr>
                <w:sz w:val="24"/>
              </w:rPr>
              <w:t>20,0 %</w:t>
            </w:r>
          </w:p>
        </w:tc>
        <w:tc>
          <w:tcPr>
            <w:tcW w:w="1771" w:type="dxa"/>
          </w:tcPr>
          <w:p>
            <w:pPr>
              <w:pStyle w:val="TableParagraph"/>
              <w:spacing w:line="256" w:lineRule="exact"/>
              <w:ind w:left="107"/>
              <w:rPr>
                <w:sz w:val="24"/>
              </w:rPr>
            </w:pPr>
            <w:r>
              <w:rPr>
                <w:sz w:val="24"/>
              </w:rPr>
              <w:t>100,0 %</w:t>
            </w:r>
          </w:p>
        </w:tc>
      </w:tr>
      <w:tr>
        <w:trPr>
          <w:trHeight w:val="275" w:hRule="atLeast"/>
        </w:trPr>
        <w:tc>
          <w:tcPr>
            <w:tcW w:w="1908" w:type="dxa"/>
          </w:tcPr>
          <w:p>
            <w:pPr>
              <w:pStyle w:val="TableParagraph"/>
              <w:spacing w:line="256" w:lineRule="exact"/>
              <w:ind w:left="108"/>
              <w:rPr>
                <w:sz w:val="24"/>
              </w:rPr>
            </w:pPr>
            <w:r>
              <w:rPr>
                <w:sz w:val="24"/>
              </w:rPr>
              <w:t>Coloana (%)</w:t>
            </w:r>
          </w:p>
        </w:tc>
        <w:tc>
          <w:tcPr>
            <w:tcW w:w="1635" w:type="dxa"/>
          </w:tcPr>
          <w:p>
            <w:pPr>
              <w:pStyle w:val="TableParagraph"/>
              <w:spacing w:line="256" w:lineRule="exact"/>
              <w:ind w:left="108"/>
              <w:rPr>
                <w:sz w:val="24"/>
              </w:rPr>
            </w:pPr>
            <w:r>
              <w:rPr>
                <w:sz w:val="24"/>
              </w:rPr>
              <w:t>21,9 %</w:t>
            </w:r>
          </w:p>
        </w:tc>
        <w:tc>
          <w:tcPr>
            <w:tcW w:w="1772" w:type="dxa"/>
          </w:tcPr>
          <w:p>
            <w:pPr>
              <w:pStyle w:val="TableParagraph"/>
              <w:spacing w:line="256" w:lineRule="exact"/>
              <w:ind w:left="108"/>
              <w:rPr>
                <w:sz w:val="24"/>
              </w:rPr>
            </w:pPr>
            <w:r>
              <w:rPr>
                <w:sz w:val="24"/>
              </w:rPr>
              <w:t>0,0 %</w:t>
            </w:r>
          </w:p>
        </w:tc>
        <w:tc>
          <w:tcPr>
            <w:tcW w:w="1772" w:type="dxa"/>
          </w:tcPr>
          <w:p>
            <w:pPr>
              <w:pStyle w:val="TableParagraph"/>
              <w:spacing w:line="256" w:lineRule="exact"/>
              <w:ind w:left="107"/>
              <w:rPr>
                <w:sz w:val="24"/>
              </w:rPr>
            </w:pPr>
            <w:r>
              <w:rPr>
                <w:sz w:val="24"/>
              </w:rPr>
              <w:t>30,8 %</w:t>
            </w:r>
          </w:p>
        </w:tc>
        <w:tc>
          <w:tcPr>
            <w:tcW w:w="1771" w:type="dxa"/>
          </w:tcPr>
          <w:p>
            <w:pPr>
              <w:pStyle w:val="TableParagraph"/>
              <w:spacing w:line="256" w:lineRule="exact"/>
              <w:ind w:left="107"/>
              <w:rPr>
                <w:sz w:val="24"/>
              </w:rPr>
            </w:pPr>
            <w:r>
              <w:rPr>
                <w:sz w:val="24"/>
              </w:rPr>
              <w:t>20,6 %</w:t>
            </w:r>
          </w:p>
        </w:tc>
      </w:tr>
      <w:tr>
        <w:trPr>
          <w:trHeight w:val="275" w:hRule="atLeast"/>
        </w:trPr>
        <w:tc>
          <w:tcPr>
            <w:tcW w:w="1908" w:type="dxa"/>
          </w:tcPr>
          <w:p>
            <w:pPr>
              <w:pStyle w:val="TableParagraph"/>
              <w:spacing w:line="256" w:lineRule="exact"/>
              <w:ind w:left="463"/>
              <w:rPr>
                <w:b/>
                <w:sz w:val="24"/>
              </w:rPr>
            </w:pPr>
            <w:r>
              <w:rPr>
                <w:b/>
                <w:sz w:val="24"/>
              </w:rPr>
              <w:t>B_1-4 ani</w:t>
            </w:r>
          </w:p>
        </w:tc>
        <w:tc>
          <w:tcPr>
            <w:tcW w:w="1635" w:type="dxa"/>
          </w:tcPr>
          <w:p>
            <w:pPr>
              <w:pStyle w:val="TableParagraph"/>
              <w:spacing w:line="256" w:lineRule="exact"/>
              <w:ind w:left="676" w:right="668"/>
              <w:jc w:val="center"/>
              <w:rPr>
                <w:b/>
                <w:sz w:val="24"/>
              </w:rPr>
            </w:pPr>
            <w:r>
              <w:rPr>
                <w:b/>
                <w:sz w:val="24"/>
              </w:rPr>
              <w:t>42</w:t>
            </w:r>
          </w:p>
        </w:tc>
        <w:tc>
          <w:tcPr>
            <w:tcW w:w="1772" w:type="dxa"/>
          </w:tcPr>
          <w:p>
            <w:pPr>
              <w:pStyle w:val="TableParagraph"/>
              <w:spacing w:line="256" w:lineRule="exact"/>
              <w:ind w:left="9"/>
              <w:jc w:val="center"/>
              <w:rPr>
                <w:b/>
                <w:sz w:val="24"/>
              </w:rPr>
            </w:pPr>
            <w:r>
              <w:rPr>
                <w:b/>
                <w:sz w:val="24"/>
              </w:rPr>
              <w:t>5</w:t>
            </w:r>
          </w:p>
        </w:tc>
        <w:tc>
          <w:tcPr>
            <w:tcW w:w="1772" w:type="dxa"/>
          </w:tcPr>
          <w:p>
            <w:pPr>
              <w:pStyle w:val="TableParagraph"/>
              <w:spacing w:line="256" w:lineRule="exact"/>
              <w:ind w:left="8"/>
              <w:jc w:val="center"/>
              <w:rPr>
                <w:b/>
                <w:sz w:val="24"/>
              </w:rPr>
            </w:pPr>
            <w:r>
              <w:rPr>
                <w:b/>
                <w:sz w:val="24"/>
              </w:rPr>
              <w:t>6</w:t>
            </w:r>
          </w:p>
        </w:tc>
        <w:tc>
          <w:tcPr>
            <w:tcW w:w="1771" w:type="dxa"/>
          </w:tcPr>
          <w:p>
            <w:pPr>
              <w:pStyle w:val="TableParagraph"/>
              <w:spacing w:line="256" w:lineRule="exact"/>
              <w:ind w:right="753"/>
              <w:jc w:val="right"/>
              <w:rPr>
                <w:b/>
                <w:sz w:val="24"/>
              </w:rPr>
            </w:pPr>
            <w:r>
              <w:rPr>
                <w:b/>
                <w:sz w:val="24"/>
              </w:rPr>
              <w:t>53</w:t>
            </w:r>
          </w:p>
        </w:tc>
      </w:tr>
      <w:tr>
        <w:trPr>
          <w:trHeight w:val="275" w:hRule="atLeast"/>
        </w:trPr>
        <w:tc>
          <w:tcPr>
            <w:tcW w:w="1908" w:type="dxa"/>
          </w:tcPr>
          <w:p>
            <w:pPr>
              <w:pStyle w:val="TableParagraph"/>
              <w:spacing w:line="256" w:lineRule="exact"/>
              <w:ind w:left="108"/>
              <w:rPr>
                <w:sz w:val="24"/>
              </w:rPr>
            </w:pPr>
            <w:r>
              <w:rPr>
                <w:sz w:val="24"/>
              </w:rPr>
              <w:t>Rand (%)</w:t>
            </w:r>
          </w:p>
        </w:tc>
        <w:tc>
          <w:tcPr>
            <w:tcW w:w="1635" w:type="dxa"/>
          </w:tcPr>
          <w:p>
            <w:pPr>
              <w:pStyle w:val="TableParagraph"/>
              <w:spacing w:line="256" w:lineRule="exact"/>
              <w:ind w:left="108"/>
              <w:rPr>
                <w:sz w:val="24"/>
              </w:rPr>
            </w:pPr>
            <w:r>
              <w:rPr>
                <w:sz w:val="24"/>
              </w:rPr>
              <w:t>79,2 %</w:t>
            </w:r>
          </w:p>
        </w:tc>
        <w:tc>
          <w:tcPr>
            <w:tcW w:w="1772" w:type="dxa"/>
          </w:tcPr>
          <w:p>
            <w:pPr>
              <w:pStyle w:val="TableParagraph"/>
              <w:spacing w:line="256" w:lineRule="exact"/>
              <w:ind w:left="108"/>
              <w:rPr>
                <w:sz w:val="24"/>
              </w:rPr>
            </w:pPr>
            <w:r>
              <w:rPr>
                <w:sz w:val="24"/>
              </w:rPr>
              <w:t>9,4 %</w:t>
            </w:r>
          </w:p>
        </w:tc>
        <w:tc>
          <w:tcPr>
            <w:tcW w:w="1772" w:type="dxa"/>
          </w:tcPr>
          <w:p>
            <w:pPr>
              <w:pStyle w:val="TableParagraph"/>
              <w:spacing w:line="256" w:lineRule="exact"/>
              <w:ind w:left="107"/>
              <w:rPr>
                <w:sz w:val="24"/>
              </w:rPr>
            </w:pPr>
            <w:r>
              <w:rPr>
                <w:sz w:val="24"/>
              </w:rPr>
              <w:t>11,3 %</w:t>
            </w:r>
          </w:p>
        </w:tc>
        <w:tc>
          <w:tcPr>
            <w:tcW w:w="1771" w:type="dxa"/>
          </w:tcPr>
          <w:p>
            <w:pPr>
              <w:pStyle w:val="TableParagraph"/>
              <w:spacing w:line="256" w:lineRule="exact"/>
              <w:ind w:left="107"/>
              <w:rPr>
                <w:sz w:val="24"/>
              </w:rPr>
            </w:pPr>
            <w:r>
              <w:rPr>
                <w:sz w:val="24"/>
              </w:rPr>
              <w:t>100,0%</w:t>
            </w:r>
          </w:p>
        </w:tc>
      </w:tr>
      <w:tr>
        <w:trPr>
          <w:trHeight w:val="275" w:hRule="atLeast"/>
        </w:trPr>
        <w:tc>
          <w:tcPr>
            <w:tcW w:w="1908" w:type="dxa"/>
          </w:tcPr>
          <w:p>
            <w:pPr>
              <w:pStyle w:val="TableParagraph"/>
              <w:spacing w:line="256" w:lineRule="exact"/>
              <w:ind w:left="108"/>
              <w:rPr>
                <w:sz w:val="24"/>
              </w:rPr>
            </w:pPr>
            <w:r>
              <w:rPr>
                <w:sz w:val="24"/>
              </w:rPr>
              <w:t>Coloana (%)</w:t>
            </w:r>
          </w:p>
        </w:tc>
        <w:tc>
          <w:tcPr>
            <w:tcW w:w="1635" w:type="dxa"/>
          </w:tcPr>
          <w:p>
            <w:pPr>
              <w:pStyle w:val="TableParagraph"/>
              <w:spacing w:line="256" w:lineRule="exact"/>
              <w:ind w:left="108"/>
              <w:rPr>
                <w:sz w:val="24"/>
              </w:rPr>
            </w:pPr>
            <w:r>
              <w:rPr>
                <w:sz w:val="24"/>
              </w:rPr>
              <w:t>57,5 %</w:t>
            </w:r>
          </w:p>
        </w:tc>
        <w:tc>
          <w:tcPr>
            <w:tcW w:w="1772" w:type="dxa"/>
          </w:tcPr>
          <w:p>
            <w:pPr>
              <w:pStyle w:val="TableParagraph"/>
              <w:spacing w:line="256" w:lineRule="exact"/>
              <w:ind w:left="108"/>
              <w:rPr>
                <w:sz w:val="24"/>
              </w:rPr>
            </w:pPr>
            <w:r>
              <w:rPr>
                <w:sz w:val="24"/>
              </w:rPr>
              <w:t>45,4 %</w:t>
            </w:r>
          </w:p>
        </w:tc>
        <w:tc>
          <w:tcPr>
            <w:tcW w:w="1772" w:type="dxa"/>
          </w:tcPr>
          <w:p>
            <w:pPr>
              <w:pStyle w:val="TableParagraph"/>
              <w:spacing w:line="256" w:lineRule="exact"/>
              <w:ind w:left="107"/>
              <w:rPr>
                <w:sz w:val="24"/>
              </w:rPr>
            </w:pPr>
            <w:r>
              <w:rPr>
                <w:sz w:val="24"/>
              </w:rPr>
              <w:t>46,1 %</w:t>
            </w:r>
          </w:p>
        </w:tc>
        <w:tc>
          <w:tcPr>
            <w:tcW w:w="1771" w:type="dxa"/>
          </w:tcPr>
          <w:p>
            <w:pPr>
              <w:pStyle w:val="TableParagraph"/>
              <w:spacing w:line="256" w:lineRule="exact"/>
              <w:ind w:left="107"/>
              <w:rPr>
                <w:sz w:val="24"/>
              </w:rPr>
            </w:pPr>
            <w:r>
              <w:rPr>
                <w:sz w:val="24"/>
              </w:rPr>
              <w:t>54.4 %</w:t>
            </w:r>
          </w:p>
        </w:tc>
      </w:tr>
      <w:tr>
        <w:trPr>
          <w:trHeight w:val="278" w:hRule="atLeast"/>
        </w:trPr>
        <w:tc>
          <w:tcPr>
            <w:tcW w:w="1908" w:type="dxa"/>
          </w:tcPr>
          <w:p>
            <w:pPr>
              <w:pStyle w:val="TableParagraph"/>
              <w:spacing w:line="257" w:lineRule="exact" w:before="1"/>
              <w:ind w:left="456"/>
              <w:rPr>
                <w:b/>
                <w:sz w:val="24"/>
              </w:rPr>
            </w:pPr>
            <w:r>
              <w:rPr>
                <w:b/>
                <w:sz w:val="24"/>
              </w:rPr>
              <w:t>C_5-9 ani</w:t>
            </w:r>
          </w:p>
        </w:tc>
        <w:tc>
          <w:tcPr>
            <w:tcW w:w="1635" w:type="dxa"/>
          </w:tcPr>
          <w:p>
            <w:pPr>
              <w:pStyle w:val="TableParagraph"/>
              <w:spacing w:line="257" w:lineRule="exact" w:before="1"/>
              <w:ind w:left="8"/>
              <w:jc w:val="center"/>
              <w:rPr>
                <w:b/>
                <w:sz w:val="24"/>
              </w:rPr>
            </w:pPr>
            <w:r>
              <w:rPr>
                <w:b/>
                <w:sz w:val="24"/>
              </w:rPr>
              <w:t>7</w:t>
            </w:r>
          </w:p>
        </w:tc>
        <w:tc>
          <w:tcPr>
            <w:tcW w:w="1772" w:type="dxa"/>
          </w:tcPr>
          <w:p>
            <w:pPr>
              <w:pStyle w:val="TableParagraph"/>
              <w:spacing w:line="257" w:lineRule="exact" w:before="1"/>
              <w:ind w:left="9"/>
              <w:jc w:val="center"/>
              <w:rPr>
                <w:b/>
                <w:sz w:val="24"/>
              </w:rPr>
            </w:pPr>
            <w:r>
              <w:rPr>
                <w:b/>
                <w:sz w:val="24"/>
              </w:rPr>
              <w:t>2</w:t>
            </w:r>
          </w:p>
        </w:tc>
        <w:tc>
          <w:tcPr>
            <w:tcW w:w="1772" w:type="dxa"/>
          </w:tcPr>
          <w:p>
            <w:pPr>
              <w:pStyle w:val="TableParagraph"/>
              <w:spacing w:line="257" w:lineRule="exact" w:before="1"/>
              <w:ind w:left="8"/>
              <w:jc w:val="center"/>
              <w:rPr>
                <w:b/>
                <w:sz w:val="24"/>
              </w:rPr>
            </w:pPr>
            <w:r>
              <w:rPr>
                <w:b/>
                <w:sz w:val="24"/>
              </w:rPr>
              <w:t>3</w:t>
            </w:r>
          </w:p>
        </w:tc>
        <w:tc>
          <w:tcPr>
            <w:tcW w:w="1771" w:type="dxa"/>
          </w:tcPr>
          <w:p>
            <w:pPr>
              <w:pStyle w:val="TableParagraph"/>
              <w:spacing w:line="257" w:lineRule="exact" w:before="1"/>
              <w:ind w:right="753"/>
              <w:jc w:val="right"/>
              <w:rPr>
                <w:b/>
                <w:sz w:val="24"/>
              </w:rPr>
            </w:pPr>
            <w:r>
              <w:rPr>
                <w:b/>
                <w:sz w:val="24"/>
              </w:rPr>
              <w:t>12</w:t>
            </w:r>
          </w:p>
        </w:tc>
      </w:tr>
      <w:tr>
        <w:trPr>
          <w:trHeight w:val="275" w:hRule="atLeast"/>
        </w:trPr>
        <w:tc>
          <w:tcPr>
            <w:tcW w:w="1908" w:type="dxa"/>
          </w:tcPr>
          <w:p>
            <w:pPr>
              <w:pStyle w:val="TableParagraph"/>
              <w:spacing w:line="256" w:lineRule="exact"/>
              <w:ind w:left="108"/>
              <w:rPr>
                <w:sz w:val="24"/>
              </w:rPr>
            </w:pPr>
            <w:r>
              <w:rPr>
                <w:sz w:val="24"/>
              </w:rPr>
              <w:t>Rand (%)</w:t>
            </w:r>
          </w:p>
        </w:tc>
        <w:tc>
          <w:tcPr>
            <w:tcW w:w="1635" w:type="dxa"/>
          </w:tcPr>
          <w:p>
            <w:pPr>
              <w:pStyle w:val="TableParagraph"/>
              <w:spacing w:line="256" w:lineRule="exact"/>
              <w:ind w:left="108"/>
              <w:rPr>
                <w:sz w:val="24"/>
              </w:rPr>
            </w:pPr>
            <w:r>
              <w:rPr>
                <w:sz w:val="24"/>
              </w:rPr>
              <w:t>58,3 %</w:t>
            </w:r>
          </w:p>
        </w:tc>
        <w:tc>
          <w:tcPr>
            <w:tcW w:w="1772" w:type="dxa"/>
          </w:tcPr>
          <w:p>
            <w:pPr>
              <w:pStyle w:val="TableParagraph"/>
              <w:spacing w:line="256" w:lineRule="exact"/>
              <w:ind w:left="108"/>
              <w:rPr>
                <w:sz w:val="24"/>
              </w:rPr>
            </w:pPr>
            <w:r>
              <w:rPr>
                <w:sz w:val="24"/>
              </w:rPr>
              <w:t>16,7 %</w:t>
            </w:r>
          </w:p>
        </w:tc>
        <w:tc>
          <w:tcPr>
            <w:tcW w:w="1772" w:type="dxa"/>
          </w:tcPr>
          <w:p>
            <w:pPr>
              <w:pStyle w:val="TableParagraph"/>
              <w:spacing w:line="256" w:lineRule="exact"/>
              <w:ind w:left="107"/>
              <w:rPr>
                <w:sz w:val="24"/>
              </w:rPr>
            </w:pPr>
            <w:r>
              <w:rPr>
                <w:sz w:val="24"/>
              </w:rPr>
              <w:t>25,1 %</w:t>
            </w:r>
          </w:p>
        </w:tc>
        <w:tc>
          <w:tcPr>
            <w:tcW w:w="1771" w:type="dxa"/>
          </w:tcPr>
          <w:p>
            <w:pPr>
              <w:pStyle w:val="TableParagraph"/>
              <w:spacing w:line="256" w:lineRule="exact"/>
              <w:ind w:left="107"/>
              <w:rPr>
                <w:sz w:val="24"/>
              </w:rPr>
            </w:pPr>
            <w:r>
              <w:rPr>
                <w:sz w:val="24"/>
              </w:rPr>
              <w:t>100,0 %</w:t>
            </w:r>
          </w:p>
        </w:tc>
      </w:tr>
      <w:tr>
        <w:trPr>
          <w:trHeight w:val="275" w:hRule="atLeast"/>
        </w:trPr>
        <w:tc>
          <w:tcPr>
            <w:tcW w:w="1908" w:type="dxa"/>
          </w:tcPr>
          <w:p>
            <w:pPr>
              <w:pStyle w:val="TableParagraph"/>
              <w:spacing w:line="256" w:lineRule="exact"/>
              <w:ind w:left="108"/>
              <w:rPr>
                <w:sz w:val="24"/>
              </w:rPr>
            </w:pPr>
            <w:r>
              <w:rPr>
                <w:sz w:val="24"/>
              </w:rPr>
              <w:t>Coloana (%)</w:t>
            </w:r>
          </w:p>
        </w:tc>
        <w:tc>
          <w:tcPr>
            <w:tcW w:w="1635" w:type="dxa"/>
          </w:tcPr>
          <w:p>
            <w:pPr>
              <w:pStyle w:val="TableParagraph"/>
              <w:spacing w:line="256" w:lineRule="exact"/>
              <w:ind w:left="108"/>
              <w:rPr>
                <w:sz w:val="24"/>
              </w:rPr>
            </w:pPr>
            <w:r>
              <w:rPr>
                <w:sz w:val="24"/>
              </w:rPr>
              <w:t>9,6 %</w:t>
            </w:r>
          </w:p>
        </w:tc>
        <w:tc>
          <w:tcPr>
            <w:tcW w:w="1772" w:type="dxa"/>
          </w:tcPr>
          <w:p>
            <w:pPr>
              <w:pStyle w:val="TableParagraph"/>
              <w:spacing w:line="256" w:lineRule="exact"/>
              <w:ind w:left="108"/>
              <w:rPr>
                <w:sz w:val="24"/>
              </w:rPr>
            </w:pPr>
            <w:r>
              <w:rPr>
                <w:sz w:val="24"/>
              </w:rPr>
              <w:t>18,2 %</w:t>
            </w:r>
          </w:p>
        </w:tc>
        <w:tc>
          <w:tcPr>
            <w:tcW w:w="1772" w:type="dxa"/>
          </w:tcPr>
          <w:p>
            <w:pPr>
              <w:pStyle w:val="TableParagraph"/>
              <w:spacing w:line="256" w:lineRule="exact"/>
              <w:ind w:left="107"/>
              <w:rPr>
                <w:sz w:val="24"/>
              </w:rPr>
            </w:pPr>
            <w:r>
              <w:rPr>
                <w:sz w:val="24"/>
              </w:rPr>
              <w:t>23,1 %</w:t>
            </w:r>
          </w:p>
        </w:tc>
        <w:tc>
          <w:tcPr>
            <w:tcW w:w="1771" w:type="dxa"/>
          </w:tcPr>
          <w:p>
            <w:pPr>
              <w:pStyle w:val="TableParagraph"/>
              <w:spacing w:line="256" w:lineRule="exact"/>
              <w:ind w:left="107"/>
              <w:rPr>
                <w:sz w:val="24"/>
              </w:rPr>
            </w:pPr>
            <w:r>
              <w:rPr>
                <w:sz w:val="24"/>
              </w:rPr>
              <w:t>12,4 %</w:t>
            </w:r>
          </w:p>
        </w:tc>
      </w:tr>
      <w:tr>
        <w:trPr>
          <w:trHeight w:val="275" w:hRule="atLeast"/>
        </w:trPr>
        <w:tc>
          <w:tcPr>
            <w:tcW w:w="1908" w:type="dxa"/>
          </w:tcPr>
          <w:p>
            <w:pPr>
              <w:pStyle w:val="TableParagraph"/>
              <w:spacing w:line="256" w:lineRule="exact"/>
              <w:ind w:left="525"/>
              <w:rPr>
                <w:b/>
                <w:sz w:val="24"/>
              </w:rPr>
            </w:pPr>
            <w:r>
              <w:rPr>
                <w:b/>
                <w:sz w:val="24"/>
              </w:rPr>
              <w:t>D_10-14</w:t>
            </w:r>
          </w:p>
        </w:tc>
        <w:tc>
          <w:tcPr>
            <w:tcW w:w="1635" w:type="dxa"/>
          </w:tcPr>
          <w:p>
            <w:pPr>
              <w:pStyle w:val="TableParagraph"/>
              <w:spacing w:line="256" w:lineRule="exact"/>
              <w:ind w:left="8"/>
              <w:jc w:val="center"/>
              <w:rPr>
                <w:b/>
                <w:sz w:val="24"/>
              </w:rPr>
            </w:pPr>
            <w:r>
              <w:rPr>
                <w:b/>
                <w:sz w:val="24"/>
              </w:rPr>
              <w:t>8</w:t>
            </w:r>
          </w:p>
        </w:tc>
        <w:tc>
          <w:tcPr>
            <w:tcW w:w="1772" w:type="dxa"/>
          </w:tcPr>
          <w:p>
            <w:pPr>
              <w:pStyle w:val="TableParagraph"/>
              <w:spacing w:line="256" w:lineRule="exact"/>
              <w:ind w:left="9"/>
              <w:jc w:val="center"/>
              <w:rPr>
                <w:b/>
                <w:sz w:val="24"/>
              </w:rPr>
            </w:pPr>
            <w:r>
              <w:rPr>
                <w:b/>
                <w:sz w:val="24"/>
              </w:rPr>
              <w:t>4</w:t>
            </w:r>
          </w:p>
        </w:tc>
        <w:tc>
          <w:tcPr>
            <w:tcW w:w="1772" w:type="dxa"/>
          </w:tcPr>
          <w:p>
            <w:pPr>
              <w:pStyle w:val="TableParagraph"/>
              <w:spacing w:line="256" w:lineRule="exact"/>
              <w:ind w:left="8"/>
              <w:jc w:val="center"/>
              <w:rPr>
                <w:b/>
                <w:sz w:val="24"/>
              </w:rPr>
            </w:pPr>
            <w:r>
              <w:rPr>
                <w:b/>
                <w:sz w:val="24"/>
              </w:rPr>
              <w:t>0</w:t>
            </w:r>
          </w:p>
        </w:tc>
        <w:tc>
          <w:tcPr>
            <w:tcW w:w="1771" w:type="dxa"/>
          </w:tcPr>
          <w:p>
            <w:pPr>
              <w:pStyle w:val="TableParagraph"/>
              <w:spacing w:line="256" w:lineRule="exact"/>
              <w:ind w:right="753"/>
              <w:jc w:val="right"/>
              <w:rPr>
                <w:b/>
                <w:sz w:val="24"/>
              </w:rPr>
            </w:pPr>
            <w:r>
              <w:rPr>
                <w:b/>
                <w:sz w:val="24"/>
              </w:rPr>
              <w:t>12</w:t>
            </w:r>
          </w:p>
        </w:tc>
      </w:tr>
      <w:tr>
        <w:trPr>
          <w:trHeight w:val="275" w:hRule="atLeast"/>
        </w:trPr>
        <w:tc>
          <w:tcPr>
            <w:tcW w:w="1908" w:type="dxa"/>
          </w:tcPr>
          <w:p>
            <w:pPr>
              <w:pStyle w:val="TableParagraph"/>
              <w:spacing w:line="256" w:lineRule="exact"/>
              <w:ind w:left="108"/>
              <w:rPr>
                <w:sz w:val="24"/>
              </w:rPr>
            </w:pPr>
            <w:r>
              <w:rPr>
                <w:sz w:val="24"/>
              </w:rPr>
              <w:t>Rand (%)</w:t>
            </w:r>
          </w:p>
        </w:tc>
        <w:tc>
          <w:tcPr>
            <w:tcW w:w="1635" w:type="dxa"/>
          </w:tcPr>
          <w:p>
            <w:pPr>
              <w:pStyle w:val="TableParagraph"/>
              <w:spacing w:line="256" w:lineRule="exact"/>
              <w:ind w:left="108"/>
              <w:rPr>
                <w:sz w:val="24"/>
              </w:rPr>
            </w:pPr>
            <w:r>
              <w:rPr>
                <w:sz w:val="24"/>
              </w:rPr>
              <w:t>66,7 %</w:t>
            </w:r>
          </w:p>
        </w:tc>
        <w:tc>
          <w:tcPr>
            <w:tcW w:w="1772" w:type="dxa"/>
          </w:tcPr>
          <w:p>
            <w:pPr>
              <w:pStyle w:val="TableParagraph"/>
              <w:spacing w:line="256" w:lineRule="exact"/>
              <w:ind w:left="108"/>
              <w:rPr>
                <w:sz w:val="24"/>
              </w:rPr>
            </w:pPr>
            <w:r>
              <w:rPr>
                <w:sz w:val="24"/>
              </w:rPr>
              <w:t>33,3 %</w:t>
            </w:r>
          </w:p>
        </w:tc>
        <w:tc>
          <w:tcPr>
            <w:tcW w:w="1772" w:type="dxa"/>
          </w:tcPr>
          <w:p>
            <w:pPr>
              <w:pStyle w:val="TableParagraph"/>
              <w:spacing w:line="256" w:lineRule="exact"/>
              <w:ind w:left="107"/>
              <w:rPr>
                <w:sz w:val="24"/>
              </w:rPr>
            </w:pPr>
            <w:r>
              <w:rPr>
                <w:sz w:val="24"/>
              </w:rPr>
              <w:t>0,0 %</w:t>
            </w:r>
          </w:p>
        </w:tc>
        <w:tc>
          <w:tcPr>
            <w:tcW w:w="1771" w:type="dxa"/>
          </w:tcPr>
          <w:p>
            <w:pPr>
              <w:pStyle w:val="TableParagraph"/>
              <w:spacing w:line="256" w:lineRule="exact"/>
              <w:ind w:left="107"/>
              <w:rPr>
                <w:sz w:val="24"/>
              </w:rPr>
            </w:pPr>
            <w:r>
              <w:rPr>
                <w:sz w:val="24"/>
              </w:rPr>
              <w:t>100,0 %</w:t>
            </w:r>
          </w:p>
        </w:tc>
      </w:tr>
      <w:tr>
        <w:trPr>
          <w:trHeight w:val="275" w:hRule="atLeast"/>
        </w:trPr>
        <w:tc>
          <w:tcPr>
            <w:tcW w:w="1908" w:type="dxa"/>
          </w:tcPr>
          <w:p>
            <w:pPr>
              <w:pStyle w:val="TableParagraph"/>
              <w:spacing w:line="256" w:lineRule="exact"/>
              <w:ind w:left="108"/>
              <w:rPr>
                <w:sz w:val="24"/>
              </w:rPr>
            </w:pPr>
            <w:r>
              <w:rPr>
                <w:sz w:val="24"/>
              </w:rPr>
              <w:t>Coloana (%)</w:t>
            </w:r>
          </w:p>
        </w:tc>
        <w:tc>
          <w:tcPr>
            <w:tcW w:w="1635" w:type="dxa"/>
          </w:tcPr>
          <w:p>
            <w:pPr>
              <w:pStyle w:val="TableParagraph"/>
              <w:spacing w:line="256" w:lineRule="exact"/>
              <w:ind w:left="108"/>
              <w:rPr>
                <w:sz w:val="24"/>
              </w:rPr>
            </w:pPr>
            <w:r>
              <w:rPr>
                <w:sz w:val="24"/>
              </w:rPr>
              <w:t>10,9 %</w:t>
            </w:r>
          </w:p>
        </w:tc>
        <w:tc>
          <w:tcPr>
            <w:tcW w:w="1772" w:type="dxa"/>
          </w:tcPr>
          <w:p>
            <w:pPr>
              <w:pStyle w:val="TableParagraph"/>
              <w:spacing w:line="256" w:lineRule="exact"/>
              <w:ind w:left="108"/>
              <w:rPr>
                <w:sz w:val="24"/>
              </w:rPr>
            </w:pPr>
            <w:r>
              <w:rPr>
                <w:sz w:val="24"/>
              </w:rPr>
              <w:t>36,4 %</w:t>
            </w:r>
          </w:p>
        </w:tc>
        <w:tc>
          <w:tcPr>
            <w:tcW w:w="1772" w:type="dxa"/>
          </w:tcPr>
          <w:p>
            <w:pPr>
              <w:pStyle w:val="TableParagraph"/>
              <w:spacing w:line="256" w:lineRule="exact"/>
              <w:ind w:left="107"/>
              <w:rPr>
                <w:sz w:val="24"/>
              </w:rPr>
            </w:pPr>
            <w:r>
              <w:rPr>
                <w:sz w:val="24"/>
              </w:rPr>
              <w:t>0,0 %</w:t>
            </w:r>
          </w:p>
        </w:tc>
        <w:tc>
          <w:tcPr>
            <w:tcW w:w="1771" w:type="dxa"/>
          </w:tcPr>
          <w:p>
            <w:pPr>
              <w:pStyle w:val="TableParagraph"/>
              <w:spacing w:line="256" w:lineRule="exact"/>
              <w:ind w:left="107"/>
              <w:rPr>
                <w:sz w:val="24"/>
              </w:rPr>
            </w:pPr>
            <w:r>
              <w:rPr>
                <w:sz w:val="24"/>
              </w:rPr>
              <w:t>12,4 %</w:t>
            </w:r>
          </w:p>
        </w:tc>
      </w:tr>
      <w:tr>
        <w:trPr>
          <w:trHeight w:val="278" w:hRule="atLeast"/>
        </w:trPr>
        <w:tc>
          <w:tcPr>
            <w:tcW w:w="1908" w:type="dxa"/>
          </w:tcPr>
          <w:p>
            <w:pPr>
              <w:pStyle w:val="TableParagraph"/>
              <w:spacing w:line="257" w:lineRule="exact" w:before="1"/>
              <w:ind w:left="108"/>
              <w:rPr>
                <w:b/>
                <w:sz w:val="24"/>
              </w:rPr>
            </w:pPr>
            <w:r>
              <w:rPr>
                <w:b/>
                <w:sz w:val="24"/>
              </w:rPr>
              <w:t>Total 0-14 ani</w:t>
            </w:r>
          </w:p>
        </w:tc>
        <w:tc>
          <w:tcPr>
            <w:tcW w:w="1635" w:type="dxa"/>
          </w:tcPr>
          <w:p>
            <w:pPr>
              <w:pStyle w:val="TableParagraph"/>
              <w:spacing w:line="257" w:lineRule="exact" w:before="1"/>
              <w:ind w:left="676" w:right="668"/>
              <w:jc w:val="center"/>
              <w:rPr>
                <w:b/>
                <w:sz w:val="24"/>
              </w:rPr>
            </w:pPr>
            <w:r>
              <w:rPr>
                <w:b/>
                <w:sz w:val="24"/>
              </w:rPr>
              <w:t>73</w:t>
            </w:r>
          </w:p>
        </w:tc>
        <w:tc>
          <w:tcPr>
            <w:tcW w:w="1772" w:type="dxa"/>
          </w:tcPr>
          <w:p>
            <w:pPr>
              <w:pStyle w:val="TableParagraph"/>
              <w:spacing w:line="257" w:lineRule="exact" w:before="1"/>
              <w:ind w:left="745" w:right="736"/>
              <w:jc w:val="center"/>
              <w:rPr>
                <w:b/>
                <w:sz w:val="24"/>
              </w:rPr>
            </w:pPr>
            <w:r>
              <w:rPr>
                <w:b/>
                <w:sz w:val="24"/>
              </w:rPr>
              <w:t>11</w:t>
            </w:r>
          </w:p>
        </w:tc>
        <w:tc>
          <w:tcPr>
            <w:tcW w:w="1772" w:type="dxa"/>
          </w:tcPr>
          <w:p>
            <w:pPr>
              <w:pStyle w:val="TableParagraph"/>
              <w:spacing w:line="257" w:lineRule="exact" w:before="1"/>
              <w:ind w:left="744" w:right="736"/>
              <w:jc w:val="center"/>
              <w:rPr>
                <w:b/>
                <w:sz w:val="24"/>
              </w:rPr>
            </w:pPr>
            <w:r>
              <w:rPr>
                <w:b/>
                <w:sz w:val="24"/>
              </w:rPr>
              <w:t>13</w:t>
            </w:r>
          </w:p>
        </w:tc>
        <w:tc>
          <w:tcPr>
            <w:tcW w:w="1771" w:type="dxa"/>
          </w:tcPr>
          <w:p>
            <w:pPr>
              <w:pStyle w:val="TableParagraph"/>
              <w:spacing w:line="257" w:lineRule="exact" w:before="1"/>
              <w:ind w:right="753"/>
              <w:jc w:val="right"/>
              <w:rPr>
                <w:b/>
                <w:sz w:val="24"/>
              </w:rPr>
            </w:pPr>
            <w:r>
              <w:rPr>
                <w:b/>
                <w:sz w:val="24"/>
              </w:rPr>
              <w:t>97</w:t>
            </w:r>
          </w:p>
        </w:tc>
      </w:tr>
      <w:tr>
        <w:trPr>
          <w:trHeight w:val="275" w:hRule="atLeast"/>
        </w:trPr>
        <w:tc>
          <w:tcPr>
            <w:tcW w:w="1908" w:type="dxa"/>
          </w:tcPr>
          <w:p>
            <w:pPr>
              <w:pStyle w:val="TableParagraph"/>
              <w:spacing w:line="256" w:lineRule="exact"/>
              <w:ind w:left="108"/>
              <w:rPr>
                <w:sz w:val="24"/>
              </w:rPr>
            </w:pPr>
            <w:r>
              <w:rPr>
                <w:sz w:val="24"/>
              </w:rPr>
              <w:t>Rand (%)</w:t>
            </w:r>
          </w:p>
        </w:tc>
        <w:tc>
          <w:tcPr>
            <w:tcW w:w="1635" w:type="dxa"/>
          </w:tcPr>
          <w:p>
            <w:pPr>
              <w:pStyle w:val="TableParagraph"/>
              <w:spacing w:line="256" w:lineRule="exact"/>
              <w:ind w:left="108"/>
              <w:rPr>
                <w:sz w:val="24"/>
              </w:rPr>
            </w:pPr>
            <w:r>
              <w:rPr>
                <w:sz w:val="24"/>
              </w:rPr>
              <w:t>75,3 %</w:t>
            </w:r>
          </w:p>
        </w:tc>
        <w:tc>
          <w:tcPr>
            <w:tcW w:w="1772" w:type="dxa"/>
          </w:tcPr>
          <w:p>
            <w:pPr>
              <w:pStyle w:val="TableParagraph"/>
              <w:spacing w:line="256" w:lineRule="exact"/>
              <w:ind w:left="108"/>
              <w:rPr>
                <w:sz w:val="24"/>
              </w:rPr>
            </w:pPr>
            <w:r>
              <w:rPr>
                <w:sz w:val="24"/>
              </w:rPr>
              <w:t>11,3 %</w:t>
            </w:r>
          </w:p>
        </w:tc>
        <w:tc>
          <w:tcPr>
            <w:tcW w:w="1772" w:type="dxa"/>
          </w:tcPr>
          <w:p>
            <w:pPr>
              <w:pStyle w:val="TableParagraph"/>
              <w:spacing w:line="256" w:lineRule="exact"/>
              <w:ind w:left="107"/>
              <w:rPr>
                <w:sz w:val="24"/>
              </w:rPr>
            </w:pPr>
            <w:r>
              <w:rPr>
                <w:sz w:val="24"/>
              </w:rPr>
              <w:t>13,4 %</w:t>
            </w:r>
          </w:p>
        </w:tc>
        <w:tc>
          <w:tcPr>
            <w:tcW w:w="1771" w:type="dxa"/>
          </w:tcPr>
          <w:p>
            <w:pPr>
              <w:pStyle w:val="TableParagraph"/>
              <w:spacing w:line="256" w:lineRule="exact"/>
              <w:ind w:left="107"/>
              <w:rPr>
                <w:sz w:val="24"/>
              </w:rPr>
            </w:pPr>
            <w:r>
              <w:rPr>
                <w:sz w:val="24"/>
              </w:rPr>
              <w:t>100,0 %</w:t>
            </w:r>
          </w:p>
        </w:tc>
      </w:tr>
      <w:tr>
        <w:trPr>
          <w:trHeight w:val="275" w:hRule="atLeast"/>
        </w:trPr>
        <w:tc>
          <w:tcPr>
            <w:tcW w:w="1908" w:type="dxa"/>
          </w:tcPr>
          <w:p>
            <w:pPr>
              <w:pStyle w:val="TableParagraph"/>
              <w:spacing w:line="256" w:lineRule="exact"/>
              <w:ind w:left="108"/>
              <w:rPr>
                <w:sz w:val="24"/>
              </w:rPr>
            </w:pPr>
            <w:r>
              <w:rPr>
                <w:sz w:val="24"/>
              </w:rPr>
              <w:t>Coloana (%)</w:t>
            </w:r>
          </w:p>
        </w:tc>
        <w:tc>
          <w:tcPr>
            <w:tcW w:w="1635" w:type="dxa"/>
          </w:tcPr>
          <w:p>
            <w:pPr>
              <w:pStyle w:val="TableParagraph"/>
              <w:spacing w:line="256" w:lineRule="exact"/>
              <w:ind w:left="108"/>
              <w:rPr>
                <w:sz w:val="24"/>
              </w:rPr>
            </w:pPr>
            <w:r>
              <w:rPr>
                <w:sz w:val="24"/>
              </w:rPr>
              <w:t>100,0 %</w:t>
            </w:r>
          </w:p>
        </w:tc>
        <w:tc>
          <w:tcPr>
            <w:tcW w:w="1772" w:type="dxa"/>
          </w:tcPr>
          <w:p>
            <w:pPr>
              <w:pStyle w:val="TableParagraph"/>
              <w:spacing w:line="256" w:lineRule="exact"/>
              <w:ind w:left="108"/>
              <w:rPr>
                <w:sz w:val="24"/>
              </w:rPr>
            </w:pPr>
            <w:r>
              <w:rPr>
                <w:sz w:val="24"/>
              </w:rPr>
              <w:t>100,0 %</w:t>
            </w:r>
          </w:p>
        </w:tc>
        <w:tc>
          <w:tcPr>
            <w:tcW w:w="1772" w:type="dxa"/>
          </w:tcPr>
          <w:p>
            <w:pPr>
              <w:pStyle w:val="TableParagraph"/>
              <w:spacing w:line="256" w:lineRule="exact"/>
              <w:ind w:left="107"/>
              <w:rPr>
                <w:sz w:val="24"/>
              </w:rPr>
            </w:pPr>
            <w:r>
              <w:rPr>
                <w:sz w:val="24"/>
              </w:rPr>
              <w:t>100,0 %</w:t>
            </w:r>
          </w:p>
        </w:tc>
        <w:tc>
          <w:tcPr>
            <w:tcW w:w="1771" w:type="dxa"/>
          </w:tcPr>
          <w:p>
            <w:pPr>
              <w:pStyle w:val="TableParagraph"/>
              <w:spacing w:line="256" w:lineRule="exact"/>
              <w:ind w:left="107"/>
              <w:rPr>
                <w:sz w:val="24"/>
              </w:rPr>
            </w:pPr>
            <w:r>
              <w:rPr>
                <w:sz w:val="24"/>
              </w:rPr>
              <w:t>100,0 %</w:t>
            </w:r>
          </w:p>
        </w:tc>
      </w:tr>
    </w:tbl>
    <w:p>
      <w:pPr>
        <w:pStyle w:val="BodyText"/>
        <w:spacing w:before="229"/>
        <w:ind w:left="233" w:right="830" w:firstLine="50"/>
        <w:jc w:val="both"/>
      </w:pPr>
      <w:r>
        <w:rPr/>
        <w:t>Pentru cazurile de rujeola spitalizate in municipiul Bucuresti, perioada ianuarie-iulie 2017 – prevalenta complicatiior este redata in figura de mai jos.</w:t>
      </w:r>
    </w:p>
    <w:p>
      <w:pPr>
        <w:pStyle w:val="BodyText"/>
        <w:ind w:left="233" w:right="831"/>
        <w:jc w:val="both"/>
      </w:pPr>
      <w:r>
        <w:rPr/>
        <w:t>Prevalenta complicatiilor la pacientii cu rujeola spitalizati, a fost de: 65 % cu BDA, 55 % cu stomatita micotica, 30 % cu trombocitopenie, 20 % cu conjunctivita , 19 % cu otita acuta, 12 % cu hepatita reactiva si respectiv 3 % cu insuficienta respiratorie acuta.</w:t>
      </w:r>
    </w:p>
    <w:p>
      <w:pPr>
        <w:spacing w:after="0"/>
        <w:jc w:val="both"/>
        <w:sectPr>
          <w:pgSz w:w="11910" w:h="16840"/>
          <w:pgMar w:header="0" w:footer="738" w:top="1500" w:bottom="920" w:left="900" w:right="0"/>
        </w:sectPr>
      </w:pPr>
    </w:p>
    <w:p>
      <w:pPr>
        <w:pStyle w:val="BodyText"/>
        <w:ind w:left="303"/>
        <w:rPr>
          <w:sz w:val="20"/>
        </w:rPr>
      </w:pPr>
      <w:r>
        <w:rPr>
          <w:sz w:val="20"/>
        </w:rPr>
        <w:pict>
          <v:group style="width:400.35pt;height:183.6pt;mso-position-horizontal-relative:char;mso-position-vertical-relative:line" coordorigin="0,0" coordsize="8007,3672">
            <v:line style="position:absolute" from="3270,168" to="3270,694" stroked="true" strokeweight=".959992pt" strokecolor="#000000">
              <v:stroke dashstyle="solid"/>
            </v:line>
            <v:line style="position:absolute" from="3270,905" to="3270,1116" stroked="true" strokeweight=".959992pt" strokecolor="#000000">
              <v:stroke dashstyle="solid"/>
            </v:line>
            <v:line style="position:absolute" from="3270,1326" to="3270,1537" stroked="true" strokeweight=".959992pt" strokecolor="#000000">
              <v:stroke dashstyle="solid"/>
            </v:line>
            <v:line style="position:absolute" from="3270,1746" to="3270,1957" stroked="true" strokeweight=".959992pt" strokecolor="#000000">
              <v:stroke dashstyle="solid"/>
            </v:line>
            <v:line style="position:absolute" from="3270,2166" to="3270,2377" stroked="true" strokeweight=".959992pt" strokecolor="#000000">
              <v:stroke dashstyle="solid"/>
            </v:line>
            <v:line style="position:absolute" from="3270,2589" to="3270,2800" stroked="true" strokeweight=".959992pt" strokecolor="#000000">
              <v:stroke dashstyle="solid"/>
            </v:line>
            <v:line style="position:absolute" from="3270,3009" to="3270,3115" stroked="true" strokeweight=".959992pt" strokecolor="#000000">
              <v:stroke dashstyle="solid"/>
            </v:line>
            <v:line style="position:absolute" from="3981,168" to="3981,1957" stroked="true" strokeweight=".959992pt" strokecolor="#000000">
              <v:stroke dashstyle="solid"/>
            </v:line>
            <v:line style="position:absolute" from="3981,2166" to="3981,2377" stroked="true" strokeweight=".959992pt" strokecolor="#000000">
              <v:stroke dashstyle="solid"/>
            </v:line>
            <v:line style="position:absolute" from="3981,2589" to="3981,2800" stroked="true" strokeweight=".959992pt" strokecolor="#000000">
              <v:stroke dashstyle="solid"/>
            </v:line>
            <v:line style="position:absolute" from="3981,3009" to="3981,3115" stroked="true" strokeweight=".959992pt" strokecolor="#000000">
              <v:stroke dashstyle="solid"/>
            </v:line>
            <v:line style="position:absolute" from="4693,168" to="4693,1957" stroked="true" strokeweight=".959992pt" strokecolor="#000000">
              <v:stroke dashstyle="solid"/>
            </v:line>
            <v:line style="position:absolute" from="4693,2166" to="4693,2377" stroked="true" strokeweight=".959992pt" strokecolor="#000000">
              <v:stroke dashstyle="solid"/>
            </v:line>
            <v:line style="position:absolute" from="4693,2589" to="4693,2800" stroked="true" strokeweight=".959992pt" strokecolor="#000000">
              <v:stroke dashstyle="solid"/>
            </v:line>
            <v:line style="position:absolute" from="4693,3009" to="4693,3115" stroked="true" strokeweight=".959992pt" strokecolor="#000000">
              <v:stroke dashstyle="solid"/>
            </v:line>
            <v:line style="position:absolute" from="5407,168" to="5407,2377" stroked="true" strokeweight=".959992pt" strokecolor="#000000">
              <v:stroke dashstyle="solid"/>
            </v:line>
            <v:line style="position:absolute" from="5407,2589" to="5407,2800" stroked="true" strokeweight=".959992pt" strokecolor="#000000">
              <v:stroke dashstyle="solid"/>
            </v:line>
            <v:line style="position:absolute" from="5407,3009" to="5407,3115" stroked="true" strokeweight=".959992pt" strokecolor="#000000">
              <v:stroke dashstyle="solid"/>
            </v:line>
            <v:line style="position:absolute" from="6120,168" to="6120,2377" stroked="true" strokeweight=".959992pt" strokecolor="#000000">
              <v:stroke dashstyle="solid"/>
            </v:line>
            <v:line style="position:absolute" from="6120,2589" to="6120,2800" stroked="true" strokeweight=".959992pt" strokecolor="#000000">
              <v:stroke dashstyle="solid"/>
            </v:line>
            <v:line style="position:absolute" from="6120,3009" to="6120,3115" stroked="true" strokeweight=".959992pt" strokecolor="#000000">
              <v:stroke dashstyle="solid"/>
            </v:line>
            <v:line style="position:absolute" from="6830,168" to="6830,2800" stroked="true" strokeweight=".959992pt" strokecolor="#000000">
              <v:stroke dashstyle="solid"/>
            </v:line>
            <v:line style="position:absolute" from="6830,3009" to="6830,3115" stroked="true" strokeweight=".959992pt" strokecolor="#000000">
              <v:stroke dashstyle="solid"/>
            </v:line>
            <v:line style="position:absolute" from="7543,168" to="7543,3115" stroked="true" strokeweight=".959992pt" strokecolor="#000000">
              <v:stroke dashstyle="solid"/>
            </v:line>
            <v:rect style="position:absolute;left:2556;top:167;width:4987;height:2947" filled="false" stroked="true" strokeweight=".959981pt" strokecolor="#808080">
              <v:stroke dashstyle="solid"/>
            </v:rect>
            <v:rect style="position:absolute;left:2556;top:2800;width:4646;height:209" filled="true" fillcolor="#ffff99" stroked="false">
              <v:fill type="solid"/>
            </v:rect>
            <v:rect style="position:absolute;left:2556;top:2800;width:4646;height:209" filled="false" stroked="true" strokeweight=".959977pt" strokecolor="#000000">
              <v:stroke dashstyle="solid"/>
            </v:rect>
            <v:rect style="position:absolute;left:2556;top:2377;width:3897;height:212" filled="true" fillcolor="#ffff99" stroked="false">
              <v:fill type="solid"/>
            </v:rect>
            <v:rect style="position:absolute;left:2556;top:2377;width:3897;height:212" filled="false" stroked="true" strokeweight=".959977pt" strokecolor="#000000">
              <v:stroke dashstyle="solid"/>
            </v:rect>
            <v:rect style="position:absolute;left:2556;top:1957;width:2166;height:209" filled="true" fillcolor="#ffff99" stroked="false">
              <v:fill type="solid"/>
            </v:rect>
            <v:rect style="position:absolute;left:2556;top:1957;width:2166;height:209" filled="false" stroked="true" strokeweight=".959977pt" strokecolor="#000000">
              <v:stroke dashstyle="solid"/>
            </v:rect>
            <v:rect style="position:absolute;left:2556;top:1536;width:1431;height:209" filled="true" fillcolor="#ffff99" stroked="false">
              <v:fill type="solid"/>
            </v:rect>
            <v:rect style="position:absolute;left:2556;top:1536;width:1431;height:209" filled="false" stroked="true" strokeweight=".959977pt" strokecolor="#000000">
              <v:stroke dashstyle="solid"/>
            </v:rect>
            <v:rect style="position:absolute;left:2556;top:1116;width:1362;height:210" filled="true" fillcolor="#ffff99" stroked="false">
              <v:fill type="solid"/>
            </v:rect>
            <v:rect style="position:absolute;left:2556;top:1116;width:1362;height:210" filled="false" stroked="true" strokeweight=".959977pt" strokecolor="#000000">
              <v:stroke dashstyle="solid"/>
            </v:rect>
            <v:rect style="position:absolute;left:2556;top:694;width:869;height:212" filled="true" fillcolor="#ffff99" stroked="false">
              <v:fill type="solid"/>
            </v:rect>
            <v:rect style="position:absolute;left:2556;top:694;width:869;height:212" filled="false" stroked="true" strokeweight=".959978pt" strokecolor="#000000">
              <v:stroke dashstyle="solid"/>
            </v:rect>
            <v:rect style="position:absolute;left:2556;top:273;width:185;height:210" filled="true" fillcolor="#ffff99" stroked="false">
              <v:fill type="solid"/>
            </v:rect>
            <v:rect style="position:absolute;left:2556;top:273;width:185;height:210" filled="false" stroked="true" strokeweight=".959985pt" strokecolor="#000000">
              <v:stroke dashstyle="solid"/>
            </v:rect>
            <v:line style="position:absolute" from="2557,3115" to="7543,3115" stroked="true" strokeweight=".959977pt" strokecolor="#000000">
              <v:stroke dashstyle="solid"/>
            </v:line>
            <v:line style="position:absolute" from="2557,3165" to="2557,3115" stroked="true" strokeweight=".959992pt" strokecolor="#000000">
              <v:stroke dashstyle="solid"/>
            </v:line>
            <v:line style="position:absolute" from="3270,3165" to="3270,3115" stroked="true" strokeweight=".959992pt" strokecolor="#000000">
              <v:stroke dashstyle="solid"/>
            </v:line>
            <v:line style="position:absolute" from="3981,3165" to="3981,3115" stroked="true" strokeweight=".959992pt" strokecolor="#000000">
              <v:stroke dashstyle="solid"/>
            </v:line>
            <v:line style="position:absolute" from="4693,3165" to="4693,3115" stroked="true" strokeweight=".959992pt" strokecolor="#000000">
              <v:stroke dashstyle="solid"/>
            </v:line>
            <v:line style="position:absolute" from="5407,3165" to="5407,3115" stroked="true" strokeweight=".959992pt" strokecolor="#000000">
              <v:stroke dashstyle="solid"/>
            </v:line>
            <v:line style="position:absolute" from="6120,3165" to="6120,3115" stroked="true" strokeweight=".959992pt" strokecolor="#000000">
              <v:stroke dashstyle="solid"/>
            </v:line>
            <v:line style="position:absolute" from="6830,3165" to="6830,3115" stroked="true" strokeweight=".959992pt" strokecolor="#000000">
              <v:stroke dashstyle="solid"/>
            </v:line>
            <v:line style="position:absolute" from="7543,3165" to="7543,3115" stroked="true" strokeweight=".959992pt" strokecolor="#000000">
              <v:stroke dashstyle="solid"/>
            </v:line>
            <v:line style="position:absolute" from="2557,168" to="2557,3115" stroked="true" strokeweight=".959992pt" strokecolor="#000000">
              <v:stroke dashstyle="solid"/>
            </v:line>
            <v:line style="position:absolute" from="2507,3115" to="2557,3115" stroked="true" strokeweight=".959977pt" strokecolor="#000000">
              <v:stroke dashstyle="solid"/>
            </v:line>
            <v:line style="position:absolute" from="2507,2694" to="2557,2694" stroked="true" strokeweight=".959977pt" strokecolor="#000000">
              <v:stroke dashstyle="solid"/>
            </v:line>
            <v:line style="position:absolute" from="2507,2272" to="2557,2272" stroked="true" strokeweight=".959977pt" strokecolor="#000000">
              <v:stroke dashstyle="solid"/>
            </v:line>
            <v:line style="position:absolute" from="2507,1851" to="2557,1851" stroked="true" strokeweight=".959977pt" strokecolor="#000000">
              <v:stroke dashstyle="solid"/>
            </v:line>
            <v:line style="position:absolute" from="2507,1431" to="2557,1431" stroked="true" strokeweight=".959977pt" strokecolor="#000000">
              <v:stroke dashstyle="solid"/>
            </v:line>
            <v:line style="position:absolute" from="2507,1011" to="2557,1011" stroked="true" strokeweight=".959977pt" strokecolor="#000000">
              <v:stroke dashstyle="solid"/>
            </v:line>
            <v:line style="position:absolute" from="2507,588" to="2557,588" stroked="true" strokeweight=".959977pt" strokecolor="#000000">
              <v:stroke dashstyle="solid"/>
            </v:line>
            <v:line style="position:absolute" from="2507,168" to="2557,168" stroked="true" strokeweight=".959977pt" strokecolor="#000000">
              <v:stroke dashstyle="solid"/>
            </v:line>
            <v:shape style="position:absolute;left:9;top:9;width:7988;height:3653" type="#_x0000_t202" filled="false" stroked="true" strokeweight=".95998pt" strokecolor="#000000">
              <v:textbox inset="0,0,0,0">
                <w:txbxContent>
                  <w:p>
                    <w:pPr>
                      <w:spacing w:line="240" w:lineRule="auto" w:before="5"/>
                      <w:rPr>
                        <w:sz w:val="22"/>
                      </w:rPr>
                    </w:pPr>
                  </w:p>
                  <w:p>
                    <w:pPr>
                      <w:spacing w:before="0"/>
                      <w:ind w:left="0" w:right="5554" w:firstLine="0"/>
                      <w:jc w:val="right"/>
                      <w:rPr>
                        <w:rFonts w:ascii="Arial"/>
                        <w:b/>
                        <w:sz w:val="16"/>
                      </w:rPr>
                    </w:pPr>
                    <w:r>
                      <w:rPr>
                        <w:rFonts w:ascii="Arial"/>
                        <w:b/>
                        <w:sz w:val="16"/>
                      </w:rPr>
                      <w:t>Insuficienta</w:t>
                    </w:r>
                    <w:r>
                      <w:rPr>
                        <w:rFonts w:ascii="Arial"/>
                        <w:b/>
                        <w:spacing w:val="-3"/>
                        <w:sz w:val="16"/>
                      </w:rPr>
                      <w:t> </w:t>
                    </w:r>
                    <w:r>
                      <w:rPr>
                        <w:rFonts w:ascii="Arial"/>
                        <w:b/>
                        <w:sz w:val="16"/>
                      </w:rPr>
                      <w:t>respiratorieacuta</w:t>
                    </w:r>
                  </w:p>
                  <w:p>
                    <w:pPr>
                      <w:spacing w:line="240" w:lineRule="auto" w:before="6"/>
                      <w:rPr>
                        <w:rFonts w:ascii="Arial"/>
                        <w:b/>
                        <w:sz w:val="20"/>
                      </w:rPr>
                    </w:pPr>
                  </w:p>
                  <w:p>
                    <w:pPr>
                      <w:spacing w:before="0"/>
                      <w:ind w:left="0" w:right="5553" w:firstLine="0"/>
                      <w:jc w:val="right"/>
                      <w:rPr>
                        <w:rFonts w:ascii="Arial"/>
                        <w:b/>
                        <w:sz w:val="16"/>
                      </w:rPr>
                    </w:pPr>
                    <w:r>
                      <w:rPr>
                        <w:rFonts w:ascii="Arial"/>
                        <w:b/>
                        <w:sz w:val="16"/>
                      </w:rPr>
                      <w:t>Hepatita</w:t>
                    </w:r>
                    <w:r>
                      <w:rPr>
                        <w:rFonts w:ascii="Arial"/>
                        <w:b/>
                        <w:spacing w:val="-4"/>
                        <w:sz w:val="16"/>
                      </w:rPr>
                      <w:t> </w:t>
                    </w:r>
                    <w:r>
                      <w:rPr>
                        <w:rFonts w:ascii="Arial"/>
                        <w:b/>
                        <w:sz w:val="16"/>
                      </w:rPr>
                      <w:t>reactiva</w:t>
                    </w:r>
                  </w:p>
                  <w:p>
                    <w:pPr>
                      <w:spacing w:line="240" w:lineRule="auto" w:before="6"/>
                      <w:rPr>
                        <w:rFonts w:ascii="Arial"/>
                        <w:b/>
                        <w:sz w:val="20"/>
                      </w:rPr>
                    </w:pPr>
                  </w:p>
                  <w:p>
                    <w:pPr>
                      <w:spacing w:line="549" w:lineRule="auto" w:before="1"/>
                      <w:ind w:left="1001" w:right="5553" w:firstLine="1046"/>
                      <w:jc w:val="right"/>
                      <w:rPr>
                        <w:rFonts w:ascii="Arial"/>
                        <w:b/>
                        <w:sz w:val="16"/>
                      </w:rPr>
                    </w:pPr>
                    <w:r>
                      <w:rPr>
                        <w:rFonts w:ascii="Arial"/>
                        <w:b/>
                        <w:spacing w:val="-1"/>
                        <w:sz w:val="16"/>
                      </w:rPr>
                      <w:t>Otita Conjunctivita Trombocitopenie </w:t>
                    </w:r>
                    <w:r>
                      <w:rPr>
                        <w:rFonts w:ascii="Arial"/>
                        <w:b/>
                        <w:sz w:val="16"/>
                      </w:rPr>
                      <w:t>Stomatita</w:t>
                    </w:r>
                    <w:r>
                      <w:rPr>
                        <w:rFonts w:ascii="Arial"/>
                        <w:b/>
                        <w:spacing w:val="10"/>
                        <w:sz w:val="16"/>
                      </w:rPr>
                      <w:t> </w:t>
                    </w:r>
                    <w:r>
                      <w:rPr>
                        <w:rFonts w:ascii="Arial"/>
                        <w:b/>
                        <w:spacing w:val="-3"/>
                        <w:sz w:val="16"/>
                      </w:rPr>
                      <w:t>Candida</w:t>
                    </w:r>
                  </w:p>
                  <w:p>
                    <w:pPr>
                      <w:spacing w:line="182" w:lineRule="exact" w:before="0"/>
                      <w:ind w:left="2073" w:right="0" w:firstLine="0"/>
                      <w:jc w:val="left"/>
                      <w:rPr>
                        <w:rFonts w:ascii="Arial"/>
                        <w:b/>
                        <w:sz w:val="16"/>
                      </w:rPr>
                    </w:pPr>
                    <w:r>
                      <w:rPr>
                        <w:rFonts w:ascii="Arial"/>
                        <w:b/>
                        <w:sz w:val="16"/>
                      </w:rPr>
                      <w:t>BDA</w:t>
                    </w:r>
                  </w:p>
                  <w:p>
                    <w:pPr>
                      <w:spacing w:line="240" w:lineRule="auto" w:before="7"/>
                      <w:rPr>
                        <w:rFonts w:ascii="Arial"/>
                        <w:b/>
                        <w:sz w:val="23"/>
                      </w:rPr>
                    </w:pPr>
                  </w:p>
                  <w:p>
                    <w:pPr>
                      <w:tabs>
                        <w:tab w:pos="2979" w:val="left" w:leader="none"/>
                      </w:tabs>
                      <w:spacing w:before="0"/>
                      <w:ind w:left="2312" w:right="0" w:firstLine="0"/>
                      <w:jc w:val="left"/>
                      <w:rPr>
                        <w:rFonts w:ascii="Arial"/>
                        <w:b/>
                        <w:sz w:val="16"/>
                      </w:rPr>
                    </w:pPr>
                    <w:r>
                      <w:rPr>
                        <w:rFonts w:ascii="Arial"/>
                        <w:b/>
                        <w:sz w:val="16"/>
                      </w:rPr>
                      <w:t>0.00%</w:t>
                      <w:tab/>
                      <w:t>10.00% 20.00% 30.00% 40.00% 50.00% 60.00%</w:t>
                    </w:r>
                    <w:r>
                      <w:rPr>
                        <w:rFonts w:ascii="Arial"/>
                        <w:b/>
                        <w:spacing w:val="23"/>
                        <w:sz w:val="16"/>
                      </w:rPr>
                      <w:t> </w:t>
                    </w:r>
                    <w:r>
                      <w:rPr>
                        <w:rFonts w:ascii="Arial"/>
                        <w:b/>
                        <w:sz w:val="16"/>
                      </w:rPr>
                      <w:t>70.00%</w:t>
                    </w:r>
                  </w:p>
                </w:txbxContent>
              </v:textbox>
              <v:stroke dashstyle="solid"/>
              <w10:wrap type="none"/>
            </v:shape>
          </v:group>
        </w:pict>
      </w:r>
      <w:r>
        <w:rPr>
          <w:sz w:val="20"/>
        </w:rPr>
      </w:r>
    </w:p>
    <w:p>
      <w:pPr>
        <w:pStyle w:val="BodyText"/>
        <w:spacing w:before="8"/>
        <w:ind w:left="0"/>
        <w:rPr>
          <w:sz w:val="7"/>
        </w:rPr>
      </w:pPr>
    </w:p>
    <w:p>
      <w:pPr>
        <w:pStyle w:val="BodyText"/>
        <w:spacing w:before="90"/>
        <w:ind w:left="233" w:right="1597"/>
        <w:jc w:val="both"/>
      </w:pPr>
      <w:r>
        <w:rPr/>
        <w:pict>
          <v:group style="position:absolute;margin-left:45.730324pt;margin-top:38.283291pt;width:424.55pt;height:140.25pt;mso-position-horizontal-relative:page;mso-position-vertical-relative:paragraph;z-index:251931648" coordorigin="915,766" coordsize="8491,2805">
            <v:rect style="position:absolute;left:922;top:773;width:8476;height:2790" filled="false" stroked="true" strokeweight=".74645pt" strokecolor="#000000">
              <v:stroke dashstyle="solid"/>
            </v:rect>
            <v:shape style="position:absolute;left:2302;top:2828;width:6571;height:210" coordorigin="2302,2828" coordsize="6571,210" path="m8872,2828l2587,2828,2302,3038,8587,3038,8872,2828xe" filled="true" fillcolor="#808080" stroked="false">
              <v:path arrowok="t"/>
              <v:fill type="solid"/>
            </v:shape>
            <v:shape style="position:absolute;left:2302;top:937;width:285;height:2101" coordorigin="2302,938" coordsize="285,2101" path="m2587,938l2302,1148,2302,3038,2587,2828,2587,938xe" filled="true" fillcolor="#ffffff" stroked="false">
              <v:path arrowok="t"/>
              <v:fill type="solid"/>
            </v:shape>
            <v:line style="position:absolute" from="2310,3046" to="2580,2851" stroked="true" strokeweight=".747064pt" strokecolor="#000000">
              <v:stroke dashstyle="solid"/>
            </v:line>
            <v:shape style="position:absolute;left:2594;top:2835;width:6271;height:2" coordorigin="2595,2836" coordsize="6271,0" path="m7965,2836l8865,2836m5865,2836l7125,2836m3780,2836l5040,2836m2595,2836l2940,2836e" filled="false" stroked="true" strokeweight=".746206pt" strokecolor="#000000">
              <v:path arrowok="t"/>
              <v:stroke dashstyle="solid"/>
            </v:shape>
            <v:line style="position:absolute" from="2310,2670" to="2580,2461" stroked="true" strokeweight=".747149pt" strokecolor="#000000">
              <v:stroke dashstyle="solid"/>
            </v:line>
            <v:shape style="position:absolute;left:2594;top:2445;width:6271;height:2" coordorigin="2595,2446" coordsize="6271,0" path="m7965,2446l8865,2446m5865,2446l7125,2446m3780,2446l5040,2446m2595,2446l2940,2446e" filled="false" stroked="true" strokeweight=".746206pt" strokecolor="#000000">
              <v:path arrowok="t"/>
              <v:stroke dashstyle="solid"/>
            </v:shape>
            <v:line style="position:absolute" from="2310,2295" to="2580,2085" stroked="true" strokeweight=".747149pt" strokecolor="#000000">
              <v:stroke dashstyle="solid"/>
            </v:line>
            <v:shape style="position:absolute;left:2594;top:2070;width:6271;height:2" coordorigin="2595,2071" coordsize="6271,0" path="m5865,2071l8865,2071m3780,2071l5040,2071m2595,2071l2940,2071e" filled="false" stroked="true" strokeweight=".746206pt" strokecolor="#000000">
              <v:path arrowok="t"/>
              <v:stroke dashstyle="solid"/>
            </v:shape>
            <v:line style="position:absolute" from="2310,1920" to="2580,1710" stroked="true" strokeweight=".747149pt" strokecolor="#000000">
              <v:stroke dashstyle="solid"/>
            </v:line>
            <v:shape style="position:absolute;left:2594;top:1695;width:6271;height:2" coordorigin="2595,1695" coordsize="6271,0" path="m3780,1695l8865,1695m2595,1695l2940,1695e" filled="false" stroked="true" strokeweight=".746206pt" strokecolor="#000000">
              <v:path arrowok="t"/>
              <v:stroke dashstyle="solid"/>
            </v:shape>
            <v:shape style="position:absolute;left:1465;top:8833;width:6567;height:604" coordorigin="1465,8834" coordsize="6567,604" path="m2310,1546l2580,1335m2595,1320l8865,1320m2310,1156l2580,961m2595,945l8865,945e" filled="false" stroked="true" strokeweight=".747458pt" strokecolor="#000000">
              <v:path arrowok="t"/>
              <v:stroke dashstyle="solid"/>
            </v:shape>
            <v:shape style="position:absolute;left:2309;top:2835;width:6571;height:210" coordorigin="2310,2836" coordsize="6571,210" path="m8880,2836l8595,3046,2310,3046,2595,2836,8880,2836xe" filled="false" stroked="true" strokeweight=".746208pt" strokecolor="#000000">
              <v:path arrowok="t"/>
              <v:stroke dashstyle="solid"/>
            </v:shape>
            <v:shape style="position:absolute;left:1465;top:8833;width:6582;height:2112" coordorigin="1465,8834" coordsize="6582,2112" path="m2310,3046l2310,1156,2595,945,2595,2836,2310,3046xm2595,2836l8880,2836,8880,945,2595,945,2595,2836xe" filled="false" stroked="true" strokeweight=".747458pt" strokecolor="#808080">
              <v:path arrowok="t"/>
              <v:stroke dashstyle="solid"/>
            </v:shape>
            <v:shape style="position:absolute;left:3779;top:1170;width:285;height:1875" coordorigin="3780,1171" coordsize="285,1875" path="m4065,1171l3780,1395,3780,3046,4065,2836,4065,1171xe" filled="true" fillcolor="#666680" stroked="false">
              <v:path arrowok="t"/>
              <v:fill type="solid"/>
            </v:shape>
            <v:shape style="position:absolute;left:3779;top:1170;width:285;height:1875" coordorigin="3780,1171" coordsize="285,1875" path="m3780,3046l3780,1395,4065,1171,4065,2836,3780,3046xe" filled="false" stroked="true" strokeweight=".748654pt" strokecolor="#000000">
              <v:path arrowok="t"/>
              <v:stroke dashstyle="solid"/>
            </v:shape>
            <v:rect style="position:absolute;left:2939;top:1395;width:841;height:1651" filled="true" fillcolor="#ccccff" stroked="false">
              <v:fill type="solid"/>
            </v:rect>
            <v:rect style="position:absolute;left:2939;top:1395;width:841;height:1651" filled="false" stroked="true" strokeweight=".748195pt" strokecolor="#000000">
              <v:stroke dashstyle="solid"/>
            </v:rect>
            <v:shape style="position:absolute;left:2939;top:1170;width:1126;height:225" coordorigin="2940,1171" coordsize="1126,225" path="m4065,1171l3225,1171,2940,1395,3780,1395,4065,1171xe" filled="true" fillcolor="#9999be" stroked="false">
              <v:path arrowok="t"/>
              <v:fill type="solid"/>
            </v:shape>
            <v:shape style="position:absolute;left:2939;top:1170;width:1126;height:225" coordorigin="2940,1171" coordsize="1126,225" path="m3780,1395l4065,1171,3225,1171,2940,1395,3780,1395xe" filled="false" stroked="true" strokeweight=".746302pt" strokecolor="#000000">
              <v:path arrowok="t"/>
              <v:stroke dashstyle="solid"/>
            </v:shape>
            <v:shape style="position:absolute;left:5864;top:1665;width:286;height:1380" coordorigin="5865,1666" coordsize="286,1380" path="m6150,1666l5865,1876,5865,3046,6150,2836,6150,1666xe" filled="true" fillcolor="#666680" stroked="false">
              <v:path arrowok="t"/>
              <v:fill type="solid"/>
            </v:shape>
            <v:shape style="position:absolute;left:5864;top:1665;width:286;height:1380" coordorigin="5865,1666" coordsize="286,1380" path="m5865,3046l5865,1876,6150,1666,6150,2836,5865,3046xe" filled="false" stroked="true" strokeweight=".748608pt" strokecolor="#000000">
              <v:path arrowok="t"/>
              <v:stroke dashstyle="solid"/>
            </v:shape>
            <v:rect style="position:absolute;left:5039;top:1875;width:825;height:1171" filled="true" fillcolor="#ccccff" stroked="false">
              <v:fill type="solid"/>
            </v:rect>
            <v:rect style="position:absolute;left:5039;top:1875;width:825;height:1171" filled="false" stroked="true" strokeweight=".747879pt" strokecolor="#000000">
              <v:stroke dashstyle="solid"/>
            </v:rect>
            <v:shape style="position:absolute;left:5039;top:1665;width:1110;height:210" coordorigin="5040,1666" coordsize="1110,210" path="m6150,1666l5325,1666,5040,1876,5865,1876,6150,1666xe" filled="true" fillcolor="#9999be" stroked="false">
              <v:path arrowok="t"/>
              <v:fill type="solid"/>
            </v:shape>
            <v:shape style="position:absolute;left:5039;top:1665;width:1110;height:210" coordorigin="5040,1666" coordsize="1110,210" path="m5865,1876l6150,1666,5325,1666,5040,1876,5865,1876xe" filled="false" stroked="true" strokeweight=".746292pt" strokecolor="#000000">
              <v:path arrowok="t"/>
              <v:stroke dashstyle="solid"/>
            </v:shape>
            <v:shape style="position:absolute;left:7964;top:1890;width:285;height:1156" coordorigin="7965,1890" coordsize="285,1156" path="m8250,1890l7965,2100,7965,3046,8250,2836,8250,1890xe" filled="true" fillcolor="#666680" stroked="false">
              <v:path arrowok="t"/>
              <v:fill type="solid"/>
            </v:shape>
            <v:shape style="position:absolute;left:7964;top:1890;width:285;height:1156" coordorigin="7965,1890" coordsize="285,1156" path="m7965,3046l7965,2100,8250,1890,8250,2836,7965,3046xe" filled="false" stroked="true" strokeweight=".748566pt" strokecolor="#000000">
              <v:path arrowok="t"/>
              <v:stroke dashstyle="solid"/>
            </v:shape>
            <v:rect style="position:absolute;left:7124;top:2100;width:841;height:946" filled="true" fillcolor="#ccccff" stroked="false">
              <v:fill type="solid"/>
            </v:rect>
            <v:rect style="position:absolute;left:7124;top:2100;width:841;height:946" filled="false" stroked="true" strokeweight=".747605pt" strokecolor="#000000">
              <v:stroke dashstyle="solid"/>
            </v:rect>
            <v:shape style="position:absolute;left:7124;top:1890;width:1125;height:210" coordorigin="7125,1890" coordsize="1125,210" path="m8250,1890l7410,1890,7125,2100,7965,2100,8250,1890xe" filled="true" fillcolor="#9999be" stroked="false">
              <v:path arrowok="t"/>
              <v:fill type="solid"/>
            </v:shape>
            <v:shape style="position:absolute;left:7124;top:1890;width:1125;height:210" coordorigin="7125,1890" coordsize="1125,210" path="m7965,2100l8250,1890,7410,1890,7125,2100,7965,2100xe" filled="false" stroked="true" strokeweight=".74629pt" strokecolor="#000000">
              <v:path arrowok="t"/>
              <v:stroke dashstyle="solid"/>
            </v:shape>
            <v:shape style="position:absolute;left:1435;top:9045;width:6311;height:1930" coordorigin="1435,9045" coordsize="6311,1930" path="m2310,1171l2310,3075m2310,3046l2280,3046m2310,2670l2280,2670m2310,2295l2280,2295m2310,1920l2280,1920m2310,1546l2280,1546m2310,1156l2280,1156m2310,3046l8580,3046e" filled="false" stroked="true" strokeweight=".747458pt" strokecolor="#000000">
              <v:path arrowok="t"/>
              <v:stroke dashstyle="solid"/>
            </v:shape>
            <v:shape style="position:absolute;left:4402;top:3060;width:4201;height:2" coordorigin="4402,3060" coordsize="4201,0" path="m4402,3060l4417,3060m6488,3060l6503,3060m8587,3060l8602,3060e" filled="false" stroked="true" strokeweight="1.492411pt" strokecolor="#000000">
              <v:path arrowok="t"/>
              <v:stroke dashstyle="solid"/>
            </v:shape>
            <v:shape style="position:absolute;left:6877;top:3143;width:1338;height:185" type="#_x0000_t202" filled="false" stroked="false">
              <v:textbox inset="0,0,0,0">
                <w:txbxContent>
                  <w:p>
                    <w:pPr>
                      <w:spacing w:line="183" w:lineRule="exact" w:before="0"/>
                      <w:ind w:left="0" w:right="0" w:firstLine="0"/>
                      <w:jc w:val="left"/>
                      <w:rPr>
                        <w:rFonts w:ascii="Arial"/>
                        <w:b/>
                        <w:sz w:val="16"/>
                      </w:rPr>
                    </w:pPr>
                    <w:r>
                      <w:rPr>
                        <w:rFonts w:ascii="Arial"/>
                        <w:b/>
                        <w:w w:val="105"/>
                        <w:sz w:val="16"/>
                      </w:rPr>
                      <w:t>Contact in spital</w:t>
                    </w:r>
                  </w:p>
                </w:txbxContent>
              </v:textbox>
              <w10:wrap type="none"/>
            </v:shape>
            <v:shape style="position:absolute;left:4912;top:3143;width:1056;height:185" type="#_x0000_t202" filled="false" stroked="false">
              <v:textbox inset="0,0,0,0">
                <w:txbxContent>
                  <w:p>
                    <w:pPr>
                      <w:spacing w:line="183" w:lineRule="exact" w:before="0"/>
                      <w:ind w:left="0" w:right="0" w:firstLine="0"/>
                      <w:jc w:val="left"/>
                      <w:rPr>
                        <w:rFonts w:ascii="Arial"/>
                        <w:b/>
                        <w:sz w:val="16"/>
                      </w:rPr>
                    </w:pPr>
                    <w:r>
                      <w:rPr>
                        <w:rFonts w:ascii="Arial"/>
                        <w:b/>
                        <w:w w:val="105"/>
                        <w:sz w:val="16"/>
                      </w:rPr>
                      <w:t>Focar familie</w:t>
                    </w:r>
                  </w:p>
                </w:txbxContent>
              </v:textbox>
              <w10:wrap type="none"/>
            </v:shape>
            <v:shape style="position:absolute;left:3037;top:3143;width:632;height:185" type="#_x0000_t202" filled="false" stroked="false">
              <v:textbox inset="0,0,0,0">
                <w:txbxContent>
                  <w:p>
                    <w:pPr>
                      <w:spacing w:line="183" w:lineRule="exact" w:before="0"/>
                      <w:ind w:left="0" w:right="0" w:firstLine="0"/>
                      <w:jc w:val="left"/>
                      <w:rPr>
                        <w:rFonts w:ascii="Arial"/>
                        <w:b/>
                        <w:sz w:val="16"/>
                      </w:rPr>
                    </w:pPr>
                    <w:r>
                      <w:rPr>
                        <w:rFonts w:ascii="Arial"/>
                        <w:b/>
                        <w:w w:val="105"/>
                        <w:sz w:val="16"/>
                      </w:rPr>
                      <w:t>Nu stim</w:t>
                    </w:r>
                  </w:p>
                </w:txbxContent>
              </v:textbox>
              <w10:wrap type="none"/>
            </v:shape>
            <v:shape style="position:absolute;left:1912;top:2198;width:345;height:935" type="#_x0000_t202" filled="false" stroked="false">
              <v:textbox inset="0,0,0,0">
                <w:txbxContent>
                  <w:p>
                    <w:pPr>
                      <w:spacing w:line="183" w:lineRule="exact" w:before="0"/>
                      <w:ind w:left="0" w:right="0" w:firstLine="0"/>
                      <w:jc w:val="left"/>
                      <w:rPr>
                        <w:rFonts w:ascii="Arial"/>
                        <w:b/>
                        <w:sz w:val="16"/>
                      </w:rPr>
                    </w:pPr>
                    <w:r>
                      <w:rPr>
                        <w:rFonts w:ascii="Arial"/>
                        <w:b/>
                        <w:spacing w:val="-3"/>
                        <w:w w:val="105"/>
                        <w:sz w:val="16"/>
                      </w:rPr>
                      <w:t>20%</w:t>
                    </w:r>
                  </w:p>
                  <w:p>
                    <w:pPr>
                      <w:spacing w:line="240" w:lineRule="auto" w:before="7"/>
                      <w:rPr>
                        <w:rFonts w:ascii="Arial"/>
                        <w:b/>
                        <w:sz w:val="16"/>
                      </w:rPr>
                    </w:pPr>
                  </w:p>
                  <w:p>
                    <w:pPr>
                      <w:spacing w:before="0"/>
                      <w:ind w:left="0" w:right="0" w:firstLine="0"/>
                      <w:jc w:val="left"/>
                      <w:rPr>
                        <w:rFonts w:ascii="Arial"/>
                        <w:b/>
                        <w:sz w:val="16"/>
                      </w:rPr>
                    </w:pPr>
                    <w:r>
                      <w:rPr>
                        <w:rFonts w:ascii="Arial"/>
                        <w:b/>
                        <w:spacing w:val="-3"/>
                        <w:w w:val="105"/>
                        <w:sz w:val="16"/>
                      </w:rPr>
                      <w:t>10%</w:t>
                    </w:r>
                  </w:p>
                  <w:p>
                    <w:pPr>
                      <w:spacing w:line="240" w:lineRule="auto" w:before="6"/>
                      <w:rPr>
                        <w:rFonts w:ascii="Arial"/>
                        <w:b/>
                        <w:sz w:val="16"/>
                      </w:rPr>
                    </w:pPr>
                  </w:p>
                  <w:p>
                    <w:pPr>
                      <w:spacing w:before="0"/>
                      <w:ind w:left="89" w:right="0" w:firstLine="0"/>
                      <w:jc w:val="left"/>
                      <w:rPr>
                        <w:rFonts w:ascii="Arial"/>
                        <w:b/>
                        <w:sz w:val="16"/>
                      </w:rPr>
                    </w:pPr>
                    <w:r>
                      <w:rPr>
                        <w:rFonts w:ascii="Arial"/>
                        <w:b/>
                        <w:spacing w:val="-3"/>
                        <w:w w:val="105"/>
                        <w:sz w:val="16"/>
                      </w:rPr>
                      <w:t>0%</w:t>
                    </w:r>
                  </w:p>
                </w:txbxContent>
              </v:textbox>
              <w10:wrap type="none"/>
            </v:shape>
            <v:shape style="position:absolute;left:7327;top:1678;width:776;height:420" type="#_x0000_t202" filled="false" stroked="false">
              <v:textbox inset="0,0,0,0">
                <w:txbxContent>
                  <w:p>
                    <w:pPr>
                      <w:spacing w:line="418" w:lineRule="exact" w:before="0"/>
                      <w:ind w:left="0" w:right="0" w:firstLine="0"/>
                      <w:jc w:val="left"/>
                      <w:rPr>
                        <w:rFonts w:ascii="Arial"/>
                        <w:b/>
                        <w:sz w:val="37"/>
                      </w:rPr>
                    </w:pPr>
                    <w:r>
                      <w:rPr>
                        <w:rFonts w:ascii="Arial"/>
                        <w:b/>
                        <w:sz w:val="37"/>
                      </w:rPr>
                      <w:t>25%</w:t>
                    </w:r>
                  </w:p>
                </w:txbxContent>
              </v:textbox>
              <w10:wrap type="none"/>
            </v:shape>
            <v:shape style="position:absolute;left:5242;top:1453;width:776;height:420" type="#_x0000_t202" filled="false" stroked="false">
              <v:textbox inset="0,0,0,0">
                <w:txbxContent>
                  <w:p>
                    <w:pPr>
                      <w:spacing w:line="418" w:lineRule="exact" w:before="0"/>
                      <w:ind w:left="0" w:right="0" w:firstLine="0"/>
                      <w:jc w:val="left"/>
                      <w:rPr>
                        <w:rFonts w:ascii="Arial"/>
                        <w:b/>
                        <w:sz w:val="37"/>
                      </w:rPr>
                    </w:pPr>
                    <w:r>
                      <w:rPr>
                        <w:rFonts w:ascii="Arial"/>
                        <w:b/>
                        <w:sz w:val="37"/>
                      </w:rPr>
                      <w:t>31%</w:t>
                    </w:r>
                  </w:p>
                </w:txbxContent>
              </v:textbox>
              <w10:wrap type="none"/>
            </v:shape>
            <v:shape style="position:absolute;left:1912;top:1448;width:345;height:560" type="#_x0000_t202" filled="false" stroked="false">
              <v:textbox inset="0,0,0,0">
                <w:txbxContent>
                  <w:p>
                    <w:pPr>
                      <w:spacing w:line="183" w:lineRule="exact" w:before="0"/>
                      <w:ind w:left="0" w:right="0" w:firstLine="0"/>
                      <w:jc w:val="left"/>
                      <w:rPr>
                        <w:rFonts w:ascii="Arial"/>
                        <w:b/>
                        <w:sz w:val="16"/>
                      </w:rPr>
                    </w:pPr>
                    <w:r>
                      <w:rPr>
                        <w:rFonts w:ascii="Arial"/>
                        <w:b/>
                        <w:spacing w:val="-3"/>
                        <w:w w:val="105"/>
                        <w:sz w:val="16"/>
                      </w:rPr>
                      <w:t>40%</w:t>
                    </w:r>
                  </w:p>
                  <w:p>
                    <w:pPr>
                      <w:spacing w:line="240" w:lineRule="auto" w:before="7"/>
                      <w:rPr>
                        <w:rFonts w:ascii="Arial"/>
                        <w:b/>
                        <w:sz w:val="16"/>
                      </w:rPr>
                    </w:pPr>
                  </w:p>
                  <w:p>
                    <w:pPr>
                      <w:spacing w:before="0"/>
                      <w:ind w:left="0" w:right="0" w:firstLine="0"/>
                      <w:jc w:val="left"/>
                      <w:rPr>
                        <w:rFonts w:ascii="Arial"/>
                        <w:b/>
                        <w:sz w:val="16"/>
                      </w:rPr>
                    </w:pPr>
                    <w:r>
                      <w:rPr>
                        <w:rFonts w:ascii="Arial"/>
                        <w:b/>
                        <w:spacing w:val="-3"/>
                        <w:w w:val="105"/>
                        <w:sz w:val="16"/>
                      </w:rPr>
                      <w:t>30%</w:t>
                    </w:r>
                  </w:p>
                </w:txbxContent>
              </v:textbox>
              <w10:wrap type="none"/>
            </v:shape>
            <v:shape style="position:absolute;left:3142;top:958;width:776;height:420" type="#_x0000_t202" filled="false" stroked="false">
              <v:textbox inset="0,0,0,0">
                <w:txbxContent>
                  <w:p>
                    <w:pPr>
                      <w:spacing w:line="418" w:lineRule="exact" w:before="0"/>
                      <w:ind w:left="0" w:right="0" w:firstLine="0"/>
                      <w:jc w:val="left"/>
                      <w:rPr>
                        <w:rFonts w:ascii="Arial"/>
                        <w:b/>
                        <w:sz w:val="37"/>
                      </w:rPr>
                    </w:pPr>
                    <w:r>
                      <w:rPr>
                        <w:rFonts w:ascii="Arial"/>
                        <w:b/>
                        <w:sz w:val="37"/>
                      </w:rPr>
                      <w:t>44%</w:t>
                    </w:r>
                  </w:p>
                </w:txbxContent>
              </v:textbox>
              <w10:wrap type="none"/>
            </v:shape>
            <v:shape style="position:absolute;left:1912;top:1058;width:345;height:185" type="#_x0000_t202" filled="false" stroked="false">
              <v:textbox inset="0,0,0,0">
                <w:txbxContent>
                  <w:p>
                    <w:pPr>
                      <w:spacing w:line="183" w:lineRule="exact" w:before="0"/>
                      <w:ind w:left="0" w:right="0" w:firstLine="0"/>
                      <w:jc w:val="left"/>
                      <w:rPr>
                        <w:rFonts w:ascii="Arial"/>
                        <w:b/>
                        <w:sz w:val="16"/>
                      </w:rPr>
                    </w:pPr>
                    <w:r>
                      <w:rPr>
                        <w:rFonts w:ascii="Arial"/>
                        <w:b/>
                        <w:w w:val="105"/>
                        <w:sz w:val="16"/>
                      </w:rPr>
                      <w:t>50%</w:t>
                    </w:r>
                  </w:p>
                </w:txbxContent>
              </v:textbox>
              <w10:wrap type="none"/>
            </v:shape>
            <w10:wrap type="none"/>
          </v:group>
        </w:pict>
      </w:r>
      <w:r>
        <w:rPr/>
        <w:pict>
          <v:shape style="position:absolute;margin-left:75.861786pt;margin-top:70.656616pt;width:11.3pt;height:64.25pt;mso-position-horizontal-relative:page;mso-position-vertical-relative:paragraph;z-index:251932672" type="#_x0000_t202" filled="false" stroked="false">
            <v:textbox inset="0,0,0,0" style="layout-flow:vertical;mso-layout-flow-alt:bottom-to-top">
              <w:txbxContent>
                <w:p>
                  <w:pPr>
                    <w:spacing w:before="20"/>
                    <w:ind w:left="20" w:right="0" w:firstLine="0"/>
                    <w:jc w:val="left"/>
                    <w:rPr>
                      <w:rFonts w:ascii="Arial"/>
                      <w:b/>
                      <w:sz w:val="16"/>
                    </w:rPr>
                  </w:pPr>
                  <w:r>
                    <w:rPr>
                      <w:rFonts w:ascii="Arial"/>
                      <w:b/>
                      <w:w w:val="105"/>
                      <w:sz w:val="16"/>
                    </w:rPr>
                    <w:t>% din total surs</w:t>
                  </w:r>
                </w:p>
              </w:txbxContent>
            </v:textbox>
            <w10:wrap type="none"/>
          </v:shape>
        </w:pict>
      </w:r>
      <w:r>
        <w:rPr/>
        <w:t>Modul de transmitere al rujeolei in municipiul Bucuresti – structura (%) surselor consemnata in ancheta epidemiologica, sunt prezentate mai jos.</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
        <w:ind w:left="0"/>
        <w:rPr>
          <w:sz w:val="30"/>
        </w:rPr>
      </w:pPr>
    </w:p>
    <w:p>
      <w:pPr>
        <w:pStyle w:val="BodyText"/>
        <w:ind w:left="233"/>
        <w:jc w:val="both"/>
      </w:pPr>
      <w:r>
        <w:rPr/>
        <w:t>Analiza modului de transmitere arata doua aspecte importante:</w:t>
      </w:r>
    </w:p>
    <w:p>
      <w:pPr>
        <w:pStyle w:val="ListParagraph"/>
        <w:numPr>
          <w:ilvl w:val="0"/>
          <w:numId w:val="2"/>
        </w:numPr>
        <w:tabs>
          <w:tab w:pos="419" w:val="left" w:leader="none"/>
        </w:tabs>
        <w:spacing w:line="240" w:lineRule="auto" w:before="0" w:after="0"/>
        <w:ind w:left="233" w:right="834" w:firstLine="0"/>
        <w:jc w:val="both"/>
        <w:rPr>
          <w:sz w:val="24"/>
        </w:rPr>
      </w:pPr>
      <w:r>
        <w:rPr>
          <w:sz w:val="24"/>
        </w:rPr>
        <w:t>multe din cazuri se transmit in familie sau “nu se stie sursa” sugerand ca putine cazuri au fost transmise in colectivitati organizate de copii (cresa / gradinita / scoala</w:t>
      </w:r>
      <w:r>
        <w:rPr>
          <w:spacing w:val="-6"/>
          <w:sz w:val="24"/>
        </w:rPr>
        <w:t> </w:t>
      </w:r>
      <w:r>
        <w:rPr>
          <w:sz w:val="24"/>
        </w:rPr>
        <w:t>)</w:t>
      </w:r>
    </w:p>
    <w:p>
      <w:pPr>
        <w:pStyle w:val="ListParagraph"/>
        <w:numPr>
          <w:ilvl w:val="0"/>
          <w:numId w:val="2"/>
        </w:numPr>
        <w:tabs>
          <w:tab w:pos="373" w:val="left" w:leader="none"/>
        </w:tabs>
        <w:spacing w:line="240" w:lineRule="auto" w:before="0" w:after="0"/>
        <w:ind w:left="372" w:right="0" w:hanging="140"/>
        <w:jc w:val="both"/>
        <w:rPr>
          <w:sz w:val="24"/>
        </w:rPr>
      </w:pPr>
      <w:r>
        <w:rPr>
          <w:sz w:val="24"/>
        </w:rPr>
        <w:t>din pacate ¼ din cazuri au antecedente de contact cu spitalul</w:t>
      </w:r>
    </w:p>
    <w:p>
      <w:pPr>
        <w:pStyle w:val="BodyText"/>
        <w:ind w:left="233" w:right="833"/>
        <w:jc w:val="both"/>
      </w:pPr>
      <w:r>
        <w:rPr/>
        <w:t>Au fost facute recomandari pentru prevenirea transmiterii rujeolei in colectivitati organizate de ccopii si s-a solicitat verificarea antecedentelor antirujeoloase vaccinale si infectioase la inscrierea copiilor in colectivitati pentru anul scolar</w:t>
      </w:r>
      <w:r>
        <w:rPr>
          <w:spacing w:val="-3"/>
        </w:rPr>
        <w:t> </w:t>
      </w:r>
      <w:r>
        <w:rPr/>
        <w:t>2017-2018</w:t>
      </w:r>
    </w:p>
    <w:p>
      <w:pPr>
        <w:pStyle w:val="BodyText"/>
        <w:ind w:left="0"/>
        <w:rPr>
          <w:sz w:val="22"/>
        </w:rPr>
      </w:pPr>
      <w:r>
        <w:rPr/>
        <w:pict>
          <v:shape style="position:absolute;margin-left:55.200001pt;margin-top:13.858771pt;width:499.95pt;height:13.8pt;mso-position-horizontal-relative:page;mso-position-vertical-relative:paragraph;z-index:-251395072;mso-wrap-distance-left:0;mso-wrap-distance-right:0" type="#_x0000_t202" filled="true" fillcolor="#cccccc" stroked="false">
            <v:textbox inset="0,0,0,0">
              <w:txbxContent>
                <w:p>
                  <w:pPr>
                    <w:spacing w:line="275" w:lineRule="exact" w:before="0"/>
                    <w:ind w:left="1345" w:right="1346" w:firstLine="0"/>
                    <w:jc w:val="center"/>
                    <w:rPr>
                      <w:b/>
                      <w:sz w:val="24"/>
                    </w:rPr>
                  </w:pPr>
                  <w:r>
                    <w:rPr>
                      <w:b/>
                      <w:sz w:val="24"/>
                      <w:u w:val="thick"/>
                    </w:rPr>
                    <w:t>Supravegherea neuroinfectiei cu virusul West Nile</w:t>
                  </w:r>
                </w:p>
              </w:txbxContent>
            </v:textbox>
            <v:fill type="solid"/>
            <w10:wrap type="topAndBottom"/>
          </v:shape>
        </w:pict>
      </w:r>
    </w:p>
    <w:p>
      <w:pPr>
        <w:pStyle w:val="BodyText"/>
        <w:spacing w:before="9"/>
        <w:ind w:left="0"/>
        <w:rPr>
          <w:sz w:val="14"/>
        </w:rPr>
      </w:pPr>
    </w:p>
    <w:p>
      <w:pPr>
        <w:pStyle w:val="BodyText"/>
        <w:spacing w:before="90"/>
        <w:ind w:left="233" w:right="827"/>
      </w:pPr>
      <w:r>
        <w:rPr>
          <w:b/>
        </w:rPr>
        <w:t>Misiune: </w:t>
      </w:r>
      <w:r>
        <w:rPr/>
        <w:t>supravegherea etiologiei afectiunilor acute neurologice manifestate prin meningita, encefalita sau meningo-encefalita cu LCR clar, spitalizate.</w:t>
      </w:r>
    </w:p>
    <w:p>
      <w:pPr>
        <w:pStyle w:val="BodyText"/>
        <w:ind w:left="233"/>
      </w:pPr>
      <w:r>
        <w:rPr/>
        <w:t>Activitati desfasurate de DSPMB in cadrul supravegherii neuroinfectiei West Nile:</w:t>
      </w:r>
    </w:p>
    <w:p>
      <w:pPr>
        <w:pStyle w:val="ListParagraph"/>
        <w:numPr>
          <w:ilvl w:val="0"/>
          <w:numId w:val="2"/>
        </w:numPr>
        <w:tabs>
          <w:tab w:pos="373" w:val="left" w:leader="none"/>
        </w:tabs>
        <w:spacing w:line="240" w:lineRule="auto" w:before="1" w:after="0"/>
        <w:ind w:left="372" w:right="0" w:hanging="140"/>
        <w:jc w:val="left"/>
        <w:rPr>
          <w:sz w:val="24"/>
        </w:rPr>
      </w:pPr>
      <w:r>
        <w:rPr>
          <w:sz w:val="24"/>
        </w:rPr>
        <w:t>inregistrarea cazurilor suspecte de neuroviroza West Nile de la spitalele din</w:t>
      </w:r>
      <w:r>
        <w:rPr>
          <w:spacing w:val="-13"/>
          <w:sz w:val="24"/>
        </w:rPr>
        <w:t> </w:t>
      </w:r>
      <w:r>
        <w:rPr>
          <w:sz w:val="24"/>
        </w:rPr>
        <w:t>Bucuresti</w:t>
      </w:r>
    </w:p>
    <w:p>
      <w:pPr>
        <w:pStyle w:val="ListParagraph"/>
        <w:numPr>
          <w:ilvl w:val="0"/>
          <w:numId w:val="2"/>
        </w:numPr>
        <w:tabs>
          <w:tab w:pos="457" w:val="left" w:leader="none"/>
        </w:tabs>
        <w:spacing w:line="240" w:lineRule="auto" w:before="0" w:after="0"/>
        <w:ind w:left="233" w:right="839" w:firstLine="0"/>
        <w:jc w:val="left"/>
        <w:rPr>
          <w:sz w:val="24"/>
        </w:rPr>
      </w:pPr>
      <w:r>
        <w:rPr>
          <w:sz w:val="24"/>
        </w:rPr>
        <w:t>anchetarea fiecarui caz suspect, completarea unui formular de ancheta in care sunt inserate informatiile din ancheta entomologica si plasarea documentului in circuitul</w:t>
      </w:r>
      <w:r>
        <w:rPr>
          <w:spacing w:val="-4"/>
          <w:sz w:val="24"/>
        </w:rPr>
        <w:t> </w:t>
      </w:r>
      <w:r>
        <w:rPr>
          <w:sz w:val="24"/>
        </w:rPr>
        <w:t>informational</w:t>
      </w:r>
    </w:p>
    <w:p>
      <w:pPr>
        <w:pStyle w:val="ListParagraph"/>
        <w:numPr>
          <w:ilvl w:val="0"/>
          <w:numId w:val="2"/>
        </w:numPr>
        <w:tabs>
          <w:tab w:pos="409" w:val="left" w:leader="none"/>
        </w:tabs>
        <w:spacing w:line="240" w:lineRule="auto" w:before="0" w:after="0"/>
        <w:ind w:left="233" w:right="840" w:firstLine="0"/>
        <w:jc w:val="left"/>
        <w:rPr>
          <w:sz w:val="24"/>
        </w:rPr>
      </w:pPr>
      <w:r>
        <w:rPr>
          <w:sz w:val="24"/>
        </w:rPr>
        <w:t>preluarea, cu resursele proprii, a probelor biologice recoltate la cazurile suspecte si transportul la laboratorul de referinta din Inst.</w:t>
      </w:r>
      <w:r>
        <w:rPr>
          <w:spacing w:val="-1"/>
          <w:sz w:val="24"/>
        </w:rPr>
        <w:t> </w:t>
      </w:r>
      <w:r>
        <w:rPr>
          <w:sz w:val="24"/>
        </w:rPr>
        <w:t>Cantacuzino</w:t>
      </w:r>
    </w:p>
    <w:p>
      <w:pPr>
        <w:pStyle w:val="ListParagraph"/>
        <w:numPr>
          <w:ilvl w:val="0"/>
          <w:numId w:val="2"/>
        </w:numPr>
        <w:tabs>
          <w:tab w:pos="375" w:val="left" w:leader="none"/>
        </w:tabs>
        <w:spacing w:line="240" w:lineRule="auto" w:before="0" w:after="0"/>
        <w:ind w:left="233" w:right="835" w:firstLine="0"/>
        <w:jc w:val="left"/>
        <w:rPr>
          <w:sz w:val="24"/>
        </w:rPr>
      </w:pPr>
      <w:r>
        <w:rPr>
          <w:sz w:val="24"/>
        </w:rPr>
        <w:t>preluarea rezultatelor testelor de laborator si distribuirea acestora la unitatile spitalicesti care ingrijesc pacientii suspecti de neuroviroza West</w:t>
      </w:r>
      <w:r>
        <w:rPr>
          <w:spacing w:val="-3"/>
          <w:sz w:val="24"/>
        </w:rPr>
        <w:t> </w:t>
      </w:r>
      <w:r>
        <w:rPr>
          <w:sz w:val="24"/>
        </w:rPr>
        <w:t>Nile</w:t>
      </w:r>
    </w:p>
    <w:p>
      <w:pPr>
        <w:pStyle w:val="ListParagraph"/>
        <w:numPr>
          <w:ilvl w:val="0"/>
          <w:numId w:val="2"/>
        </w:numPr>
        <w:tabs>
          <w:tab w:pos="373" w:val="left" w:leader="none"/>
        </w:tabs>
        <w:spacing w:line="240" w:lineRule="auto" w:before="0" w:after="0"/>
        <w:ind w:left="233" w:right="836" w:firstLine="0"/>
        <w:jc w:val="left"/>
        <w:rPr>
          <w:sz w:val="24"/>
        </w:rPr>
      </w:pPr>
      <w:r>
        <w:rPr>
          <w:sz w:val="24"/>
        </w:rPr>
        <w:t>analiza cazurilor in vederea identificarii riscurilor de infectie si elaborarea de masuri de control. Diagrama de mai jos prezinta distributia anuala a cazurilor de neuroinfectie West Nile in perioada 2010-2017 in municipiul</w:t>
      </w:r>
      <w:r>
        <w:rPr>
          <w:spacing w:val="-2"/>
          <w:sz w:val="24"/>
        </w:rPr>
        <w:t> </w:t>
      </w:r>
      <w:r>
        <w:rPr>
          <w:sz w:val="24"/>
        </w:rPr>
        <w:t>Bucuresti</w:t>
      </w:r>
    </w:p>
    <w:p>
      <w:pPr>
        <w:spacing w:after="0" w:line="240" w:lineRule="auto"/>
        <w:jc w:val="left"/>
        <w:rPr>
          <w:sz w:val="24"/>
        </w:rPr>
        <w:sectPr>
          <w:pgSz w:w="11910" w:h="16840"/>
          <w:pgMar w:header="0" w:footer="738" w:top="1500" w:bottom="920" w:left="90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20"/>
        </w:rPr>
      </w:pPr>
    </w:p>
    <w:p>
      <w:pPr>
        <w:pStyle w:val="BodyText"/>
        <w:spacing w:before="90"/>
        <w:ind w:left="233" w:right="835"/>
        <w:jc w:val="both"/>
      </w:pPr>
      <w:r>
        <w:rPr/>
        <w:pict>
          <v:group style="position:absolute;margin-left:60.189384pt;margin-top:-161.746872pt;width:406.95pt;height:149.050pt;mso-position-horizontal-relative:page;mso-position-vertical-relative:paragraph;z-index:251937792" coordorigin="1204,-3235" coordsize="8139,2981">
            <v:line style="position:absolute" from="8445,-819" to="8786,-819" stroked="true" strokeweight="3.956728pt" strokecolor="#808080">
              <v:stroke dashstyle="solid"/>
            </v:line>
            <v:line style="position:absolute" from="7660,-819" to="8130,-819" stroked="true" strokeweight="3.956728pt" strokecolor="#808080">
              <v:stroke dashstyle="solid"/>
            </v:line>
            <v:line style="position:absolute" from="6878,-819" to="7348,-819" stroked="true" strokeweight="3.956728pt" strokecolor="#808080">
              <v:stroke dashstyle="solid"/>
            </v:line>
            <v:line style="position:absolute" from="6095,-819" to="6565,-819" stroked="true" strokeweight="3.956728pt" strokecolor="#808080">
              <v:stroke dashstyle="solid"/>
            </v:line>
            <v:line style="position:absolute" from="5313,-819" to="5783,-819" stroked="true" strokeweight="3.956728pt" strokecolor="#808080">
              <v:stroke dashstyle="solid"/>
            </v:line>
            <v:line style="position:absolute" from="4530,-819" to="4998,-819" stroked="true" strokeweight="3.956728pt" strokecolor="#808080">
              <v:stroke dashstyle="solid"/>
            </v:line>
            <v:line style="position:absolute" from="3746,-819" to="4216,-819" stroked="true" strokeweight="3.956728pt" strokecolor="#808080">
              <v:stroke dashstyle="solid"/>
            </v:line>
            <v:line style="position:absolute" from="2963,-819" to="3433,-819" stroked="true" strokeweight="3.956728pt" strokecolor="#808080">
              <v:stroke dashstyle="solid"/>
            </v:line>
            <v:line style="position:absolute" from="2416,-819" to="2651,-819" stroked="true" strokeweight="3.956728pt" strokecolor="#808080">
              <v:stroke dashstyle="solid"/>
            </v:line>
            <v:shape style="position:absolute;left:2415;top:-2988;width:108;height:2209" coordorigin="2416,-2988" coordsize="108,2209" path="m2524,-2988l2416,-2908,2416,-780,2524,-859,2524,-2988xe" filled="true" fillcolor="#ffffff" stroked="false">
              <v:path arrowok="t"/>
              <v:fill type="solid"/>
            </v:shape>
            <v:shape style="position:absolute;left:1282;top:9287;width:6372;height:2210" coordorigin="1282,9287" coordsize="6372,2210" path="m2416,-780l2524,-859,8786,-859m2416,-1015l2524,-1097,8786,-1097m2416,-1253l2524,-1332,8786,-1332m2416,-1488l2524,-1569,8786,-1569m2416,-1726l2524,-1807,8786,-1807m2416,-1961l2524,-2042,8786,-2042m2416,-2198l2524,-2280,8786,-2280m2416,-2436l2524,-2515,8786,-2515m2416,-2671l2524,-2752,8786,-2752m2416,-2908l2524,-2988,8786,-2988m8786,-859l8678,-780,2416,-780,2524,-859,8786,-859xe" filled="false" stroked="true" strokeweight=".959485pt" strokecolor="#000000">
              <v:path arrowok="t"/>
              <v:stroke dashstyle="solid"/>
            </v:shape>
            <v:shape style="position:absolute;left:1282;top:9286;width:6372;height:2210" coordorigin="1282,9287" coordsize="6372,2210" path="m2416,-780l2416,-2908,2524,-2988,2524,-859,2416,-780xm2524,-859l8786,-859,8786,-2988,2524,-2988,2524,-859xe" filled="false" stroked="true" strokeweight=".959485pt" strokecolor="#808080">
              <v:path arrowok="t"/>
              <v:stroke dashstyle="solid"/>
            </v:shape>
            <v:shape style="position:absolute;left:2963;top:-2043;width:108;height:1263" coordorigin="2963,-2042" coordsize="108,1263" path="m3071,-2042l2963,-1961,2963,-780,3071,-859,3071,-2042xe" filled="true" fillcolor="#668080" stroked="false">
              <v:path arrowok="t"/>
              <v:fill type="solid"/>
            </v:shape>
            <v:shape style="position:absolute;left:2963;top:-2043;width:108;height:1263" coordorigin="2963,-2042" coordsize="108,1263" path="m2963,-780l2963,-1961,3071,-2042,3071,-859,2963,-780xe" filled="false" stroked="true" strokeweight=".959758pt" strokecolor="#000000">
              <v:path arrowok="t"/>
              <v:stroke dashstyle="solid"/>
            </v:shape>
            <v:rect style="position:absolute;left:2651;top:-1961;width:312;height:1181" filled="true" fillcolor="#ccffff" stroked="false">
              <v:fill type="solid"/>
            </v:rect>
            <v:rect style="position:absolute;left:2651;top:-1961;width:312;height:1181" filled="false" stroked="true" strokeweight=".959726pt" strokecolor="#000000">
              <v:stroke dashstyle="solid"/>
            </v:rect>
            <v:shape style="position:absolute;left:2651;top:-2043;width:420;height:82" coordorigin="2651,-2042" coordsize="420,82" path="m3071,-2042l2757,-2042,2651,-1961,2963,-1961,3071,-2042xe" filled="true" fillcolor="#99bebe" stroked="false">
              <v:path arrowok="t"/>
              <v:fill type="solid"/>
            </v:shape>
            <v:shape style="position:absolute;left:2651;top:-2043;width:420;height:82" coordorigin="2651,-2042" coordsize="420,82" path="m2963,-1961l3071,-2042,2757,-2042,2651,-1961,2963,-1961xe" filled="false" stroked="true" strokeweight=".959227pt" strokecolor="#000000">
              <v:path arrowok="t"/>
              <v:stroke dashstyle="solid"/>
            </v:shape>
            <v:shape style="position:absolute;left:3745;top:-1570;width:108;height:790" coordorigin="3746,-1569" coordsize="108,790" path="m3854,-1569l3746,-1488,3746,-780,3854,-859,3854,-1569xe" filled="true" fillcolor="#668080" stroked="false">
              <v:path arrowok="t"/>
              <v:fill type="solid"/>
            </v:shape>
            <v:shape style="position:absolute;left:3745;top:-1570;width:108;height:790" coordorigin="3746,-1569" coordsize="108,790" path="m3746,-780l3746,-1488,3854,-1569,3854,-859,3746,-780xe" filled="false" stroked="true" strokeweight=".959752pt" strokecolor="#000000">
              <v:path arrowok="t"/>
              <v:stroke dashstyle="solid"/>
            </v:shape>
            <v:rect style="position:absolute;left:3433;top:-1488;width:313;height:708" filled="true" fillcolor="#ccffff" stroked="false">
              <v:fill type="solid"/>
            </v:rect>
            <v:rect style="position:absolute;left:3433;top:-1488;width:313;height:708" filled="false" stroked="true" strokeweight=".959672pt" strokecolor="#000000">
              <v:stroke dashstyle="solid"/>
            </v:rect>
            <v:shape style="position:absolute;left:3433;top:-1570;width:421;height:82" coordorigin="3433,-1569" coordsize="421,82" path="m3854,-1569l3542,-1569,3433,-1488,3746,-1488,3854,-1569xe" filled="true" fillcolor="#99bebe" stroked="false">
              <v:path arrowok="t"/>
              <v:fill type="solid"/>
            </v:shape>
            <v:shape style="position:absolute;left:3433;top:-1570;width:421;height:82" coordorigin="3433,-1569" coordsize="421,82" path="m3746,-1488l3854,-1569,3542,-1569,3433,-1488,3746,-1488xe" filled="false" stroked="true" strokeweight=".959227pt" strokecolor="#000000">
              <v:path arrowok="t"/>
              <v:stroke dashstyle="solid"/>
            </v:shape>
            <v:shape style="position:absolute;left:4530;top:-1570;width:106;height:790" coordorigin="4530,-1569" coordsize="106,790" path="m4636,-1569l4530,-1488,4530,-780,4636,-859,4636,-1569xe" filled="true" fillcolor="#668080" stroked="false">
              <v:path arrowok="t"/>
              <v:fill type="solid"/>
            </v:shape>
            <v:shape style="position:absolute;left:4530;top:-1570;width:106;height:790" coordorigin="4530,-1569" coordsize="106,790" path="m4530,-780l4530,-1488,4636,-1569,4636,-859,4530,-780xe" filled="false" stroked="true" strokeweight=".959753pt" strokecolor="#000000">
              <v:path arrowok="t"/>
              <v:stroke dashstyle="solid"/>
            </v:shape>
            <v:rect style="position:absolute;left:4216;top:-1488;width:315;height:708" filled="true" fillcolor="#ccffff" stroked="false">
              <v:fill type="solid"/>
            </v:rect>
            <v:rect style="position:absolute;left:4216;top:-1488;width:315;height:708" filled="false" stroked="true" strokeweight=".959671pt" strokecolor="#000000">
              <v:stroke dashstyle="solid"/>
            </v:rect>
            <v:shape style="position:absolute;left:4216;top:-1570;width:420;height:82" coordorigin="4216,-1569" coordsize="420,82" path="m4636,-1569l4324,-1569,4216,-1488,4530,-1488,4636,-1569xe" filled="true" fillcolor="#99bebe" stroked="false">
              <v:path arrowok="t"/>
              <v:fill type="solid"/>
            </v:shape>
            <v:shape style="position:absolute;left:4216;top:-1570;width:420;height:82" coordorigin="4216,-1569" coordsize="420,82" path="m4530,-1488l4636,-1569,4324,-1569,4216,-1488,4530,-1488xe" filled="false" stroked="true" strokeweight=".959227pt" strokecolor="#000000">
              <v:path arrowok="t"/>
              <v:stroke dashstyle="solid"/>
            </v:shape>
            <v:shape style="position:absolute;left:4988;top:-989;width:440;height:219" type="#_x0000_t75" stroked="false">
              <v:imagedata r:id="rId43" o:title=""/>
            </v:shape>
            <v:shape style="position:absolute;left:4998;top:-980;width:421;height:82" coordorigin="4998,-979" coordsize="421,82" path="m5419,-979l5107,-979,4998,-898,5313,-898,5419,-979xe" filled="true" fillcolor="#99bebe" stroked="false">
              <v:path arrowok="t"/>
              <v:fill type="solid"/>
            </v:shape>
            <v:shape style="position:absolute;left:4998;top:-980;width:421;height:82" coordorigin="4998,-979" coordsize="421,82" path="m5313,-898l5419,-979,5107,-979,4998,-898,5313,-898xe" filled="false" stroked="true" strokeweight=".959227pt" strokecolor="#000000">
              <v:path arrowok="t"/>
              <v:stroke dashstyle="solid"/>
            </v:shape>
            <v:shape style="position:absolute;left:5773;top:-989;width:440;height:219" type="#_x0000_t75" stroked="false">
              <v:imagedata r:id="rId44" o:title=""/>
            </v:shape>
            <v:shape style="position:absolute;left:5783;top:-980;width:420;height:82" coordorigin="5783,-979" coordsize="420,82" path="m6203,-979l5889,-979,5783,-898,6095,-898,6203,-979xe" filled="true" fillcolor="#99bebe" stroked="false">
              <v:path arrowok="t"/>
              <v:fill type="solid"/>
            </v:shape>
            <v:shape style="position:absolute;left:5783;top:-980;width:420;height:82" coordorigin="5783,-979" coordsize="420,82" path="m6095,-898l6203,-979,5889,-979,5783,-898,6095,-898xe" filled="false" stroked="true" strokeweight=".959227pt" strokecolor="#000000">
              <v:path arrowok="t"/>
              <v:stroke dashstyle="solid"/>
            </v:shape>
            <v:shape style="position:absolute;left:6877;top:-1452;width:108;height:672" coordorigin="6878,-1452" coordsize="108,672" path="m6986,-1452l6878,-1370,6878,-780,6986,-859,6986,-1452xe" filled="true" fillcolor="#668080" stroked="false">
              <v:path arrowok="t"/>
              <v:fill type="solid"/>
            </v:shape>
            <v:shape style="position:absolute;left:6877;top:-1452;width:108;height:672" coordorigin="6878,-1452" coordsize="108,672" path="m6878,-780l6878,-1370,6986,-1452,6986,-859,6878,-780xe" filled="false" stroked="true" strokeweight=".959748pt" strokecolor="#000000">
              <v:path arrowok="t"/>
              <v:stroke dashstyle="solid"/>
            </v:shape>
            <v:rect style="position:absolute;left:6565;top:-1371;width:313;height:591" filled="true" fillcolor="#ccffff" stroked="false">
              <v:fill type="solid"/>
            </v:rect>
            <v:rect style="position:absolute;left:6565;top:-1371;width:313;height:591" filled="false" stroked="true" strokeweight=".959641pt" strokecolor="#000000">
              <v:stroke dashstyle="solid"/>
            </v:rect>
            <v:shape style="position:absolute;left:6565;top:-1452;width:421;height:82" coordorigin="6565,-1452" coordsize="421,82" path="m6986,-1452l6672,-1452,6565,-1370,6878,-1370,6986,-1452xe" filled="true" fillcolor="#99bebe" stroked="false">
              <v:path arrowok="t"/>
              <v:fill type="solid"/>
            </v:shape>
            <v:shape style="position:absolute;left:6565;top:-1452;width:421;height:82" coordorigin="6565,-1452" coordsize="421,82" path="m6878,-1370l6986,-1452,6672,-1452,6565,-1370,6878,-1370xe" filled="false" stroked="true" strokeweight=".959227pt" strokecolor="#000000">
              <v:path arrowok="t"/>
              <v:stroke dashstyle="solid"/>
            </v:shape>
            <v:shape style="position:absolute;left:7660;top:-1808;width:108;height:1028" coordorigin="7660,-1807" coordsize="108,1028" path="m7768,-1807l7660,-1726,7660,-780,7768,-859,7768,-1807xe" filled="true" fillcolor="#668080" stroked="false">
              <v:path arrowok="t"/>
              <v:fill type="solid"/>
            </v:shape>
            <v:shape style="position:absolute;left:7660;top:-1808;width:108;height:1028" coordorigin="7660,-1807" coordsize="108,1028" path="m7660,-780l7660,-1726,7768,-1807,7768,-859,7660,-780xe" filled="false" stroked="true" strokeweight=".959756pt" strokecolor="#000000">
              <v:path arrowok="t"/>
              <v:stroke dashstyle="solid"/>
            </v:shape>
            <v:rect style="position:absolute;left:7348;top:-1726;width:312;height:946" filled="true" fillcolor="#ccffff" stroked="false">
              <v:fill type="solid"/>
            </v:rect>
            <v:rect style="position:absolute;left:7348;top:-1726;width:312;height:946" filled="false" stroked="true" strokeweight=".959708pt" strokecolor="#000000">
              <v:stroke dashstyle="solid"/>
            </v:rect>
            <v:shape style="position:absolute;left:7348;top:-1808;width:420;height:82" coordorigin="7348,-1807" coordsize="420,82" path="m7768,-1807l7456,-1807,7348,-1726,7660,-1726,7768,-1807xe" filled="true" fillcolor="#99bebe" stroked="false">
              <v:path arrowok="t"/>
              <v:fill type="solid"/>
            </v:shape>
            <v:shape style="position:absolute;left:7348;top:-1808;width:420;height:82" coordorigin="7348,-1807" coordsize="420,82" path="m7660,-1726l7768,-1807,7456,-1807,7348,-1726,7660,-1726xe" filled="false" stroked="true" strokeweight=".959227pt" strokecolor="#000000">
              <v:path arrowok="t"/>
              <v:stroke dashstyle="solid"/>
            </v:shape>
            <v:shape style="position:absolute;left:8445;top:-2870;width:106;height:2091" coordorigin="8445,-2870" coordsize="106,2091" path="m8551,-2870l8445,-2788,8445,-780,8551,-859,8551,-2870xe" filled="true" fillcolor="#668080" stroked="false">
              <v:path arrowok="t"/>
              <v:fill type="solid"/>
            </v:shape>
            <v:shape style="position:absolute;left:8445;top:-2870;width:106;height:2091" coordorigin="8445,-2870" coordsize="106,2091" path="m8445,-780l8445,-2788,8551,-2870,8551,-859,8445,-780xe" filled="false" stroked="true" strokeweight=".959761pt" strokecolor="#000000">
              <v:path arrowok="t"/>
              <v:stroke dashstyle="solid"/>
            </v:shape>
            <v:rect style="position:absolute;left:8130;top:-2789;width:315;height:2009" filled="true" fillcolor="#ccffff" stroked="false">
              <v:fill type="solid"/>
            </v:rect>
            <v:rect style="position:absolute;left:8130;top:-2789;width:315;height:2009" filled="false" stroked="true" strokeweight=".959749pt" strokecolor="#000000">
              <v:stroke dashstyle="solid"/>
            </v:rect>
            <v:shape style="position:absolute;left:8130;top:-2870;width:421;height:82" coordorigin="8130,-2870" coordsize="421,82" path="m8551,-2870l8239,-2870,8130,-2788,8445,-2788,8551,-2870xe" filled="true" fillcolor="#99bebe" stroked="false">
              <v:path arrowok="t"/>
              <v:fill type="solid"/>
            </v:shape>
            <v:shape style="position:absolute;left:8130;top:-2870;width:421;height:82" coordorigin="8130,-2870" coordsize="421,82" path="m8445,-2788l8551,-2870,8239,-2870,8130,-2788,8445,-2788xe" filled="false" stroked="true" strokeweight=".959227pt" strokecolor="#000000">
              <v:path arrowok="t"/>
              <v:stroke dashstyle="solid"/>
            </v:shape>
            <v:line style="position:absolute" from="2416,-2908" to="2416,-744" stroked="true" strokeweight=".959762pt" strokecolor="#000000">
              <v:stroke dashstyle="solid"/>
            </v:line>
            <v:shape style="position:absolute;left:1246;top:9366;width:6300;height:2131" coordorigin="1246,9367" coordsize="6300,2131" path="m2416,-780l2380,-780m2416,-1015l2380,-1015m2416,-1253l2380,-1253m2416,-1488l2380,-1488m2416,-1726l2380,-1726m2416,-1961l2380,-1961m2416,-2198l2380,-2198m2416,-2436l2380,-2436m2416,-2671l2380,-2671m2416,-2908l2380,-2908m2416,-780l8678,-780e" filled="false" stroked="true" strokeweight=".959485pt" strokecolor="#000000">
              <v:path arrowok="t"/>
              <v:stroke dashstyle="solid"/>
            </v:shape>
            <v:shape style="position:absolute;left:3188;top:-762;width:5500;height:2" coordorigin="3188,-762" coordsize="5500,0" path="m3188,-762l3208,-762m3971,-762l3990,-762m4754,-762l4773,-762m5539,-762l5558,-762m6321,-762l6340,-762m7104,-762l7123,-762m7886,-762l7905,-762m8668,-762l8688,-762e" filled="false" stroked="true" strokeweight="1.798513pt" strokecolor="#000000">
              <v:path arrowok="t"/>
              <v:stroke dashstyle="solid"/>
            </v:shape>
            <v:shape style="position:absolute;left:1213;top:-3226;width:8120;height:2962" type="#_x0000_t202" filled="false" stroked="true" strokeweight=".959272pt" strokecolor="#000000">
              <v:textbox inset="0,0,0,0">
                <w:txbxContent>
                  <w:p>
                    <w:pPr>
                      <w:spacing w:line="240" w:lineRule="auto" w:before="5"/>
                      <w:rPr>
                        <w:sz w:val="17"/>
                      </w:rPr>
                    </w:pPr>
                  </w:p>
                  <w:p>
                    <w:pPr>
                      <w:spacing w:before="0"/>
                      <w:ind w:left="933" w:right="0" w:firstLine="0"/>
                      <w:jc w:val="left"/>
                      <w:rPr>
                        <w:rFonts w:ascii="Arial"/>
                        <w:b/>
                        <w:sz w:val="17"/>
                      </w:rPr>
                    </w:pPr>
                    <w:r>
                      <w:rPr>
                        <w:rFonts w:ascii="Arial"/>
                        <w:b/>
                        <w:w w:val="105"/>
                        <w:sz w:val="17"/>
                      </w:rPr>
                      <w:t>18</w:t>
                    </w:r>
                  </w:p>
                  <w:p>
                    <w:pPr>
                      <w:spacing w:before="42"/>
                      <w:ind w:left="933" w:right="0" w:firstLine="0"/>
                      <w:jc w:val="left"/>
                      <w:rPr>
                        <w:rFonts w:ascii="Arial"/>
                        <w:b/>
                        <w:sz w:val="17"/>
                      </w:rPr>
                    </w:pPr>
                    <w:r>
                      <w:rPr>
                        <w:rFonts w:ascii="Arial"/>
                        <w:b/>
                        <w:w w:val="105"/>
                        <w:sz w:val="17"/>
                      </w:rPr>
                      <w:t>16</w:t>
                    </w:r>
                  </w:p>
                  <w:p>
                    <w:pPr>
                      <w:spacing w:before="39"/>
                      <w:ind w:left="933" w:right="0" w:firstLine="0"/>
                      <w:jc w:val="left"/>
                      <w:rPr>
                        <w:rFonts w:ascii="Arial"/>
                        <w:b/>
                        <w:sz w:val="17"/>
                      </w:rPr>
                    </w:pPr>
                    <w:r>
                      <w:rPr>
                        <w:rFonts w:ascii="Arial"/>
                        <w:b/>
                        <w:w w:val="105"/>
                        <w:sz w:val="17"/>
                      </w:rPr>
                      <w:t>14</w:t>
                    </w:r>
                  </w:p>
                  <w:p>
                    <w:pPr>
                      <w:spacing w:before="43"/>
                      <w:ind w:left="933" w:right="0" w:firstLine="0"/>
                      <w:jc w:val="left"/>
                      <w:rPr>
                        <w:rFonts w:ascii="Arial"/>
                        <w:b/>
                        <w:sz w:val="17"/>
                      </w:rPr>
                    </w:pPr>
                    <w:r>
                      <w:rPr>
                        <w:rFonts w:ascii="Arial"/>
                        <w:b/>
                        <w:w w:val="105"/>
                        <w:sz w:val="17"/>
                      </w:rPr>
                      <w:t>12</w:t>
                    </w:r>
                  </w:p>
                  <w:p>
                    <w:pPr>
                      <w:spacing w:before="42"/>
                      <w:ind w:left="933" w:right="0" w:firstLine="0"/>
                      <w:jc w:val="left"/>
                      <w:rPr>
                        <w:rFonts w:ascii="Arial"/>
                        <w:b/>
                        <w:sz w:val="17"/>
                      </w:rPr>
                    </w:pPr>
                    <w:r>
                      <w:rPr>
                        <w:rFonts w:ascii="Arial"/>
                        <w:b/>
                        <w:w w:val="105"/>
                        <w:sz w:val="17"/>
                      </w:rPr>
                      <w:t>10</w:t>
                    </w:r>
                  </w:p>
                  <w:p>
                    <w:pPr>
                      <w:spacing w:before="39"/>
                      <w:ind w:left="1032" w:right="0" w:firstLine="0"/>
                      <w:jc w:val="left"/>
                      <w:rPr>
                        <w:rFonts w:ascii="Arial"/>
                        <w:b/>
                        <w:sz w:val="17"/>
                      </w:rPr>
                    </w:pPr>
                    <w:r>
                      <w:rPr>
                        <w:rFonts w:ascii="Arial"/>
                        <w:b/>
                        <w:w w:val="103"/>
                        <w:sz w:val="17"/>
                      </w:rPr>
                      <w:t>8</w:t>
                    </w:r>
                  </w:p>
                  <w:p>
                    <w:pPr>
                      <w:spacing w:before="43"/>
                      <w:ind w:left="1032" w:right="0" w:firstLine="0"/>
                      <w:jc w:val="left"/>
                      <w:rPr>
                        <w:rFonts w:ascii="Arial"/>
                        <w:b/>
                        <w:sz w:val="17"/>
                      </w:rPr>
                    </w:pPr>
                    <w:r>
                      <w:rPr>
                        <w:rFonts w:ascii="Arial"/>
                        <w:b/>
                        <w:w w:val="103"/>
                        <w:sz w:val="17"/>
                      </w:rPr>
                      <w:t>6</w:t>
                    </w:r>
                  </w:p>
                  <w:p>
                    <w:pPr>
                      <w:spacing w:before="39"/>
                      <w:ind w:left="1032" w:right="0" w:firstLine="0"/>
                      <w:jc w:val="left"/>
                      <w:rPr>
                        <w:rFonts w:ascii="Arial"/>
                        <w:b/>
                        <w:sz w:val="17"/>
                      </w:rPr>
                    </w:pPr>
                    <w:r>
                      <w:rPr>
                        <w:rFonts w:ascii="Arial"/>
                        <w:b/>
                        <w:w w:val="103"/>
                        <w:sz w:val="17"/>
                      </w:rPr>
                      <w:t>4</w:t>
                    </w:r>
                  </w:p>
                  <w:p>
                    <w:pPr>
                      <w:spacing w:before="42"/>
                      <w:ind w:left="1032" w:right="0" w:firstLine="0"/>
                      <w:jc w:val="left"/>
                      <w:rPr>
                        <w:rFonts w:ascii="Arial"/>
                        <w:b/>
                        <w:sz w:val="17"/>
                      </w:rPr>
                    </w:pPr>
                    <w:r>
                      <w:rPr>
                        <w:rFonts w:ascii="Arial"/>
                        <w:b/>
                        <w:w w:val="103"/>
                        <w:sz w:val="17"/>
                      </w:rPr>
                      <w:t>2</w:t>
                    </w:r>
                  </w:p>
                  <w:p>
                    <w:pPr>
                      <w:spacing w:line="195" w:lineRule="exact" w:before="40"/>
                      <w:ind w:left="1032" w:right="0" w:firstLine="0"/>
                      <w:jc w:val="left"/>
                      <w:rPr>
                        <w:rFonts w:ascii="Arial"/>
                        <w:b/>
                        <w:sz w:val="17"/>
                      </w:rPr>
                    </w:pPr>
                    <w:r>
                      <w:rPr>
                        <w:rFonts w:ascii="Arial"/>
                        <w:b/>
                        <w:w w:val="103"/>
                        <w:sz w:val="17"/>
                      </w:rPr>
                      <w:t>0</w:t>
                    </w:r>
                  </w:p>
                  <w:p>
                    <w:pPr>
                      <w:tabs>
                        <w:tab w:pos="2169" w:val="left" w:leader="none"/>
                        <w:tab w:pos="2952" w:val="left" w:leader="none"/>
                        <w:tab w:pos="3736" w:val="left" w:leader="none"/>
                        <w:tab w:pos="4519" w:val="left" w:leader="none"/>
                        <w:tab w:pos="5301" w:val="left" w:leader="none"/>
                        <w:tab w:pos="6084" w:val="left" w:leader="none"/>
                        <w:tab w:pos="6866" w:val="left" w:leader="none"/>
                      </w:tabs>
                      <w:spacing w:line="195" w:lineRule="exact" w:before="0"/>
                      <w:ind w:left="1387" w:right="0" w:firstLine="0"/>
                      <w:jc w:val="left"/>
                      <w:rPr>
                        <w:rFonts w:ascii="Arial"/>
                        <w:b/>
                        <w:sz w:val="17"/>
                      </w:rPr>
                    </w:pPr>
                    <w:r>
                      <w:rPr>
                        <w:rFonts w:ascii="Arial"/>
                        <w:b/>
                        <w:w w:val="105"/>
                        <w:sz w:val="17"/>
                      </w:rPr>
                      <w:t>2010</w:t>
                      <w:tab/>
                      <w:t>2011</w:t>
                      <w:tab/>
                      <w:t>2012</w:t>
                      <w:tab/>
                      <w:t>2013</w:t>
                      <w:tab/>
                      <w:t>2014</w:t>
                      <w:tab/>
                      <w:t>2015</w:t>
                      <w:tab/>
                      <w:t>2016</w:t>
                      <w:tab/>
                      <w:t>2017</w:t>
                    </w:r>
                  </w:p>
                </w:txbxContent>
              </v:textbox>
              <v:stroke dashstyle="solid"/>
              <w10:wrap type="none"/>
            </v:shape>
            <w10:wrap type="none"/>
          </v:group>
        </w:pict>
      </w:r>
      <w:r>
        <w:rPr/>
        <w:pict>
          <v:shape style="position:absolute;margin-left:89.555428pt;margin-top:-109.557121pt;width:11.8pt;height:34.75pt;mso-position-horizontal-relative:page;mso-position-vertical-relative:paragraph;z-index:251941888" type="#_x0000_t202" filled="false" stroked="false">
            <v:textbox inset="0,0,0,0" style="layout-flow:vertical;mso-layout-flow-alt:bottom-to-top">
              <w:txbxContent>
                <w:p>
                  <w:pPr>
                    <w:spacing w:before="19"/>
                    <w:ind w:left="20" w:right="0" w:firstLine="0"/>
                    <w:jc w:val="left"/>
                    <w:rPr>
                      <w:rFonts w:ascii="Arial"/>
                      <w:b/>
                      <w:sz w:val="17"/>
                    </w:rPr>
                  </w:pPr>
                  <w:r>
                    <w:rPr>
                      <w:rFonts w:ascii="Arial"/>
                      <w:b/>
                      <w:w w:val="105"/>
                      <w:sz w:val="17"/>
                    </w:rPr>
                    <w:t># cazuri</w:t>
                  </w:r>
                </w:p>
              </w:txbxContent>
            </v:textbox>
            <w10:wrap type="none"/>
          </v:shape>
        </w:pict>
      </w:r>
      <w:r>
        <w:rPr/>
        <w:t>In anul 2017 s-au intrat inregistrat in baza de date 67 de cazuri suspecte de infectie cerebrala cu virusul West Nile – dintre acestea 16 cazuri s-au confirmat (23,9 %) . In tabelul de mai jos este ilustrata clasificarea cazurilor suspecte de infectie West Nile in municipiul Bucuresti - sezonul estival 2017)</w:t>
      </w:r>
    </w:p>
    <w:p>
      <w:pPr>
        <w:pStyle w:val="BodyText"/>
        <w:spacing w:before="1" w:after="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2"/>
      </w:tblGrid>
      <w:tr>
        <w:trPr>
          <w:trHeight w:val="230" w:hRule="atLeast"/>
        </w:trPr>
        <w:tc>
          <w:tcPr>
            <w:tcW w:w="2953" w:type="dxa"/>
            <w:shd w:val="clear" w:color="auto" w:fill="99CCFF"/>
          </w:tcPr>
          <w:p>
            <w:pPr>
              <w:pStyle w:val="TableParagraph"/>
              <w:spacing w:line="210" w:lineRule="exact"/>
              <w:ind w:left="715"/>
              <w:rPr>
                <w:b/>
                <w:sz w:val="20"/>
              </w:rPr>
            </w:pPr>
            <w:r>
              <w:rPr>
                <w:b/>
                <w:sz w:val="20"/>
              </w:rPr>
              <w:t>Infectie West Nile</w:t>
            </w:r>
          </w:p>
        </w:tc>
        <w:tc>
          <w:tcPr>
            <w:tcW w:w="2952" w:type="dxa"/>
            <w:shd w:val="clear" w:color="auto" w:fill="99CCFF"/>
          </w:tcPr>
          <w:p>
            <w:pPr>
              <w:pStyle w:val="TableParagraph"/>
              <w:spacing w:line="210" w:lineRule="exact"/>
              <w:ind w:left="714" w:right="708"/>
              <w:jc w:val="center"/>
              <w:rPr>
                <w:b/>
                <w:sz w:val="20"/>
              </w:rPr>
            </w:pPr>
            <w:r>
              <w:rPr>
                <w:b/>
                <w:sz w:val="20"/>
              </w:rPr>
              <w:t># cazuri</w:t>
            </w:r>
          </w:p>
        </w:tc>
        <w:tc>
          <w:tcPr>
            <w:tcW w:w="2952" w:type="dxa"/>
            <w:shd w:val="clear" w:color="auto" w:fill="99CCFF"/>
          </w:tcPr>
          <w:p>
            <w:pPr>
              <w:pStyle w:val="TableParagraph"/>
              <w:spacing w:line="210" w:lineRule="exact"/>
              <w:ind w:left="716" w:right="708"/>
              <w:jc w:val="center"/>
              <w:rPr>
                <w:b/>
                <w:sz w:val="20"/>
              </w:rPr>
            </w:pPr>
            <w:r>
              <w:rPr>
                <w:b/>
                <w:sz w:val="20"/>
              </w:rPr>
              <w:t>Pondere din total</w:t>
            </w:r>
          </w:p>
        </w:tc>
      </w:tr>
      <w:tr>
        <w:trPr>
          <w:trHeight w:val="230" w:hRule="atLeast"/>
        </w:trPr>
        <w:tc>
          <w:tcPr>
            <w:tcW w:w="2953" w:type="dxa"/>
          </w:tcPr>
          <w:p>
            <w:pPr>
              <w:pStyle w:val="TableParagraph"/>
              <w:spacing w:line="210" w:lineRule="exact"/>
              <w:ind w:left="108"/>
              <w:rPr>
                <w:sz w:val="20"/>
              </w:rPr>
            </w:pPr>
            <w:r>
              <w:rPr>
                <w:sz w:val="20"/>
              </w:rPr>
              <w:t>Confirmata</w:t>
            </w:r>
          </w:p>
        </w:tc>
        <w:tc>
          <w:tcPr>
            <w:tcW w:w="2952" w:type="dxa"/>
          </w:tcPr>
          <w:p>
            <w:pPr>
              <w:pStyle w:val="TableParagraph"/>
              <w:spacing w:line="210" w:lineRule="exact"/>
              <w:ind w:left="716" w:right="707"/>
              <w:jc w:val="center"/>
              <w:rPr>
                <w:sz w:val="20"/>
              </w:rPr>
            </w:pPr>
            <w:r>
              <w:rPr>
                <w:sz w:val="20"/>
              </w:rPr>
              <w:t>16</w:t>
            </w:r>
          </w:p>
        </w:tc>
        <w:tc>
          <w:tcPr>
            <w:tcW w:w="2952" w:type="dxa"/>
          </w:tcPr>
          <w:p>
            <w:pPr>
              <w:pStyle w:val="TableParagraph"/>
              <w:spacing w:line="210" w:lineRule="exact"/>
              <w:ind w:left="716" w:right="703"/>
              <w:jc w:val="center"/>
              <w:rPr>
                <w:sz w:val="20"/>
              </w:rPr>
            </w:pPr>
            <w:r>
              <w:rPr>
                <w:sz w:val="20"/>
              </w:rPr>
              <w:t>23,9 %</w:t>
            </w:r>
          </w:p>
        </w:tc>
      </w:tr>
      <w:tr>
        <w:trPr>
          <w:trHeight w:val="230" w:hRule="atLeast"/>
        </w:trPr>
        <w:tc>
          <w:tcPr>
            <w:tcW w:w="2953" w:type="dxa"/>
          </w:tcPr>
          <w:p>
            <w:pPr>
              <w:pStyle w:val="TableParagraph"/>
              <w:spacing w:line="210" w:lineRule="exact"/>
              <w:ind w:left="108"/>
              <w:rPr>
                <w:sz w:val="20"/>
              </w:rPr>
            </w:pPr>
            <w:r>
              <w:rPr>
                <w:sz w:val="20"/>
              </w:rPr>
              <w:t>Infirmata</w:t>
            </w:r>
          </w:p>
        </w:tc>
        <w:tc>
          <w:tcPr>
            <w:tcW w:w="2952" w:type="dxa"/>
          </w:tcPr>
          <w:p>
            <w:pPr>
              <w:pStyle w:val="TableParagraph"/>
              <w:spacing w:line="210" w:lineRule="exact"/>
              <w:ind w:left="716" w:right="707"/>
              <w:jc w:val="center"/>
              <w:rPr>
                <w:sz w:val="20"/>
              </w:rPr>
            </w:pPr>
            <w:r>
              <w:rPr>
                <w:sz w:val="20"/>
              </w:rPr>
              <w:t>51</w:t>
            </w:r>
          </w:p>
        </w:tc>
        <w:tc>
          <w:tcPr>
            <w:tcW w:w="2952" w:type="dxa"/>
          </w:tcPr>
          <w:p>
            <w:pPr>
              <w:pStyle w:val="TableParagraph"/>
              <w:spacing w:line="210" w:lineRule="exact"/>
              <w:ind w:left="716" w:right="703"/>
              <w:jc w:val="center"/>
              <w:rPr>
                <w:sz w:val="20"/>
              </w:rPr>
            </w:pPr>
            <w:r>
              <w:rPr>
                <w:sz w:val="20"/>
              </w:rPr>
              <w:t>76,1 %</w:t>
            </w:r>
          </w:p>
        </w:tc>
      </w:tr>
      <w:tr>
        <w:trPr>
          <w:trHeight w:val="230" w:hRule="atLeast"/>
        </w:trPr>
        <w:tc>
          <w:tcPr>
            <w:tcW w:w="2953" w:type="dxa"/>
          </w:tcPr>
          <w:p>
            <w:pPr>
              <w:pStyle w:val="TableParagraph"/>
              <w:spacing w:line="210" w:lineRule="exact"/>
              <w:ind w:left="108"/>
              <w:rPr>
                <w:sz w:val="20"/>
              </w:rPr>
            </w:pPr>
            <w:r>
              <w:rPr>
                <w:sz w:val="20"/>
              </w:rPr>
              <w:t>Total cazuri suspecte</w:t>
            </w:r>
          </w:p>
        </w:tc>
        <w:tc>
          <w:tcPr>
            <w:tcW w:w="2952" w:type="dxa"/>
          </w:tcPr>
          <w:p>
            <w:pPr>
              <w:pStyle w:val="TableParagraph"/>
              <w:spacing w:line="210" w:lineRule="exact"/>
              <w:ind w:left="716" w:right="707"/>
              <w:jc w:val="center"/>
              <w:rPr>
                <w:sz w:val="20"/>
              </w:rPr>
            </w:pPr>
            <w:r>
              <w:rPr>
                <w:sz w:val="20"/>
              </w:rPr>
              <w:t>67</w:t>
            </w:r>
          </w:p>
        </w:tc>
        <w:tc>
          <w:tcPr>
            <w:tcW w:w="2952" w:type="dxa"/>
          </w:tcPr>
          <w:p>
            <w:pPr>
              <w:pStyle w:val="TableParagraph"/>
              <w:spacing w:line="210" w:lineRule="exact"/>
              <w:ind w:left="716" w:right="706"/>
              <w:jc w:val="center"/>
              <w:rPr>
                <w:sz w:val="20"/>
              </w:rPr>
            </w:pPr>
            <w:r>
              <w:rPr>
                <w:sz w:val="20"/>
              </w:rPr>
              <w:t>100,0 %</w:t>
            </w:r>
          </w:p>
        </w:tc>
      </w:tr>
    </w:tbl>
    <w:p>
      <w:pPr>
        <w:pStyle w:val="BodyText"/>
        <w:spacing w:before="229"/>
        <w:ind w:left="233" w:right="831"/>
        <w:jc w:val="both"/>
        <w:rPr>
          <w:sz w:val="20"/>
        </w:rPr>
      </w:pPr>
      <w:r>
        <w:rPr/>
        <w:t>Varsta medie la debut a fost de 64,4 ani la pacientii femei si respectiv de 72,0 la pacientii barbati (tabelul de mai jos reflecta varsta medie la debut, dupa sex, a cazurilor de neuroinfectie West Nile in municipiul Bucuresti - sezonul estival 2017</w:t>
      </w:r>
      <w:r>
        <w:rPr>
          <w:sz w:val="20"/>
        </w:rPr>
        <w:t>):</w:t>
      </w:r>
    </w:p>
    <w:p>
      <w:pPr>
        <w:pStyle w:val="BodyText"/>
        <w:spacing w:before="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9"/>
        <w:gridCol w:w="4789"/>
      </w:tblGrid>
      <w:tr>
        <w:trPr>
          <w:trHeight w:val="230" w:hRule="atLeast"/>
        </w:trPr>
        <w:tc>
          <w:tcPr>
            <w:tcW w:w="4789" w:type="dxa"/>
            <w:shd w:val="clear" w:color="auto" w:fill="99CCFF"/>
          </w:tcPr>
          <w:p>
            <w:pPr>
              <w:pStyle w:val="TableParagraph"/>
              <w:spacing w:line="210" w:lineRule="exact"/>
              <w:ind w:left="1641"/>
              <w:rPr>
                <w:b/>
                <w:sz w:val="20"/>
              </w:rPr>
            </w:pPr>
            <w:r>
              <w:rPr>
                <w:b/>
                <w:sz w:val="20"/>
              </w:rPr>
              <w:t>pacienti West Nile</w:t>
            </w:r>
          </w:p>
        </w:tc>
        <w:tc>
          <w:tcPr>
            <w:tcW w:w="4789" w:type="dxa"/>
            <w:shd w:val="clear" w:color="auto" w:fill="99CCFF"/>
          </w:tcPr>
          <w:p>
            <w:pPr>
              <w:pStyle w:val="TableParagraph"/>
              <w:spacing w:line="210" w:lineRule="exact"/>
              <w:ind w:left="1166"/>
              <w:rPr>
                <w:b/>
                <w:sz w:val="20"/>
              </w:rPr>
            </w:pPr>
            <w:r>
              <w:rPr>
                <w:b/>
                <w:sz w:val="20"/>
              </w:rPr>
              <w:t>Medie +/_ Deviatie Standard</w:t>
            </w:r>
          </w:p>
        </w:tc>
      </w:tr>
      <w:tr>
        <w:trPr>
          <w:trHeight w:val="230" w:hRule="atLeast"/>
        </w:trPr>
        <w:tc>
          <w:tcPr>
            <w:tcW w:w="4789" w:type="dxa"/>
          </w:tcPr>
          <w:p>
            <w:pPr>
              <w:pStyle w:val="TableParagraph"/>
              <w:spacing w:line="210" w:lineRule="exact"/>
              <w:ind w:left="108"/>
              <w:rPr>
                <w:sz w:val="20"/>
              </w:rPr>
            </w:pPr>
            <w:r>
              <w:rPr>
                <w:sz w:val="20"/>
              </w:rPr>
              <w:t>Feminin</w:t>
            </w:r>
          </w:p>
        </w:tc>
        <w:tc>
          <w:tcPr>
            <w:tcW w:w="4789" w:type="dxa"/>
          </w:tcPr>
          <w:p>
            <w:pPr>
              <w:pStyle w:val="TableParagraph"/>
              <w:spacing w:line="210" w:lineRule="exact"/>
              <w:ind w:left="108"/>
              <w:rPr>
                <w:sz w:val="20"/>
              </w:rPr>
            </w:pPr>
            <w:r>
              <w:rPr>
                <w:sz w:val="20"/>
              </w:rPr>
              <w:t>64,4 +/_23,9 ani</w:t>
            </w:r>
          </w:p>
        </w:tc>
      </w:tr>
      <w:tr>
        <w:trPr>
          <w:trHeight w:val="230" w:hRule="atLeast"/>
        </w:trPr>
        <w:tc>
          <w:tcPr>
            <w:tcW w:w="4789" w:type="dxa"/>
          </w:tcPr>
          <w:p>
            <w:pPr>
              <w:pStyle w:val="TableParagraph"/>
              <w:spacing w:line="210" w:lineRule="exact"/>
              <w:ind w:left="108"/>
              <w:rPr>
                <w:sz w:val="20"/>
              </w:rPr>
            </w:pPr>
            <w:r>
              <w:rPr>
                <w:sz w:val="20"/>
              </w:rPr>
              <w:t>Masculin</w:t>
            </w:r>
          </w:p>
        </w:tc>
        <w:tc>
          <w:tcPr>
            <w:tcW w:w="4789" w:type="dxa"/>
          </w:tcPr>
          <w:p>
            <w:pPr>
              <w:pStyle w:val="TableParagraph"/>
              <w:spacing w:line="210" w:lineRule="exact"/>
              <w:ind w:left="108"/>
              <w:rPr>
                <w:sz w:val="20"/>
              </w:rPr>
            </w:pPr>
            <w:r>
              <w:rPr>
                <w:sz w:val="20"/>
              </w:rPr>
              <w:t>72,0 +/_ 16,1 ani</w:t>
            </w:r>
          </w:p>
        </w:tc>
      </w:tr>
      <w:tr>
        <w:trPr>
          <w:trHeight w:val="275" w:hRule="atLeast"/>
        </w:trPr>
        <w:tc>
          <w:tcPr>
            <w:tcW w:w="4789" w:type="dxa"/>
          </w:tcPr>
          <w:p>
            <w:pPr>
              <w:pStyle w:val="TableParagraph"/>
              <w:rPr>
                <w:sz w:val="20"/>
              </w:rPr>
            </w:pPr>
          </w:p>
        </w:tc>
        <w:tc>
          <w:tcPr>
            <w:tcW w:w="4789" w:type="dxa"/>
          </w:tcPr>
          <w:p>
            <w:pPr>
              <w:pStyle w:val="TableParagraph"/>
              <w:rPr>
                <w:sz w:val="20"/>
              </w:rPr>
            </w:pPr>
          </w:p>
        </w:tc>
      </w:tr>
      <w:tr>
        <w:trPr>
          <w:trHeight w:val="230" w:hRule="atLeast"/>
        </w:trPr>
        <w:tc>
          <w:tcPr>
            <w:tcW w:w="9578" w:type="dxa"/>
            <w:gridSpan w:val="2"/>
          </w:tcPr>
          <w:p>
            <w:pPr>
              <w:pStyle w:val="TableParagraph"/>
              <w:spacing w:line="210" w:lineRule="exact"/>
              <w:ind w:left="108"/>
              <w:rPr>
                <w:sz w:val="20"/>
              </w:rPr>
            </w:pPr>
            <w:r>
              <w:rPr>
                <w:sz w:val="20"/>
              </w:rPr>
              <w:t>Krusckal-Wallis: 0,3218; GL: 1; valoare p: 0,5705</w:t>
            </w:r>
          </w:p>
        </w:tc>
      </w:tr>
    </w:tbl>
    <w:p>
      <w:pPr>
        <w:pStyle w:val="BodyText"/>
        <w:spacing w:before="229"/>
        <w:ind w:left="233" w:right="899"/>
      </w:pPr>
      <w:r>
        <w:rPr/>
        <w:pict>
          <v:group style="position:absolute;margin-left:60.18922pt;margin-top:83.979706pt;width:437.65pt;height:137.050pt;mso-position-horizontal-relative:page;mso-position-vertical-relative:paragraph;z-index:-265256960" coordorigin="1204,1680" coordsize="8753,2741">
            <v:shape style="position:absolute;left:3214;top:3218;width:4350;height:154" coordorigin="3215,3218" coordsize="4350,154" path="m7564,3218l3416,3218,3215,3372,7362,3372,7564,3218xe" filled="true" fillcolor="#808080" stroked="false">
              <v:path arrowok="t"/>
              <v:fill type="solid"/>
            </v:shape>
            <v:shape style="position:absolute;left:3214;top:1849;width:202;height:1522" coordorigin="3215,1850" coordsize="202,1522" path="m3416,1850l3215,2004,3215,3372,3416,3218,3416,1850xe" filled="true" fillcolor="#ffffff" stroked="false">
              <v:path arrowok="t"/>
              <v:fill type="solid"/>
            </v:shape>
            <v:shape style="position:absolute;left:2081;top:4694;width:4351;height:1524" coordorigin="2081,4695" coordsize="4351,1524" path="m3215,3372l3416,3218,7564,3218m3215,3201l3416,3048,7564,3048m3215,3029l3416,2877,7564,2877m3215,2858l3416,2705,7564,2705m3215,2688l3416,2534,7564,2534m3215,2517l3416,2364,7564,2364m3215,2344l3416,2193,7564,2193m3215,2174l3416,2021,7564,2021m3215,2004l3416,1850,7564,1850e" filled="false" stroked="true" strokeweight=".959478pt" strokecolor="#000000">
              <v:path arrowok="t"/>
              <v:stroke dashstyle="solid"/>
            </v:shape>
            <v:shape style="position:absolute;left:3214;top:3218;width:4350;height:154" coordorigin="3215,3218" coordsize="4350,154" path="m7564,3218l7362,3372,3215,3372,3416,3218,7564,3218xe" filled="false" stroked="true" strokeweight=".959233pt" strokecolor="#000000">
              <v:path arrowok="t"/>
              <v:stroke dashstyle="solid"/>
            </v:shape>
            <v:shape style="position:absolute;left:2081;top:4694;width:4351;height:1524" coordorigin="2081,4695" coordsize="4351,1524" path="m3215,3372l3215,2004,3416,1850,3416,3218,3215,3372m3416,3218l7564,3218,7564,1850,3416,1850,3416,3218e" filled="false" stroked="true" strokeweight=".959478pt" strokecolor="#808080">
              <v:path arrowok="t"/>
              <v:stroke dashstyle="solid"/>
            </v:shape>
            <v:shape style="position:absolute;left:3629;top:2790;width:203;height:581" coordorigin="3630,2791" coordsize="203,581" path="m3832,2791l3630,2944,3630,3372,3832,3218,3832,2791xe" filled="true" fillcolor="#808066" stroked="false">
              <v:path arrowok="t"/>
              <v:fill type="solid"/>
            </v:shape>
            <v:shape style="position:absolute;left:3629;top:2790;width:203;height:581" coordorigin="3630,2791" coordsize="203,581" path="m3630,3372l3630,2944,3832,2791,3832,3218,3630,3372xe" filled="false" stroked="true" strokeweight=".959671pt" strokecolor="#000000">
              <v:path arrowok="t"/>
              <v:stroke dashstyle="solid"/>
            </v:shape>
            <v:rect style="position:absolute;left:3392;top:2944;width:238;height:428" filled="true" fillcolor="#ffffcc" stroked="false">
              <v:fill type="solid"/>
            </v:rect>
            <v:rect style="position:absolute;left:3392;top:2944;width:238;height:428" filled="false" stroked="true" strokeweight=".959608pt" strokecolor="#000000">
              <v:stroke dashstyle="solid"/>
            </v:rect>
            <v:shape style="position:absolute;left:3392;top:2790;width:440;height:154" coordorigin="3392,2791" coordsize="440,154" path="m3832,2791l3594,2791,3392,2944,3630,2944,3832,2791xe" filled="true" fillcolor="#bebe99" stroked="false">
              <v:path arrowok="t"/>
              <v:fill type="solid"/>
            </v:shape>
            <v:shape style="position:absolute;left:3392;top:2790;width:440;height:154" coordorigin="3392,2791" coordsize="440,154" path="m3630,2944l3832,2791,3594,2791,3392,2944,3630,2944xe" filled="false" stroked="true" strokeweight=".959285pt" strokecolor="#000000">
              <v:path arrowok="t"/>
              <v:stroke dashstyle="solid"/>
            </v:shape>
            <v:shape style="position:absolute;left:3975;top:3038;width:459;height:343" type="#_x0000_t75" stroked="false">
              <v:imagedata r:id="rId45" o:title=""/>
            </v:shape>
            <v:shape style="position:absolute;left:3985;top:3047;width:440;height:154" coordorigin="3986,3048" coordsize="440,154" path="m4425,3048l4187,3048,3986,3201,4223,3201,4425,3048xe" filled="true" fillcolor="#bebe99" stroked="false">
              <v:path arrowok="t"/>
              <v:fill type="solid"/>
            </v:shape>
            <v:shape style="position:absolute;left:3985;top:3047;width:440;height:154" coordorigin="3986,3048" coordsize="440,154" path="m4223,3201l4425,3048,4187,3048,3986,3201,4223,3201xe" filled="false" stroked="true" strokeweight=".959286pt" strokecolor="#000000">
              <v:path arrowok="t"/>
              <v:stroke dashstyle="solid"/>
            </v:shape>
            <v:shape style="position:absolute;left:4813;top:2534;width:204;height:838" coordorigin="4813,2534" coordsize="204,838" path="m5017,2534l4813,2688,4813,3372,5017,3218,5017,2534xe" filled="true" fillcolor="#808066" stroked="false">
              <v:path arrowok="t"/>
              <v:fill type="solid"/>
            </v:shape>
            <v:shape style="position:absolute;left:4813;top:2534;width:204;height:838" coordorigin="4813,2534" coordsize="204,838" path="m4813,3372l4813,2688,5017,2534,5017,3218,4813,3372xe" filled="false" stroked="true" strokeweight=".959696pt" strokecolor="#000000">
              <v:path arrowok="t"/>
              <v:stroke dashstyle="solid"/>
            </v:shape>
            <v:rect style="position:absolute;left:4578;top:2687;width:236;height:684" filled="true" fillcolor="#ffffcc" stroked="false">
              <v:fill type="solid"/>
            </v:rect>
            <v:rect style="position:absolute;left:4578;top:2687;width:236;height:684" filled="false" stroked="true" strokeweight=".959672pt" strokecolor="#000000">
              <v:stroke dashstyle="solid"/>
            </v:rect>
            <v:shape style="position:absolute;left:4578;top:2534;width:440;height:154" coordorigin="4578,2534" coordsize="440,154" path="m5017,2534l4780,2534,4578,2688,4813,2688,5017,2534xe" filled="true" fillcolor="#bebe99" stroked="false">
              <v:path arrowok="t"/>
              <v:fill type="solid"/>
            </v:shape>
            <v:shape style="position:absolute;left:4578;top:2534;width:440;height:154" coordorigin="4578,2534" coordsize="440,154" path="m4813,2688l5017,2534,4780,2534,4578,2688,4813,2688xe" filled="false" stroked="true" strokeweight=".959286pt" strokecolor="#000000">
              <v:path arrowok="t"/>
              <v:stroke dashstyle="solid"/>
            </v:shape>
            <v:shape style="position:absolute;left:5405;top:2704;width:205;height:668" coordorigin="5406,2705" coordsize="205,668" path="m5610,2705l5406,2858,5406,3372,5610,3218,5610,2705xe" filled="true" fillcolor="#4d4d80" stroked="false">
              <v:path arrowok="t"/>
              <v:fill type="solid"/>
            </v:shape>
            <v:shape style="position:absolute;left:5405;top:2704;width:205;height:668" coordorigin="5406,2705" coordsize="205,668" path="m5406,3372l5406,2858,5610,2705,5610,3218,5406,3372xe" filled="false" stroked="true" strokeweight=".959681pt" strokecolor="#000000">
              <v:path arrowok="t"/>
              <v:stroke dashstyle="solid"/>
            </v:shape>
            <v:rect style="position:absolute;left:5168;top:2858;width:238;height:514" filled="true" fillcolor="#9999ff" stroked="false">
              <v:fill type="solid"/>
            </v:rect>
            <v:rect style="position:absolute;left:5168;top:2858;width:238;height:514" filled="false" stroked="true" strokeweight=".959637pt" strokecolor="#000000">
              <v:stroke dashstyle="solid"/>
            </v:rect>
            <v:shape style="position:absolute;left:5405;top:2277;width:205;height:581" coordorigin="5406,2277" coordsize="205,581" path="m5610,2277l5406,2431,5406,2858,5610,2705,5610,2277xe" filled="true" fillcolor="#808066" stroked="false">
              <v:path arrowok="t"/>
              <v:fill type="solid"/>
            </v:shape>
            <v:shape style="position:absolute;left:5405;top:2277;width:205;height:581" coordorigin="5406,2277" coordsize="205,581" path="m5406,2858l5406,2431,5610,2277,5610,2705,5406,2858xe" filled="false" stroked="true" strokeweight=".959669pt" strokecolor="#000000">
              <v:path arrowok="t"/>
              <v:stroke dashstyle="solid"/>
            </v:shape>
            <v:rect style="position:absolute;left:5168;top:2430;width:238;height:428" filled="true" fillcolor="#ffffcc" stroked="false">
              <v:fill type="solid"/>
            </v:rect>
            <v:rect style="position:absolute;left:5168;top:2430;width:238;height:428" filled="false" stroked="true" strokeweight=".959608pt" strokecolor="#000000">
              <v:stroke dashstyle="solid"/>
            </v:rect>
            <v:shape style="position:absolute;left:5168;top:2277;width:442;height:154" coordorigin="5168,2277" coordsize="442,154" path="m5610,2277l5372,2277,5168,2431,5406,2431,5610,2277xe" filled="true" fillcolor="#bebe99" stroked="false">
              <v:path arrowok="t"/>
              <v:fill type="solid"/>
            </v:shape>
            <v:shape style="position:absolute;left:5168;top:2277;width:442;height:154" coordorigin="5168,2277" coordsize="442,154" path="m5406,2431l5610,2277,5372,2277,5168,2431,5406,2431xe" filled="false" stroked="true" strokeweight=".959285pt" strokecolor="#000000">
              <v:path arrowok="t"/>
              <v:stroke dashstyle="solid"/>
            </v:shape>
            <v:shape style="position:absolute;left:5999;top:2447;width:202;height:924" coordorigin="5999,2448" coordsize="202,924" path="m6201,2448l5999,2601,5999,3372,6201,3218,6201,2448xe" filled="true" fillcolor="#4d4d80" stroked="false">
              <v:path arrowok="t"/>
              <v:fill type="solid"/>
            </v:shape>
            <v:shape style="position:absolute;left:5999;top:2447;width:202;height:924" coordorigin="5999,2448" coordsize="202,924" path="m5999,3372l5999,2601,6201,2448,6201,3218,5999,3372xe" filled="false" stroked="true" strokeweight=".959701pt" strokecolor="#000000">
              <v:path arrowok="t"/>
              <v:stroke dashstyle="solid"/>
            </v:shape>
            <v:rect style="position:absolute;left:5761;top:2601;width:238;height:771" filled="true" fillcolor="#9999ff" stroked="false">
              <v:fill type="solid"/>
            </v:rect>
            <v:rect style="position:absolute;left:5761;top:2601;width:238;height:771" filled="false" stroked="true" strokeweight=".959681pt" strokecolor="#000000">
              <v:stroke dashstyle="solid"/>
            </v:rect>
            <v:shape style="position:absolute;left:5999;top:1936;width:202;height:665" coordorigin="5999,1937" coordsize="202,665" path="m6201,1937l5999,2090,5999,2601,6201,2448,6201,1937xe" filled="true" fillcolor="#808066" stroked="false">
              <v:path arrowok="t"/>
              <v:fill type="solid"/>
            </v:shape>
            <v:shape style="position:absolute;left:5999;top:1936;width:202;height:665" coordorigin="5999,1937" coordsize="202,665" path="m5999,2601l5999,2090,6201,1937,6201,2448,5999,2601xe" filled="false" stroked="true" strokeweight=".959682pt" strokecolor="#000000">
              <v:path arrowok="t"/>
              <v:stroke dashstyle="solid"/>
            </v:shape>
            <v:rect style="position:absolute;left:5761;top:2090;width:238;height:512" filled="true" fillcolor="#ffffcc" stroked="false">
              <v:fill type="solid"/>
            </v:rect>
            <v:rect style="position:absolute;left:5761;top:2090;width:238;height:512" filled="false" stroked="true" strokeweight=".959636pt" strokecolor="#000000">
              <v:stroke dashstyle="solid"/>
            </v:rect>
            <v:shape style="position:absolute;left:5761;top:1936;width:440;height:154" coordorigin="5761,1937" coordsize="440,154" path="m6201,1937l5965,1937,5761,2090,5999,2090,6201,1937xe" filled="true" fillcolor="#bebe99" stroked="false">
              <v:path arrowok="t"/>
              <v:fill type="solid"/>
            </v:shape>
            <v:shape style="position:absolute;left:5761;top:1936;width:440;height:154" coordorigin="5761,1937" coordsize="440,154" path="m5999,2090l6201,1937,5965,1937,5761,2090,5999,2090xe" filled="false" stroked="true" strokeweight=".959286pt" strokecolor="#000000">
              <v:path arrowok="t"/>
              <v:stroke dashstyle="solid"/>
            </v:shape>
            <v:shape style="position:absolute;left:6344;top:3038;width:459;height:343" type="#_x0000_t75" stroked="false">
              <v:imagedata r:id="rId45" o:title=""/>
            </v:shape>
            <v:shape style="position:absolute;left:6354;top:3047;width:440;height:154" coordorigin="6354,3048" coordsize="440,154" path="m6793,3048l6556,3048,6354,3201,6592,3201,6793,3048xe" filled="true" fillcolor="#bebe99" stroked="false">
              <v:path arrowok="t"/>
              <v:fill type="solid"/>
            </v:shape>
            <v:shape style="position:absolute;left:6354;top:3047;width:440;height:154" coordorigin="6354,3048" coordsize="440,154" path="m6592,3201l6793,3048,6556,3048,6354,3201,6592,3201xe" filled="false" stroked="true" strokeweight=".959286pt" strokecolor="#000000">
              <v:path arrowok="t"/>
              <v:stroke dashstyle="solid"/>
            </v:shape>
            <v:shape style="position:absolute;left:6946;top:3218;width:440;height:154" coordorigin="6947,3218" coordsize="440,154" path="m7386,3218l7148,3218,6947,3372,7184,3372,7386,3218xe" filled="true" fillcolor="#7373be" stroked="false">
              <v:path arrowok="t"/>
              <v:fill type="solid"/>
            </v:shape>
            <v:shape style="position:absolute;left:6946;top:3218;width:440;height:154" coordorigin="6947,3218" coordsize="440,154" path="m7184,3372l7386,3218,7148,3218,6947,3372,7184,3372xe" filled="false" stroked="true" strokeweight=".959285pt" strokecolor="#000000">
              <v:path arrowok="t"/>
              <v:stroke dashstyle="solid"/>
            </v:shape>
            <v:line style="position:absolute" from="3215,2004" to="3215,3405" stroked="true" strokeweight=".959724pt" strokecolor="#000000">
              <v:stroke dashstyle="solid"/>
            </v:line>
            <v:shape style="position:absolute;left:2047;top:4849;width:4183;height:1369" coordorigin="2048,4849" coordsize="4183,1369" path="m3215,3372l3181,3372m3215,3201l3181,3201m3215,3029l3181,3029m3215,2858l3181,2858m3215,2688l3181,2688m3215,2517l3181,2517m3215,2344l3181,2344m3215,2174l3181,2174m3215,2004l3181,2004m3215,3372l7362,3372e" filled="false" stroked="true" strokeweight=".959478pt" strokecolor="#000000">
              <v:path arrowok="t"/>
              <v:stroke dashstyle="solid"/>
            </v:shape>
            <v:shape style="position:absolute;left:3798;top:3388;width:3574;height:2" coordorigin="3798,3388" coordsize="3574,0" path="m3798,3388l3818,3388m4391,3388l4410,3388m4981,3388l5000,3388m5574,3388l5594,3388m6167,3388l6186,3388m6760,3388l6779,3388m7353,3388l7372,3388e" filled="false" stroked="true" strokeweight="1.678656pt" strokecolor="#000000">
              <v:path arrowok="t"/>
              <v:stroke dashstyle="solid"/>
            </v:shape>
            <v:shape style="position:absolute;left:1213;top:1689;width:8734;height:2722" type="#_x0000_t202" filled="false" stroked="true" strokeweight=".959276pt" strokecolor="#000000">
              <v:textbox inset="0,0,0,0">
                <w:txbxContent>
                  <w:p>
                    <w:pPr>
                      <w:spacing w:line="240" w:lineRule="auto" w:before="7"/>
                      <w:rPr>
                        <w:sz w:val="17"/>
                      </w:rPr>
                    </w:pPr>
                  </w:p>
                  <w:p>
                    <w:pPr>
                      <w:spacing w:line="177" w:lineRule="exact" w:before="0"/>
                      <w:ind w:left="1756" w:right="0" w:firstLine="0"/>
                      <w:jc w:val="left"/>
                      <w:rPr>
                        <w:rFonts w:ascii="Arial"/>
                        <w:b/>
                        <w:sz w:val="16"/>
                      </w:rPr>
                    </w:pPr>
                    <w:r>
                      <w:rPr>
                        <w:rFonts w:ascii="Arial"/>
                        <w:b/>
                        <w:sz w:val="16"/>
                      </w:rPr>
                      <w:t>16</w:t>
                    </w:r>
                  </w:p>
                  <w:p>
                    <w:pPr>
                      <w:spacing w:line="170" w:lineRule="exact" w:before="0"/>
                      <w:ind w:left="1756" w:right="0" w:firstLine="0"/>
                      <w:jc w:val="left"/>
                      <w:rPr>
                        <w:rFonts w:ascii="Arial"/>
                        <w:b/>
                        <w:sz w:val="16"/>
                      </w:rPr>
                    </w:pPr>
                    <w:r>
                      <w:rPr>
                        <w:rFonts w:ascii="Arial"/>
                        <w:b/>
                        <w:sz w:val="16"/>
                      </w:rPr>
                      <w:t>14</w:t>
                    </w:r>
                  </w:p>
                  <w:p>
                    <w:pPr>
                      <w:spacing w:line="172" w:lineRule="exact" w:before="0"/>
                      <w:ind w:left="1756" w:right="0" w:firstLine="0"/>
                      <w:jc w:val="left"/>
                      <w:rPr>
                        <w:rFonts w:ascii="Arial"/>
                        <w:b/>
                        <w:sz w:val="16"/>
                      </w:rPr>
                    </w:pPr>
                    <w:r>
                      <w:rPr>
                        <w:rFonts w:ascii="Arial"/>
                        <w:b/>
                        <w:sz w:val="16"/>
                      </w:rPr>
                      <w:t>12</w:t>
                    </w:r>
                  </w:p>
                  <w:p>
                    <w:pPr>
                      <w:spacing w:line="172" w:lineRule="exact" w:before="0"/>
                      <w:ind w:left="1756" w:right="0" w:firstLine="0"/>
                      <w:jc w:val="left"/>
                      <w:rPr>
                        <w:rFonts w:ascii="Arial"/>
                        <w:b/>
                        <w:sz w:val="16"/>
                      </w:rPr>
                    </w:pPr>
                    <w:r>
                      <w:rPr>
                        <w:rFonts w:ascii="Arial"/>
                        <w:b/>
                        <w:sz w:val="16"/>
                      </w:rPr>
                      <w:t>10</w:t>
                    </w:r>
                  </w:p>
                  <w:p>
                    <w:pPr>
                      <w:spacing w:line="170" w:lineRule="exact" w:before="0"/>
                      <w:ind w:left="1845" w:right="0" w:firstLine="0"/>
                      <w:jc w:val="left"/>
                      <w:rPr>
                        <w:rFonts w:ascii="Arial"/>
                        <w:b/>
                        <w:sz w:val="16"/>
                      </w:rPr>
                    </w:pPr>
                    <w:r>
                      <w:rPr>
                        <w:rFonts w:ascii="Arial"/>
                        <w:b/>
                        <w:w w:val="100"/>
                        <w:sz w:val="16"/>
                      </w:rPr>
                      <w:t>8</w:t>
                    </w:r>
                  </w:p>
                  <w:p>
                    <w:pPr>
                      <w:spacing w:line="171" w:lineRule="exact" w:before="0"/>
                      <w:ind w:left="1845" w:right="0" w:firstLine="0"/>
                      <w:jc w:val="left"/>
                      <w:rPr>
                        <w:rFonts w:ascii="Arial"/>
                        <w:b/>
                        <w:sz w:val="16"/>
                      </w:rPr>
                    </w:pPr>
                    <w:r>
                      <w:rPr>
                        <w:rFonts w:ascii="Arial"/>
                        <w:b/>
                        <w:w w:val="100"/>
                        <w:sz w:val="16"/>
                      </w:rPr>
                      <w:t>6</w:t>
                    </w:r>
                  </w:p>
                  <w:p>
                    <w:pPr>
                      <w:spacing w:line="172" w:lineRule="exact" w:before="0"/>
                      <w:ind w:left="1845" w:right="0" w:firstLine="0"/>
                      <w:jc w:val="left"/>
                      <w:rPr>
                        <w:rFonts w:ascii="Arial"/>
                        <w:b/>
                        <w:sz w:val="16"/>
                      </w:rPr>
                    </w:pPr>
                    <w:r>
                      <w:rPr>
                        <w:rFonts w:ascii="Arial"/>
                        <w:b/>
                        <w:w w:val="100"/>
                        <w:sz w:val="16"/>
                      </w:rPr>
                      <w:t>4</w:t>
                    </w:r>
                  </w:p>
                  <w:p>
                    <w:pPr>
                      <w:spacing w:line="171" w:lineRule="exact" w:before="0"/>
                      <w:ind w:left="1845" w:right="0" w:firstLine="0"/>
                      <w:jc w:val="left"/>
                      <w:rPr>
                        <w:rFonts w:ascii="Arial"/>
                        <w:b/>
                        <w:sz w:val="16"/>
                      </w:rPr>
                    </w:pPr>
                    <w:r>
                      <w:rPr>
                        <w:rFonts w:ascii="Arial"/>
                        <w:b/>
                        <w:w w:val="100"/>
                        <w:sz w:val="16"/>
                      </w:rPr>
                      <w:t>2</w:t>
                    </w:r>
                  </w:p>
                  <w:p>
                    <w:pPr>
                      <w:spacing w:line="177" w:lineRule="exact" w:before="0"/>
                      <w:ind w:left="1845" w:right="0" w:firstLine="0"/>
                      <w:jc w:val="left"/>
                      <w:rPr>
                        <w:rFonts w:ascii="Arial"/>
                        <w:b/>
                        <w:sz w:val="16"/>
                      </w:rPr>
                    </w:pPr>
                    <w:r>
                      <w:rPr>
                        <w:rFonts w:ascii="Arial"/>
                        <w:b/>
                        <w:w w:val="100"/>
                        <w:sz w:val="16"/>
                      </w:rPr>
                      <w:t>0</w:t>
                    </w:r>
                  </w:p>
                </w:txbxContent>
              </v:textbox>
              <v:stroke dashstyle="solid"/>
              <w10:wrap type="none"/>
            </v:shape>
            <v:shape style="position:absolute;left:8751;top:2793;width:1119;height:514" type="#_x0000_t202" filled="false" stroked="true" strokeweight=".959318pt" strokecolor="#000000">
              <v:textbox inset="0,0,0,0">
                <w:txbxContent>
                  <w:p>
                    <w:pPr>
                      <w:spacing w:before="27"/>
                      <w:ind w:left="189" w:right="0" w:firstLine="0"/>
                      <w:jc w:val="left"/>
                      <w:rPr>
                        <w:rFonts w:ascii="Arial"/>
                        <w:b/>
                        <w:sz w:val="16"/>
                      </w:rPr>
                    </w:pPr>
                    <w:r>
                      <w:rPr>
                        <w:rFonts w:ascii="Arial"/>
                        <w:b/>
                        <w:sz w:val="16"/>
                      </w:rPr>
                      <w:t>Confirmate</w:t>
                    </w:r>
                  </w:p>
                  <w:p>
                    <w:pPr>
                      <w:spacing w:before="73"/>
                      <w:ind w:left="189" w:right="0" w:firstLine="0"/>
                      <w:jc w:val="left"/>
                      <w:rPr>
                        <w:rFonts w:ascii="Arial"/>
                        <w:b/>
                        <w:sz w:val="16"/>
                      </w:rPr>
                    </w:pPr>
                    <w:r>
                      <w:rPr>
                        <w:rFonts w:ascii="Arial"/>
                        <w:b/>
                        <w:sz w:val="16"/>
                      </w:rPr>
                      <w:t>Suspecte</w:t>
                    </w:r>
                  </w:p>
                </w:txbxContent>
              </v:textbox>
              <v:stroke dashstyle="solid"/>
              <w10:wrap type="none"/>
            </v:shape>
            <w10:wrap type="none"/>
          </v:group>
        </w:pict>
      </w:r>
      <w:r>
        <w:rPr/>
        <w:pict>
          <v:shape style="position:absolute;margin-left:131.953644pt;margin-top:118.466293pt;width:11pt;height:31.95pt;mso-position-horizontal-relative:page;mso-position-vertical-relative:paragraph;z-index:251942912" type="#_x0000_t202" filled="false" stroked="false">
            <v:textbox inset="0,0,0,0" style="layout-flow:vertical;mso-layout-flow-alt:bottom-to-top">
              <w:txbxContent>
                <w:p>
                  <w:pPr>
                    <w:spacing w:before="15"/>
                    <w:ind w:left="20" w:right="0" w:firstLine="0"/>
                    <w:jc w:val="left"/>
                    <w:rPr>
                      <w:rFonts w:ascii="Arial"/>
                      <w:b/>
                      <w:sz w:val="16"/>
                    </w:rPr>
                  </w:pPr>
                  <w:r>
                    <w:rPr>
                      <w:rFonts w:ascii="Arial"/>
                      <w:b/>
                      <w:sz w:val="16"/>
                    </w:rPr>
                    <w:t># cazuri</w:t>
                  </w:r>
                </w:p>
              </w:txbxContent>
            </v:textbox>
            <w10:wrap type="none"/>
          </v:shape>
        </w:pict>
      </w:r>
      <w:r>
        <w:rPr/>
        <w:t>Diagrama de mai jos prezinta distributia, pe luni calendaristice, a cazurilor suspecte sau confirmate de neuroinfectie West Nile in municipiul Bucuresti – 2017. Supravegherea a implicat interventia DSPMB in 67 de cazuri din care s-au confirmat 16 cazuri. Cazurile confirmate au debutat in lunile august si septembrie 2017; fatalitatea cea mai mare a fost observata la pacientii in varsta de &gt; 60 de ani.</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29"/>
        </w:rPr>
      </w:pPr>
      <w:r>
        <w:rPr/>
        <w:pict>
          <v:group style="position:absolute;margin-left:440.099731pt;margin-top:19.026590pt;width:5.9pt;height:5.9pt;mso-position-horizontal-relative:page;mso-position-vertical-relative:paragraph;z-index:-251382784;mso-wrap-distance-left:0;mso-wrap-distance-right:0" coordorigin="8802,381" coordsize="118,118">
            <v:rect style="position:absolute;left:8811;top:390;width:99;height:99" filled="true" fillcolor="#ffffcc" stroked="false">
              <v:fill type="solid"/>
            </v:rect>
            <v:rect style="position:absolute;left:8811;top:390;width:99;height:99" filled="false" stroked="true" strokeweight=".959478pt" strokecolor="#000000">
              <v:stroke dashstyle="solid"/>
            </v:rect>
            <w10:wrap type="topAndBottom"/>
          </v:group>
        </w:pict>
      </w:r>
      <w:r>
        <w:rPr/>
        <w:pict>
          <v:group style="position:absolute;margin-left:440.099731pt;margin-top:31.880299pt;width:5.9pt;height:5.9pt;mso-position-horizontal-relative:page;mso-position-vertical-relative:paragraph;z-index:-251381760;mso-wrap-distance-left:0;mso-wrap-distance-right:0" coordorigin="8802,638" coordsize="118,118">
            <v:rect style="position:absolute;left:8811;top:647;width:99;height:99" filled="true" fillcolor="#9999ff" stroked="false">
              <v:fill type="solid"/>
            </v:rect>
            <v:rect style="position:absolute;left:8811;top:647;width:99;height:99" filled="false" stroked="true" strokeweight=".959478pt" strokecolor="#000000">
              <v:stroke dashstyle="solid"/>
            </v:rect>
            <w10:wrap type="topAndBottom"/>
          </v:group>
        </w:pict>
      </w:r>
    </w:p>
    <w:p>
      <w:pPr>
        <w:pStyle w:val="BodyText"/>
        <w:spacing w:before="1"/>
        <w:ind w:left="0"/>
        <w:rPr>
          <w:sz w:val="6"/>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pPr>
      <w:r>
        <w:rPr/>
        <w:pict>
          <v:shape style="position:absolute;margin-left:55.200001pt;margin-top:15.208351pt;width:499.95pt;height:13.8pt;mso-position-horizontal-relative:page;mso-position-vertical-relative:paragraph;z-index:-251380736;mso-wrap-distance-left:0;mso-wrap-distance-right:0" type="#_x0000_t202" filled="true" fillcolor="#d9d9d9" stroked="false">
            <v:textbox inset="0,0,0,0">
              <w:txbxContent>
                <w:p>
                  <w:pPr>
                    <w:spacing w:line="275" w:lineRule="exact" w:before="0"/>
                    <w:ind w:left="1345" w:right="1346" w:firstLine="0"/>
                    <w:jc w:val="center"/>
                    <w:rPr>
                      <w:b/>
                      <w:i/>
                      <w:sz w:val="24"/>
                    </w:rPr>
                  </w:pPr>
                  <w:r>
                    <w:rPr>
                      <w:b/>
                      <w:sz w:val="24"/>
                      <w:u w:val="thick"/>
                    </w:rPr>
                    <w:t>Supravegherea cazurilor de Enterocolite prin </w:t>
                  </w:r>
                  <w:r>
                    <w:rPr>
                      <w:b/>
                      <w:i/>
                      <w:sz w:val="24"/>
                      <w:u w:val="thick"/>
                    </w:rPr>
                    <w:t>Clostridium difficile</w:t>
                  </w:r>
                </w:p>
              </w:txbxContent>
            </v:textbox>
            <v:fill type="solid"/>
            <w10:wrap type="topAndBottom"/>
          </v:shape>
        </w:pict>
      </w:r>
    </w:p>
    <w:p>
      <w:pPr>
        <w:pStyle w:val="BodyText"/>
        <w:spacing w:before="9"/>
        <w:ind w:left="0"/>
        <w:rPr>
          <w:sz w:val="14"/>
        </w:rPr>
      </w:pPr>
    </w:p>
    <w:p>
      <w:pPr>
        <w:pStyle w:val="BodyText"/>
        <w:spacing w:before="90"/>
        <w:ind w:left="233" w:right="848"/>
      </w:pPr>
      <w:r>
        <w:rPr/>
        <w:pict>
          <v:shape style="position:absolute;margin-left:159.275803pt;margin-top:-81.123657pt;width:13.4pt;height:8.0500pt;mso-position-horizontal-relative:page;mso-position-vertical-relative:paragraph;z-index:251943936;rotation:316" type="#_x0000_t136" fillcolor="#000000" stroked="f">
            <o:extrusion v:ext="view" autorotationcenter="t"/>
            <v:textpath style="font-family:&quot;Arial&quot;;font-size:8pt;v-text-kern:t;mso-text-shadow:auto;font-weight:bold" string="Mai"/>
            <w10:wrap type="none"/>
          </v:shape>
        </w:pict>
      </w:r>
      <w:r>
        <w:rPr/>
        <w:pict>
          <v:shape style="position:absolute;margin-left:184.501297pt;margin-top:-79.139221pt;width:18.3pt;height:8.0500pt;mso-position-horizontal-relative:page;mso-position-vertical-relative:paragraph;z-index:251944960;rotation:316" type="#_x0000_t136" fillcolor="#000000" stroked="f">
            <o:extrusion v:ext="view" autorotationcenter="t"/>
            <v:textpath style="font-family:&quot;Arial&quot;;font-size:8pt;v-text-kern:t;mso-text-shadow:auto;font-weight:bold" string="Iunie"/>
            <w10:wrap type="none"/>
          </v:shape>
        </w:pict>
      </w:r>
      <w:r>
        <w:rPr/>
        <w:pict>
          <v:shape style="position:absolute;margin-left:216.303696pt;margin-top:-80.040245pt;width:15.75pt;height:8.0500pt;mso-position-horizontal-relative:page;mso-position-vertical-relative:paragraph;z-index:251945984;rotation:316" type="#_x0000_t136" fillcolor="#000000" stroked="f">
            <o:extrusion v:ext="view" autorotationcenter="t"/>
            <v:textpath style="font-family:&quot;Arial&quot;;font-size:8pt;v-text-kern:t;mso-text-shadow:auto;font-weight:bold" string="Iulie"/>
            <w10:wrap type="none"/>
          </v:shape>
        </w:pict>
      </w:r>
      <w:r>
        <w:rPr/>
        <w:pict>
          <v:shape style="position:absolute;margin-left:236.491745pt;margin-top:-76.222916pt;width:27pt;height:8.0500pt;mso-position-horizontal-relative:page;mso-position-vertical-relative:paragraph;z-index:251947008;rotation:316" type="#_x0000_t136" fillcolor="#000000" stroked="f">
            <o:extrusion v:ext="view" autorotationcenter="t"/>
            <v:textpath style="font-family:&quot;Arial&quot;;font-size:8pt;v-text-kern:t;mso-text-shadow:auto;font-weight:bold" string="August"/>
            <w10:wrap type="none"/>
          </v:shape>
        </w:pict>
      </w:r>
      <w:r>
        <w:rPr/>
        <w:pict>
          <v:shape style="position:absolute;margin-left:252.147369pt;margin-top:-70.220459pt;width:43pt;height:8.0500pt;mso-position-horizontal-relative:page;mso-position-vertical-relative:paragraph;z-index:251948032;rotation:316" type="#_x0000_t136" fillcolor="#000000" stroked="f">
            <o:extrusion v:ext="view" autorotationcenter="t"/>
            <v:textpath style="font-family:&quot;Arial&quot;;font-size:8pt;v-text-kern:t;mso-text-shadow:auto;font-weight:bold" string="Septembrie"/>
            <w10:wrap type="none"/>
          </v:shape>
        </w:pict>
      </w:r>
      <w:r>
        <w:rPr/>
        <w:pict>
          <v:shape style="position:absolute;margin-left:284.718872pt;margin-top:-71.480186pt;width:39.450pt;height:8.0500pt;mso-position-horizontal-relative:page;mso-position-vertical-relative:paragraph;z-index:251949056;rotation:316" type="#_x0000_t136" fillcolor="#000000" stroked="f">
            <o:extrusion v:ext="view" autorotationcenter="t"/>
            <v:textpath style="font-family:&quot;Arial&quot;;font-size:8pt;v-text-kern:t;mso-text-shadow:auto;font-weight:bold" string="Octombrie"/>
            <w10:wrap type="none"/>
          </v:shape>
        </w:pict>
      </w:r>
      <w:r>
        <w:rPr>
          <w:b/>
        </w:rPr>
        <w:t>Misiune: </w:t>
      </w:r>
      <w:r>
        <w:rPr/>
        <w:t>supravegherea cazurilor de Enterocolita prin Clostridium difficile (ECD) confirmate de catre spitalele din municipiul Bucuresti prin:</w:t>
      </w:r>
    </w:p>
    <w:p>
      <w:pPr>
        <w:pStyle w:val="ListParagraph"/>
        <w:numPr>
          <w:ilvl w:val="0"/>
          <w:numId w:val="2"/>
        </w:numPr>
        <w:tabs>
          <w:tab w:pos="373" w:val="left" w:leader="none"/>
        </w:tabs>
        <w:spacing w:line="240" w:lineRule="auto" w:before="0" w:after="0"/>
        <w:ind w:left="372" w:right="0" w:hanging="140"/>
        <w:jc w:val="left"/>
        <w:rPr>
          <w:sz w:val="24"/>
        </w:rPr>
      </w:pPr>
      <w:r>
        <w:rPr>
          <w:sz w:val="24"/>
        </w:rPr>
        <w:t>colectarea rapoartelor (telefonice si</w:t>
      </w:r>
      <w:r>
        <w:rPr>
          <w:spacing w:val="-2"/>
          <w:sz w:val="24"/>
        </w:rPr>
        <w:t> </w:t>
      </w:r>
      <w:r>
        <w:rPr>
          <w:sz w:val="24"/>
        </w:rPr>
        <w:t>editate);</w:t>
      </w:r>
    </w:p>
    <w:p>
      <w:pPr>
        <w:spacing w:after="0" w:line="240" w:lineRule="auto"/>
        <w:jc w:val="left"/>
        <w:rPr>
          <w:sz w:val="24"/>
        </w:rPr>
        <w:sectPr>
          <w:pgSz w:w="11910" w:h="16840"/>
          <w:pgMar w:header="0" w:footer="738" w:top="1500" w:bottom="920" w:left="900" w:right="0"/>
        </w:sectPr>
      </w:pPr>
    </w:p>
    <w:p>
      <w:pPr>
        <w:pStyle w:val="ListParagraph"/>
        <w:numPr>
          <w:ilvl w:val="0"/>
          <w:numId w:val="2"/>
        </w:numPr>
        <w:tabs>
          <w:tab w:pos="373" w:val="left" w:leader="none"/>
        </w:tabs>
        <w:spacing w:line="240" w:lineRule="auto" w:before="60" w:after="0"/>
        <w:ind w:left="372" w:right="0" w:hanging="140"/>
        <w:jc w:val="left"/>
        <w:rPr>
          <w:sz w:val="24"/>
        </w:rPr>
      </w:pPr>
      <w:r>
        <w:rPr>
          <w:sz w:val="24"/>
        </w:rPr>
        <w:t>analiza datelor si formularea de recomandari</w:t>
      </w:r>
      <w:r>
        <w:rPr>
          <w:spacing w:val="-4"/>
          <w:sz w:val="24"/>
        </w:rPr>
        <w:t> </w:t>
      </w:r>
      <w:r>
        <w:rPr>
          <w:sz w:val="24"/>
        </w:rPr>
        <w:t>.</w:t>
      </w:r>
    </w:p>
    <w:p>
      <w:pPr>
        <w:pStyle w:val="BodyText"/>
        <w:spacing w:before="1"/>
        <w:ind w:left="233" w:right="994"/>
      </w:pPr>
      <w:r>
        <w:rPr/>
        <w:t>In tabelul de mai jos este prezentata distributia numerica si procentuala a cazurilor de Clostridium difficile codificate de unitatile sanitare cu paturi din Bucuresti (exceptate spitalele de boli infectioase) si raportate la DSPMB (iulie – octombrie 2014):</w:t>
      </w:r>
    </w:p>
    <w:p>
      <w:pPr>
        <w:pStyle w:val="BodyText"/>
        <w:spacing w:before="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9"/>
        <w:gridCol w:w="1980"/>
        <w:gridCol w:w="1907"/>
      </w:tblGrid>
      <w:tr>
        <w:trPr>
          <w:trHeight w:val="229" w:hRule="atLeast"/>
        </w:trPr>
        <w:tc>
          <w:tcPr>
            <w:tcW w:w="4969" w:type="dxa"/>
            <w:tcBorders>
              <w:bottom w:val="single" w:sz="12" w:space="0" w:color="000000"/>
            </w:tcBorders>
          </w:tcPr>
          <w:p>
            <w:pPr>
              <w:pStyle w:val="TableParagraph"/>
              <w:spacing w:line="209" w:lineRule="exact"/>
              <w:ind w:left="1737" w:right="1732"/>
              <w:jc w:val="center"/>
              <w:rPr>
                <w:b/>
                <w:sz w:val="20"/>
              </w:rPr>
            </w:pPr>
            <w:r>
              <w:rPr>
                <w:b/>
                <w:sz w:val="20"/>
              </w:rPr>
              <w:t>Tip departament</w:t>
            </w:r>
          </w:p>
        </w:tc>
        <w:tc>
          <w:tcPr>
            <w:tcW w:w="1980" w:type="dxa"/>
            <w:tcBorders>
              <w:bottom w:val="single" w:sz="12" w:space="0" w:color="000000"/>
            </w:tcBorders>
          </w:tcPr>
          <w:p>
            <w:pPr>
              <w:pStyle w:val="TableParagraph"/>
              <w:spacing w:line="209" w:lineRule="exact"/>
              <w:ind w:left="108"/>
              <w:rPr>
                <w:b/>
                <w:sz w:val="20"/>
              </w:rPr>
            </w:pPr>
            <w:r>
              <w:rPr>
                <w:b/>
                <w:sz w:val="20"/>
              </w:rPr>
              <w:t># cazuri</w:t>
            </w:r>
          </w:p>
        </w:tc>
        <w:tc>
          <w:tcPr>
            <w:tcW w:w="1907" w:type="dxa"/>
            <w:tcBorders>
              <w:bottom w:val="single" w:sz="12" w:space="0" w:color="000000"/>
            </w:tcBorders>
          </w:tcPr>
          <w:p>
            <w:pPr>
              <w:pStyle w:val="TableParagraph"/>
              <w:spacing w:line="209" w:lineRule="exact"/>
              <w:ind w:left="108"/>
              <w:rPr>
                <w:b/>
                <w:sz w:val="20"/>
              </w:rPr>
            </w:pPr>
            <w:r>
              <w:rPr>
                <w:b/>
                <w:sz w:val="20"/>
              </w:rPr>
              <w:t>Structura (%)</w:t>
            </w:r>
          </w:p>
        </w:tc>
      </w:tr>
      <w:tr>
        <w:trPr>
          <w:trHeight w:val="275" w:hRule="atLeast"/>
        </w:trPr>
        <w:tc>
          <w:tcPr>
            <w:tcW w:w="4969" w:type="dxa"/>
            <w:tcBorders>
              <w:top w:val="single" w:sz="12" w:space="0" w:color="000000"/>
            </w:tcBorders>
          </w:tcPr>
          <w:p>
            <w:pPr>
              <w:pStyle w:val="TableParagraph"/>
              <w:spacing w:line="255" w:lineRule="exact"/>
              <w:ind w:left="108"/>
              <w:rPr>
                <w:sz w:val="24"/>
              </w:rPr>
            </w:pPr>
            <w:r>
              <w:rPr>
                <w:sz w:val="24"/>
              </w:rPr>
              <w:t>Chirurgie, Ortopedie</w:t>
            </w:r>
          </w:p>
        </w:tc>
        <w:tc>
          <w:tcPr>
            <w:tcW w:w="1980" w:type="dxa"/>
            <w:tcBorders>
              <w:top w:val="single" w:sz="12" w:space="0" w:color="000000"/>
            </w:tcBorders>
          </w:tcPr>
          <w:p>
            <w:pPr>
              <w:pStyle w:val="TableParagraph"/>
              <w:spacing w:line="255" w:lineRule="exact"/>
              <w:ind w:right="800"/>
              <w:jc w:val="right"/>
              <w:rPr>
                <w:sz w:val="24"/>
              </w:rPr>
            </w:pPr>
            <w:r>
              <w:rPr>
                <w:sz w:val="24"/>
              </w:rPr>
              <w:t>429</w:t>
            </w:r>
          </w:p>
        </w:tc>
        <w:tc>
          <w:tcPr>
            <w:tcW w:w="1907" w:type="dxa"/>
            <w:tcBorders>
              <w:top w:val="single" w:sz="12" w:space="0" w:color="000000"/>
            </w:tcBorders>
          </w:tcPr>
          <w:p>
            <w:pPr>
              <w:pStyle w:val="TableParagraph"/>
              <w:spacing w:line="255" w:lineRule="exact"/>
              <w:ind w:left="615"/>
              <w:rPr>
                <w:sz w:val="24"/>
              </w:rPr>
            </w:pPr>
            <w:r>
              <w:rPr>
                <w:sz w:val="24"/>
              </w:rPr>
              <w:t>25,5 %</w:t>
            </w:r>
          </w:p>
        </w:tc>
      </w:tr>
      <w:tr>
        <w:trPr>
          <w:trHeight w:val="277" w:hRule="atLeast"/>
        </w:trPr>
        <w:tc>
          <w:tcPr>
            <w:tcW w:w="4969" w:type="dxa"/>
          </w:tcPr>
          <w:p>
            <w:pPr>
              <w:pStyle w:val="TableParagraph"/>
              <w:spacing w:line="257" w:lineRule="exact" w:before="1"/>
              <w:ind w:left="108"/>
              <w:rPr>
                <w:sz w:val="24"/>
              </w:rPr>
            </w:pPr>
            <w:r>
              <w:rPr>
                <w:sz w:val="24"/>
              </w:rPr>
              <w:t>ATI, arsuri</w:t>
            </w:r>
          </w:p>
        </w:tc>
        <w:tc>
          <w:tcPr>
            <w:tcW w:w="1980" w:type="dxa"/>
          </w:tcPr>
          <w:p>
            <w:pPr>
              <w:pStyle w:val="TableParagraph"/>
              <w:spacing w:line="257" w:lineRule="exact" w:before="1"/>
              <w:ind w:right="800"/>
              <w:jc w:val="right"/>
              <w:rPr>
                <w:sz w:val="24"/>
              </w:rPr>
            </w:pPr>
            <w:r>
              <w:rPr>
                <w:sz w:val="24"/>
              </w:rPr>
              <w:t>237</w:t>
            </w:r>
          </w:p>
        </w:tc>
        <w:tc>
          <w:tcPr>
            <w:tcW w:w="1907" w:type="dxa"/>
          </w:tcPr>
          <w:p>
            <w:pPr>
              <w:pStyle w:val="TableParagraph"/>
              <w:spacing w:line="257" w:lineRule="exact" w:before="1"/>
              <w:ind w:left="615"/>
              <w:rPr>
                <w:sz w:val="24"/>
              </w:rPr>
            </w:pPr>
            <w:r>
              <w:rPr>
                <w:sz w:val="24"/>
              </w:rPr>
              <w:t>14,1 %</w:t>
            </w:r>
          </w:p>
        </w:tc>
      </w:tr>
      <w:tr>
        <w:trPr>
          <w:trHeight w:val="275" w:hRule="atLeast"/>
        </w:trPr>
        <w:tc>
          <w:tcPr>
            <w:tcW w:w="4969" w:type="dxa"/>
          </w:tcPr>
          <w:p>
            <w:pPr>
              <w:pStyle w:val="TableParagraph"/>
              <w:spacing w:line="256" w:lineRule="exact"/>
              <w:ind w:left="108"/>
              <w:rPr>
                <w:sz w:val="24"/>
              </w:rPr>
            </w:pPr>
            <w:r>
              <w:rPr>
                <w:sz w:val="24"/>
              </w:rPr>
              <w:t>Gastroenterologie</w:t>
            </w:r>
          </w:p>
        </w:tc>
        <w:tc>
          <w:tcPr>
            <w:tcW w:w="1980" w:type="dxa"/>
          </w:tcPr>
          <w:p>
            <w:pPr>
              <w:pStyle w:val="TableParagraph"/>
              <w:spacing w:line="256" w:lineRule="exact"/>
              <w:ind w:right="800"/>
              <w:jc w:val="right"/>
              <w:rPr>
                <w:sz w:val="24"/>
              </w:rPr>
            </w:pPr>
            <w:r>
              <w:rPr>
                <w:sz w:val="24"/>
              </w:rPr>
              <w:t>202</w:t>
            </w:r>
          </w:p>
        </w:tc>
        <w:tc>
          <w:tcPr>
            <w:tcW w:w="1907" w:type="dxa"/>
          </w:tcPr>
          <w:p>
            <w:pPr>
              <w:pStyle w:val="TableParagraph"/>
              <w:spacing w:line="256" w:lineRule="exact"/>
              <w:ind w:left="615"/>
              <w:rPr>
                <w:sz w:val="24"/>
              </w:rPr>
            </w:pPr>
            <w:r>
              <w:rPr>
                <w:sz w:val="24"/>
              </w:rPr>
              <w:t>12,0 %</w:t>
            </w:r>
          </w:p>
        </w:tc>
      </w:tr>
      <w:tr>
        <w:trPr>
          <w:trHeight w:val="275" w:hRule="atLeast"/>
        </w:trPr>
        <w:tc>
          <w:tcPr>
            <w:tcW w:w="4969" w:type="dxa"/>
          </w:tcPr>
          <w:p>
            <w:pPr>
              <w:pStyle w:val="TableParagraph"/>
              <w:spacing w:line="256" w:lineRule="exact"/>
              <w:ind w:left="108"/>
              <w:rPr>
                <w:sz w:val="24"/>
              </w:rPr>
            </w:pPr>
            <w:r>
              <w:rPr>
                <w:sz w:val="24"/>
              </w:rPr>
              <w:t>Medicala, geriatrie</w:t>
            </w:r>
          </w:p>
        </w:tc>
        <w:tc>
          <w:tcPr>
            <w:tcW w:w="1980" w:type="dxa"/>
          </w:tcPr>
          <w:p>
            <w:pPr>
              <w:pStyle w:val="TableParagraph"/>
              <w:spacing w:line="256" w:lineRule="exact"/>
              <w:ind w:right="800"/>
              <w:jc w:val="right"/>
              <w:rPr>
                <w:sz w:val="24"/>
              </w:rPr>
            </w:pPr>
            <w:r>
              <w:rPr>
                <w:sz w:val="24"/>
              </w:rPr>
              <w:t>168</w:t>
            </w:r>
          </w:p>
        </w:tc>
        <w:tc>
          <w:tcPr>
            <w:tcW w:w="1907" w:type="dxa"/>
          </w:tcPr>
          <w:p>
            <w:pPr>
              <w:pStyle w:val="TableParagraph"/>
              <w:spacing w:line="256" w:lineRule="exact"/>
              <w:ind w:left="615"/>
              <w:rPr>
                <w:sz w:val="24"/>
              </w:rPr>
            </w:pPr>
            <w:r>
              <w:rPr>
                <w:sz w:val="24"/>
              </w:rPr>
              <w:t>10,0 %</w:t>
            </w:r>
          </w:p>
        </w:tc>
      </w:tr>
      <w:tr>
        <w:trPr>
          <w:trHeight w:val="275" w:hRule="atLeast"/>
        </w:trPr>
        <w:tc>
          <w:tcPr>
            <w:tcW w:w="4969" w:type="dxa"/>
          </w:tcPr>
          <w:p>
            <w:pPr>
              <w:pStyle w:val="TableParagraph"/>
              <w:spacing w:line="256" w:lineRule="exact"/>
              <w:ind w:left="108"/>
              <w:rPr>
                <w:sz w:val="24"/>
              </w:rPr>
            </w:pPr>
            <w:r>
              <w:rPr>
                <w:sz w:val="24"/>
              </w:rPr>
              <w:t>Cardiologie</w:t>
            </w:r>
          </w:p>
        </w:tc>
        <w:tc>
          <w:tcPr>
            <w:tcW w:w="1980" w:type="dxa"/>
          </w:tcPr>
          <w:p>
            <w:pPr>
              <w:pStyle w:val="TableParagraph"/>
              <w:spacing w:line="256" w:lineRule="exact"/>
              <w:ind w:right="800"/>
              <w:jc w:val="right"/>
              <w:rPr>
                <w:sz w:val="24"/>
              </w:rPr>
            </w:pPr>
            <w:r>
              <w:rPr>
                <w:sz w:val="24"/>
              </w:rPr>
              <w:t>128</w:t>
            </w:r>
          </w:p>
        </w:tc>
        <w:tc>
          <w:tcPr>
            <w:tcW w:w="1907" w:type="dxa"/>
          </w:tcPr>
          <w:p>
            <w:pPr>
              <w:pStyle w:val="TableParagraph"/>
              <w:spacing w:line="256" w:lineRule="exact"/>
              <w:ind w:left="655" w:right="642"/>
              <w:jc w:val="center"/>
              <w:rPr>
                <w:sz w:val="24"/>
              </w:rPr>
            </w:pPr>
            <w:r>
              <w:rPr>
                <w:sz w:val="24"/>
              </w:rPr>
              <w:t>7,6 %</w:t>
            </w:r>
          </w:p>
        </w:tc>
      </w:tr>
      <w:tr>
        <w:trPr>
          <w:trHeight w:val="275" w:hRule="atLeast"/>
        </w:trPr>
        <w:tc>
          <w:tcPr>
            <w:tcW w:w="4969" w:type="dxa"/>
          </w:tcPr>
          <w:p>
            <w:pPr>
              <w:pStyle w:val="TableParagraph"/>
              <w:spacing w:line="256" w:lineRule="exact"/>
              <w:ind w:left="108"/>
              <w:rPr>
                <w:sz w:val="24"/>
              </w:rPr>
            </w:pPr>
            <w:r>
              <w:rPr>
                <w:sz w:val="24"/>
              </w:rPr>
              <w:t>Nefrologie, Urologie</w:t>
            </w:r>
          </w:p>
        </w:tc>
        <w:tc>
          <w:tcPr>
            <w:tcW w:w="1980" w:type="dxa"/>
          </w:tcPr>
          <w:p>
            <w:pPr>
              <w:pStyle w:val="TableParagraph"/>
              <w:spacing w:line="256" w:lineRule="exact"/>
              <w:ind w:right="800"/>
              <w:jc w:val="right"/>
              <w:rPr>
                <w:sz w:val="24"/>
              </w:rPr>
            </w:pPr>
            <w:r>
              <w:rPr>
                <w:sz w:val="24"/>
              </w:rPr>
              <w:t>113</w:t>
            </w:r>
          </w:p>
        </w:tc>
        <w:tc>
          <w:tcPr>
            <w:tcW w:w="1907" w:type="dxa"/>
          </w:tcPr>
          <w:p>
            <w:pPr>
              <w:pStyle w:val="TableParagraph"/>
              <w:spacing w:line="256" w:lineRule="exact"/>
              <w:ind w:left="655" w:right="642"/>
              <w:jc w:val="center"/>
              <w:rPr>
                <w:sz w:val="24"/>
              </w:rPr>
            </w:pPr>
            <w:r>
              <w:rPr>
                <w:sz w:val="24"/>
              </w:rPr>
              <w:t>6,7 %</w:t>
            </w:r>
          </w:p>
        </w:tc>
      </w:tr>
      <w:tr>
        <w:trPr>
          <w:trHeight w:val="275" w:hRule="atLeast"/>
        </w:trPr>
        <w:tc>
          <w:tcPr>
            <w:tcW w:w="4969" w:type="dxa"/>
          </w:tcPr>
          <w:p>
            <w:pPr>
              <w:pStyle w:val="TableParagraph"/>
              <w:spacing w:line="256" w:lineRule="exact"/>
              <w:ind w:left="108"/>
              <w:rPr>
                <w:sz w:val="24"/>
              </w:rPr>
            </w:pPr>
            <w:r>
              <w:rPr>
                <w:sz w:val="24"/>
              </w:rPr>
              <w:t>Oncologie, Hematologie, Transplant medular</w:t>
            </w:r>
          </w:p>
        </w:tc>
        <w:tc>
          <w:tcPr>
            <w:tcW w:w="1980" w:type="dxa"/>
          </w:tcPr>
          <w:p>
            <w:pPr>
              <w:pStyle w:val="TableParagraph"/>
              <w:spacing w:line="256" w:lineRule="exact"/>
              <w:ind w:left="849" w:right="841"/>
              <w:jc w:val="center"/>
              <w:rPr>
                <w:sz w:val="24"/>
              </w:rPr>
            </w:pPr>
            <w:r>
              <w:rPr>
                <w:sz w:val="24"/>
              </w:rPr>
              <w:t>93</w:t>
            </w:r>
          </w:p>
        </w:tc>
        <w:tc>
          <w:tcPr>
            <w:tcW w:w="1907" w:type="dxa"/>
          </w:tcPr>
          <w:p>
            <w:pPr>
              <w:pStyle w:val="TableParagraph"/>
              <w:spacing w:line="256" w:lineRule="exact"/>
              <w:ind w:left="655" w:right="642"/>
              <w:jc w:val="center"/>
              <w:rPr>
                <w:sz w:val="24"/>
              </w:rPr>
            </w:pPr>
            <w:r>
              <w:rPr>
                <w:sz w:val="24"/>
              </w:rPr>
              <w:t>5,5 %</w:t>
            </w:r>
          </w:p>
        </w:tc>
      </w:tr>
      <w:tr>
        <w:trPr>
          <w:trHeight w:val="278" w:hRule="atLeast"/>
        </w:trPr>
        <w:tc>
          <w:tcPr>
            <w:tcW w:w="4969" w:type="dxa"/>
          </w:tcPr>
          <w:p>
            <w:pPr>
              <w:pStyle w:val="TableParagraph"/>
              <w:spacing w:line="257" w:lineRule="exact" w:before="2"/>
              <w:ind w:left="108"/>
              <w:rPr>
                <w:sz w:val="24"/>
              </w:rPr>
            </w:pPr>
            <w:r>
              <w:rPr>
                <w:sz w:val="24"/>
              </w:rPr>
              <w:t>Neurologie, Psihiatrie</w:t>
            </w:r>
          </w:p>
        </w:tc>
        <w:tc>
          <w:tcPr>
            <w:tcW w:w="1980" w:type="dxa"/>
          </w:tcPr>
          <w:p>
            <w:pPr>
              <w:pStyle w:val="TableParagraph"/>
              <w:spacing w:line="257" w:lineRule="exact" w:before="2"/>
              <w:ind w:left="849" w:right="841"/>
              <w:jc w:val="center"/>
              <w:rPr>
                <w:sz w:val="24"/>
              </w:rPr>
            </w:pPr>
            <w:r>
              <w:rPr>
                <w:sz w:val="24"/>
              </w:rPr>
              <w:t>79</w:t>
            </w:r>
          </w:p>
        </w:tc>
        <w:tc>
          <w:tcPr>
            <w:tcW w:w="1907" w:type="dxa"/>
          </w:tcPr>
          <w:p>
            <w:pPr>
              <w:pStyle w:val="TableParagraph"/>
              <w:spacing w:line="257" w:lineRule="exact" w:before="2"/>
              <w:ind w:left="655" w:right="642"/>
              <w:jc w:val="center"/>
              <w:rPr>
                <w:sz w:val="24"/>
              </w:rPr>
            </w:pPr>
            <w:r>
              <w:rPr>
                <w:sz w:val="24"/>
              </w:rPr>
              <w:t>4,7 %</w:t>
            </w:r>
          </w:p>
        </w:tc>
      </w:tr>
      <w:tr>
        <w:trPr>
          <w:trHeight w:val="275" w:hRule="atLeast"/>
        </w:trPr>
        <w:tc>
          <w:tcPr>
            <w:tcW w:w="4969" w:type="dxa"/>
          </w:tcPr>
          <w:p>
            <w:pPr>
              <w:pStyle w:val="TableParagraph"/>
              <w:spacing w:line="256" w:lineRule="exact"/>
              <w:ind w:left="108"/>
              <w:rPr>
                <w:sz w:val="24"/>
              </w:rPr>
            </w:pPr>
            <w:r>
              <w:rPr>
                <w:sz w:val="24"/>
              </w:rPr>
              <w:t>Neurochirurgie, Recuperare</w:t>
            </w:r>
          </w:p>
        </w:tc>
        <w:tc>
          <w:tcPr>
            <w:tcW w:w="1980" w:type="dxa"/>
          </w:tcPr>
          <w:p>
            <w:pPr>
              <w:pStyle w:val="TableParagraph"/>
              <w:spacing w:line="256" w:lineRule="exact"/>
              <w:ind w:left="849" w:right="841"/>
              <w:jc w:val="center"/>
              <w:rPr>
                <w:sz w:val="24"/>
              </w:rPr>
            </w:pPr>
            <w:r>
              <w:rPr>
                <w:sz w:val="24"/>
              </w:rPr>
              <w:t>74</w:t>
            </w:r>
          </w:p>
        </w:tc>
        <w:tc>
          <w:tcPr>
            <w:tcW w:w="1907" w:type="dxa"/>
          </w:tcPr>
          <w:p>
            <w:pPr>
              <w:pStyle w:val="TableParagraph"/>
              <w:spacing w:line="256" w:lineRule="exact"/>
              <w:ind w:left="655" w:right="642"/>
              <w:jc w:val="center"/>
              <w:rPr>
                <w:sz w:val="24"/>
              </w:rPr>
            </w:pPr>
            <w:r>
              <w:rPr>
                <w:sz w:val="24"/>
              </w:rPr>
              <w:t>4,4 %</w:t>
            </w:r>
          </w:p>
        </w:tc>
      </w:tr>
      <w:tr>
        <w:trPr>
          <w:trHeight w:val="275" w:hRule="atLeast"/>
        </w:trPr>
        <w:tc>
          <w:tcPr>
            <w:tcW w:w="4969" w:type="dxa"/>
          </w:tcPr>
          <w:p>
            <w:pPr>
              <w:pStyle w:val="TableParagraph"/>
              <w:spacing w:line="256" w:lineRule="exact"/>
              <w:ind w:left="108"/>
              <w:rPr>
                <w:sz w:val="24"/>
              </w:rPr>
            </w:pPr>
            <w:r>
              <w:rPr>
                <w:sz w:val="24"/>
              </w:rPr>
              <w:t>Obst - Gine</w:t>
            </w:r>
          </w:p>
        </w:tc>
        <w:tc>
          <w:tcPr>
            <w:tcW w:w="1980" w:type="dxa"/>
          </w:tcPr>
          <w:p>
            <w:pPr>
              <w:pStyle w:val="TableParagraph"/>
              <w:spacing w:line="256" w:lineRule="exact"/>
              <w:ind w:left="849" w:right="841"/>
              <w:jc w:val="center"/>
              <w:rPr>
                <w:sz w:val="24"/>
              </w:rPr>
            </w:pPr>
            <w:r>
              <w:rPr>
                <w:sz w:val="24"/>
              </w:rPr>
              <w:t>59</w:t>
            </w:r>
          </w:p>
        </w:tc>
        <w:tc>
          <w:tcPr>
            <w:tcW w:w="1907" w:type="dxa"/>
          </w:tcPr>
          <w:p>
            <w:pPr>
              <w:pStyle w:val="TableParagraph"/>
              <w:spacing w:line="256" w:lineRule="exact"/>
              <w:ind w:left="655" w:right="642"/>
              <w:jc w:val="center"/>
              <w:rPr>
                <w:sz w:val="24"/>
              </w:rPr>
            </w:pPr>
            <w:r>
              <w:rPr>
                <w:sz w:val="24"/>
              </w:rPr>
              <w:t>3,5 %</w:t>
            </w:r>
          </w:p>
        </w:tc>
      </w:tr>
      <w:tr>
        <w:trPr>
          <w:trHeight w:val="275" w:hRule="atLeast"/>
        </w:trPr>
        <w:tc>
          <w:tcPr>
            <w:tcW w:w="4969" w:type="dxa"/>
          </w:tcPr>
          <w:p>
            <w:pPr>
              <w:pStyle w:val="TableParagraph"/>
              <w:spacing w:line="256" w:lineRule="exact"/>
              <w:ind w:left="108"/>
              <w:rPr>
                <w:sz w:val="24"/>
              </w:rPr>
            </w:pPr>
            <w:r>
              <w:rPr>
                <w:sz w:val="24"/>
              </w:rPr>
              <w:t>TB, Pneumo, ORL</w:t>
            </w:r>
          </w:p>
        </w:tc>
        <w:tc>
          <w:tcPr>
            <w:tcW w:w="1980" w:type="dxa"/>
          </w:tcPr>
          <w:p>
            <w:pPr>
              <w:pStyle w:val="TableParagraph"/>
              <w:spacing w:line="256" w:lineRule="exact"/>
              <w:ind w:left="849" w:right="841"/>
              <w:jc w:val="center"/>
              <w:rPr>
                <w:sz w:val="24"/>
              </w:rPr>
            </w:pPr>
            <w:r>
              <w:rPr>
                <w:sz w:val="24"/>
              </w:rPr>
              <w:t>54</w:t>
            </w:r>
          </w:p>
        </w:tc>
        <w:tc>
          <w:tcPr>
            <w:tcW w:w="1907" w:type="dxa"/>
          </w:tcPr>
          <w:p>
            <w:pPr>
              <w:pStyle w:val="TableParagraph"/>
              <w:spacing w:line="256" w:lineRule="exact"/>
              <w:ind w:left="655" w:right="642"/>
              <w:jc w:val="center"/>
              <w:rPr>
                <w:sz w:val="24"/>
              </w:rPr>
            </w:pPr>
            <w:r>
              <w:rPr>
                <w:sz w:val="24"/>
              </w:rPr>
              <w:t>3,2 %</w:t>
            </w:r>
          </w:p>
        </w:tc>
      </w:tr>
      <w:tr>
        <w:trPr>
          <w:trHeight w:val="275" w:hRule="atLeast"/>
        </w:trPr>
        <w:tc>
          <w:tcPr>
            <w:tcW w:w="4969" w:type="dxa"/>
            <w:tcBorders>
              <w:bottom w:val="single" w:sz="12" w:space="0" w:color="000000"/>
            </w:tcBorders>
          </w:tcPr>
          <w:p>
            <w:pPr>
              <w:pStyle w:val="TableParagraph"/>
              <w:spacing w:line="255" w:lineRule="exact"/>
              <w:ind w:left="108"/>
              <w:rPr>
                <w:sz w:val="24"/>
              </w:rPr>
            </w:pPr>
            <w:r>
              <w:rPr>
                <w:sz w:val="24"/>
              </w:rPr>
              <w:t>Pediatrie</w:t>
            </w:r>
          </w:p>
        </w:tc>
        <w:tc>
          <w:tcPr>
            <w:tcW w:w="1980" w:type="dxa"/>
            <w:tcBorders>
              <w:bottom w:val="single" w:sz="12" w:space="0" w:color="000000"/>
            </w:tcBorders>
          </w:tcPr>
          <w:p>
            <w:pPr>
              <w:pStyle w:val="TableParagraph"/>
              <w:spacing w:line="255" w:lineRule="exact"/>
              <w:ind w:left="849" w:right="841"/>
              <w:jc w:val="center"/>
              <w:rPr>
                <w:sz w:val="24"/>
              </w:rPr>
            </w:pPr>
            <w:r>
              <w:rPr>
                <w:sz w:val="24"/>
              </w:rPr>
              <w:t>44</w:t>
            </w:r>
          </w:p>
        </w:tc>
        <w:tc>
          <w:tcPr>
            <w:tcW w:w="1907" w:type="dxa"/>
            <w:tcBorders>
              <w:bottom w:val="single" w:sz="12" w:space="0" w:color="000000"/>
            </w:tcBorders>
          </w:tcPr>
          <w:p>
            <w:pPr>
              <w:pStyle w:val="TableParagraph"/>
              <w:spacing w:line="255" w:lineRule="exact"/>
              <w:ind w:left="655" w:right="642"/>
              <w:jc w:val="center"/>
              <w:rPr>
                <w:sz w:val="24"/>
              </w:rPr>
            </w:pPr>
            <w:r>
              <w:rPr>
                <w:sz w:val="24"/>
              </w:rPr>
              <w:t>2,6 %</w:t>
            </w:r>
          </w:p>
        </w:tc>
      </w:tr>
      <w:tr>
        <w:trPr>
          <w:trHeight w:val="277" w:hRule="atLeast"/>
        </w:trPr>
        <w:tc>
          <w:tcPr>
            <w:tcW w:w="4969" w:type="dxa"/>
            <w:tcBorders>
              <w:top w:val="single" w:sz="12" w:space="0" w:color="000000"/>
            </w:tcBorders>
          </w:tcPr>
          <w:p>
            <w:pPr>
              <w:pStyle w:val="TableParagraph"/>
              <w:spacing w:line="257" w:lineRule="exact" w:before="1"/>
              <w:ind w:left="1737" w:right="1726"/>
              <w:jc w:val="center"/>
              <w:rPr>
                <w:b/>
                <w:sz w:val="24"/>
              </w:rPr>
            </w:pPr>
            <w:r>
              <w:rPr>
                <w:b/>
                <w:sz w:val="24"/>
              </w:rPr>
              <w:t>TOTAL</w:t>
            </w:r>
          </w:p>
        </w:tc>
        <w:tc>
          <w:tcPr>
            <w:tcW w:w="1980" w:type="dxa"/>
            <w:tcBorders>
              <w:top w:val="single" w:sz="12" w:space="0" w:color="000000"/>
            </w:tcBorders>
          </w:tcPr>
          <w:p>
            <w:pPr>
              <w:pStyle w:val="TableParagraph"/>
              <w:spacing w:line="257" w:lineRule="exact" w:before="1"/>
              <w:ind w:right="740"/>
              <w:jc w:val="right"/>
              <w:rPr>
                <w:b/>
                <w:sz w:val="24"/>
              </w:rPr>
            </w:pPr>
            <w:r>
              <w:rPr>
                <w:b/>
                <w:sz w:val="24"/>
              </w:rPr>
              <w:t>1683</w:t>
            </w:r>
          </w:p>
        </w:tc>
        <w:tc>
          <w:tcPr>
            <w:tcW w:w="1907" w:type="dxa"/>
            <w:tcBorders>
              <w:top w:val="single" w:sz="12" w:space="0" w:color="000000"/>
            </w:tcBorders>
          </w:tcPr>
          <w:p>
            <w:pPr>
              <w:pStyle w:val="TableParagraph"/>
              <w:spacing w:line="257" w:lineRule="exact" w:before="1"/>
              <w:ind w:left="654" w:right="642"/>
              <w:jc w:val="center"/>
              <w:rPr>
                <w:b/>
                <w:sz w:val="24"/>
              </w:rPr>
            </w:pPr>
            <w:r>
              <w:rPr>
                <w:b/>
                <w:sz w:val="24"/>
              </w:rPr>
              <w:t>100,0</w:t>
            </w:r>
          </w:p>
        </w:tc>
      </w:tr>
    </w:tbl>
    <w:p>
      <w:pPr>
        <w:pStyle w:val="BodyText"/>
        <w:spacing w:before="10"/>
        <w:ind w:left="0"/>
        <w:rPr>
          <w:sz w:val="23"/>
        </w:rPr>
      </w:pPr>
    </w:p>
    <w:p>
      <w:pPr>
        <w:pStyle w:val="BodyText"/>
        <w:ind w:left="233" w:right="880"/>
      </w:pPr>
      <w:r>
        <w:rPr/>
        <w:t>La cele 1683 de cazuri raportate de un grup de 22 de spitale publice si private se adauga 588 de cazuri raportate de cele doua spitale de boli infectioase din Bucuresti, deci in total 2271 de cazuri.</w:t>
      </w:r>
    </w:p>
    <w:p>
      <w:pPr>
        <w:pStyle w:val="BodyText"/>
        <w:ind w:left="233" w:right="1873"/>
      </w:pPr>
      <w:r>
        <w:rPr/>
        <w:t>Din grupul spitalelor fara profil de boli infectioase, cele mai frecvente cazuri au provenit din departamentele de chirurgie si ortopedie (25,5%) si 63,5 % cazuri au intrunit criteriile de nosocomialitate.</w:t>
      </w:r>
    </w:p>
    <w:p>
      <w:pPr>
        <w:pStyle w:val="BodyText"/>
        <w:spacing w:before="1"/>
        <w:ind w:left="0"/>
      </w:pPr>
    </w:p>
    <w:p>
      <w:pPr>
        <w:pStyle w:val="BodyText"/>
        <w:ind w:left="233"/>
      </w:pPr>
      <w:r>
        <w:rPr/>
        <w:t>Au fost formulate urmatoarele recomandari:</w:t>
      </w:r>
    </w:p>
    <w:p>
      <w:pPr>
        <w:pStyle w:val="ListParagraph"/>
        <w:numPr>
          <w:ilvl w:val="0"/>
          <w:numId w:val="2"/>
        </w:numPr>
        <w:tabs>
          <w:tab w:pos="373" w:val="left" w:leader="none"/>
        </w:tabs>
        <w:spacing w:line="240" w:lineRule="auto" w:before="0" w:after="0"/>
        <w:ind w:left="372" w:right="0" w:hanging="140"/>
        <w:jc w:val="left"/>
        <w:rPr>
          <w:sz w:val="24"/>
        </w:rPr>
      </w:pPr>
      <w:r>
        <w:rPr>
          <w:sz w:val="24"/>
        </w:rPr>
        <w:t>Controlul si prevenirea ICD au constituit  prioritatea in unitatea</w:t>
      </w:r>
      <w:r>
        <w:rPr>
          <w:spacing w:val="-15"/>
          <w:sz w:val="24"/>
        </w:rPr>
        <w:t> </w:t>
      </w:r>
      <w:r>
        <w:rPr>
          <w:sz w:val="24"/>
        </w:rPr>
        <w:t>sanitara;</w:t>
      </w:r>
    </w:p>
    <w:p>
      <w:pPr>
        <w:pStyle w:val="ListParagraph"/>
        <w:numPr>
          <w:ilvl w:val="0"/>
          <w:numId w:val="2"/>
        </w:numPr>
        <w:tabs>
          <w:tab w:pos="375" w:val="left" w:leader="none"/>
        </w:tabs>
        <w:spacing w:line="240" w:lineRule="auto" w:before="0" w:after="0"/>
        <w:ind w:left="374" w:right="0" w:hanging="142"/>
        <w:jc w:val="left"/>
        <w:rPr>
          <w:sz w:val="24"/>
        </w:rPr>
      </w:pPr>
      <w:r>
        <w:rPr>
          <w:sz w:val="24"/>
        </w:rPr>
        <w:t>Instituirea de precautiuni de contact in cazul pacientii cu ICD</w:t>
      </w:r>
      <w:r>
        <w:rPr>
          <w:spacing w:val="-20"/>
          <w:sz w:val="24"/>
        </w:rPr>
        <w:t> </w:t>
      </w:r>
      <w:r>
        <w:rPr>
          <w:sz w:val="24"/>
        </w:rPr>
        <w:t>confirmata</w:t>
      </w:r>
    </w:p>
    <w:p>
      <w:pPr>
        <w:pStyle w:val="ListParagraph"/>
        <w:numPr>
          <w:ilvl w:val="0"/>
          <w:numId w:val="2"/>
        </w:numPr>
        <w:tabs>
          <w:tab w:pos="375" w:val="left" w:leader="none"/>
        </w:tabs>
        <w:spacing w:line="240" w:lineRule="auto" w:before="0" w:after="0"/>
        <w:ind w:left="374" w:right="0" w:hanging="142"/>
        <w:jc w:val="left"/>
        <w:rPr>
          <w:sz w:val="24"/>
        </w:rPr>
      </w:pPr>
      <w:r>
        <w:rPr>
          <w:sz w:val="24"/>
        </w:rPr>
        <w:t>La pacientii cu ICD mentinerea precautiunilor de contact pana la</w:t>
      </w:r>
      <w:r>
        <w:rPr>
          <w:spacing w:val="-5"/>
          <w:sz w:val="24"/>
        </w:rPr>
        <w:t> </w:t>
      </w:r>
      <w:r>
        <w:rPr>
          <w:sz w:val="24"/>
        </w:rPr>
        <w:t>externare</w:t>
      </w:r>
    </w:p>
    <w:p>
      <w:pPr>
        <w:pStyle w:val="ListParagraph"/>
        <w:numPr>
          <w:ilvl w:val="0"/>
          <w:numId w:val="2"/>
        </w:numPr>
        <w:tabs>
          <w:tab w:pos="373" w:val="left" w:leader="none"/>
        </w:tabs>
        <w:spacing w:line="240" w:lineRule="auto" w:before="0" w:after="0"/>
        <w:ind w:left="372" w:right="0" w:hanging="140"/>
        <w:jc w:val="left"/>
        <w:rPr>
          <w:sz w:val="24"/>
        </w:rPr>
      </w:pPr>
      <w:r>
        <w:rPr>
          <w:sz w:val="24"/>
        </w:rPr>
        <w:t>Plasarea pacientilor suspecti de ICD in regim de precautiuni de</w:t>
      </w:r>
      <w:r>
        <w:rPr>
          <w:spacing w:val="-1"/>
          <w:sz w:val="24"/>
        </w:rPr>
        <w:t> </w:t>
      </w:r>
      <w:r>
        <w:rPr>
          <w:sz w:val="24"/>
        </w:rPr>
        <w:t>contact</w:t>
      </w:r>
    </w:p>
    <w:p>
      <w:pPr>
        <w:pStyle w:val="ListParagraph"/>
        <w:numPr>
          <w:ilvl w:val="0"/>
          <w:numId w:val="2"/>
        </w:numPr>
        <w:tabs>
          <w:tab w:pos="373" w:val="left" w:leader="none"/>
        </w:tabs>
        <w:spacing w:line="240" w:lineRule="auto" w:before="0" w:after="0"/>
        <w:ind w:left="372" w:right="0" w:hanging="140"/>
        <w:jc w:val="left"/>
        <w:rPr>
          <w:sz w:val="24"/>
        </w:rPr>
      </w:pPr>
      <w:r>
        <w:rPr>
          <w:sz w:val="24"/>
        </w:rPr>
        <w:t>Dedicarea de echipament medical noncritic pentru pacientii cu</w:t>
      </w:r>
      <w:r>
        <w:rPr>
          <w:spacing w:val="-1"/>
          <w:sz w:val="24"/>
        </w:rPr>
        <w:t> </w:t>
      </w:r>
      <w:r>
        <w:rPr>
          <w:sz w:val="24"/>
        </w:rPr>
        <w:t>ICD</w:t>
      </w:r>
    </w:p>
    <w:p>
      <w:pPr>
        <w:pStyle w:val="ListParagraph"/>
        <w:numPr>
          <w:ilvl w:val="0"/>
          <w:numId w:val="2"/>
        </w:numPr>
        <w:tabs>
          <w:tab w:pos="373" w:val="left" w:leader="none"/>
        </w:tabs>
        <w:spacing w:line="240" w:lineRule="auto" w:before="0" w:after="0"/>
        <w:ind w:left="372" w:right="0" w:hanging="140"/>
        <w:jc w:val="left"/>
        <w:rPr>
          <w:sz w:val="24"/>
        </w:rPr>
      </w:pPr>
      <w:r>
        <w:rPr>
          <w:sz w:val="24"/>
        </w:rPr>
        <w:t>Plasarea pacientilor cu ICD in rezerve (cu un singur pat daca este</w:t>
      </w:r>
      <w:r>
        <w:rPr>
          <w:spacing w:val="-2"/>
          <w:sz w:val="24"/>
        </w:rPr>
        <w:t> </w:t>
      </w:r>
      <w:r>
        <w:rPr>
          <w:sz w:val="24"/>
        </w:rPr>
        <w:t>posibil)</w:t>
      </w:r>
    </w:p>
    <w:p>
      <w:pPr>
        <w:pStyle w:val="ListParagraph"/>
        <w:numPr>
          <w:ilvl w:val="0"/>
          <w:numId w:val="2"/>
        </w:numPr>
        <w:tabs>
          <w:tab w:pos="373" w:val="left" w:leader="none"/>
        </w:tabs>
        <w:spacing w:line="240" w:lineRule="auto" w:before="0" w:after="0"/>
        <w:ind w:left="372" w:right="0" w:hanging="140"/>
        <w:jc w:val="left"/>
        <w:rPr>
          <w:sz w:val="24"/>
        </w:rPr>
      </w:pPr>
      <w:r>
        <w:rPr>
          <w:sz w:val="24"/>
        </w:rPr>
        <w:t>Cohortarea pacientilor cu ICD (daca nu exista rezerve cu pat</w:t>
      </w:r>
      <w:r>
        <w:rPr>
          <w:spacing w:val="-3"/>
          <w:sz w:val="24"/>
        </w:rPr>
        <w:t> </w:t>
      </w:r>
      <w:r>
        <w:rPr>
          <w:sz w:val="24"/>
        </w:rPr>
        <w:t>unic)</w:t>
      </w:r>
    </w:p>
    <w:p>
      <w:pPr>
        <w:pStyle w:val="ListParagraph"/>
        <w:numPr>
          <w:ilvl w:val="0"/>
          <w:numId w:val="2"/>
        </w:numPr>
        <w:tabs>
          <w:tab w:pos="375" w:val="left" w:leader="none"/>
        </w:tabs>
        <w:spacing w:line="240" w:lineRule="auto" w:before="0" w:after="0"/>
        <w:ind w:left="374" w:right="0" w:hanging="142"/>
        <w:jc w:val="left"/>
        <w:rPr>
          <w:sz w:val="24"/>
        </w:rPr>
      </w:pPr>
      <w:r>
        <w:rPr>
          <w:sz w:val="24"/>
        </w:rPr>
        <w:t>Instituirea spalarii mainilor cu apa si sapun ca metoda preferata de igienizare a</w:t>
      </w:r>
      <w:r>
        <w:rPr>
          <w:spacing w:val="-11"/>
          <w:sz w:val="24"/>
        </w:rPr>
        <w:t> </w:t>
      </w:r>
      <w:r>
        <w:rPr>
          <w:sz w:val="24"/>
        </w:rPr>
        <w:t>mainilor</w:t>
      </w:r>
    </w:p>
    <w:p>
      <w:pPr>
        <w:pStyle w:val="ListParagraph"/>
        <w:numPr>
          <w:ilvl w:val="0"/>
          <w:numId w:val="2"/>
        </w:numPr>
        <w:tabs>
          <w:tab w:pos="375" w:val="left" w:leader="none"/>
        </w:tabs>
        <w:spacing w:line="240" w:lineRule="auto" w:before="0" w:after="0"/>
        <w:ind w:left="233" w:right="1428" w:firstLine="0"/>
        <w:jc w:val="left"/>
        <w:rPr>
          <w:sz w:val="24"/>
        </w:rPr>
      </w:pPr>
      <w:r>
        <w:rPr>
          <w:sz w:val="24"/>
        </w:rPr>
        <w:t>Laboratorul de microbiologie, la identificarea unui caz nou de ICD, va informa imediat medicul curant si SPCIN</w:t>
      </w:r>
    </w:p>
    <w:p>
      <w:pPr>
        <w:pStyle w:val="ListParagraph"/>
        <w:numPr>
          <w:ilvl w:val="0"/>
          <w:numId w:val="2"/>
        </w:numPr>
        <w:tabs>
          <w:tab w:pos="375" w:val="left" w:leader="none"/>
        </w:tabs>
        <w:spacing w:line="240" w:lineRule="auto" w:before="0" w:after="0"/>
        <w:ind w:left="374" w:right="0" w:hanging="142"/>
        <w:jc w:val="left"/>
        <w:rPr>
          <w:sz w:val="24"/>
        </w:rPr>
      </w:pPr>
      <w:r>
        <w:rPr>
          <w:sz w:val="24"/>
        </w:rPr>
        <w:t>Instituirea unui program de educatie a personalului privind prevenirea transmiterii</w:t>
      </w:r>
      <w:r>
        <w:rPr>
          <w:spacing w:val="-3"/>
          <w:sz w:val="24"/>
        </w:rPr>
        <w:t> </w:t>
      </w:r>
      <w:r>
        <w:rPr>
          <w:sz w:val="24"/>
        </w:rPr>
        <w:t>ICD</w:t>
      </w:r>
    </w:p>
    <w:p>
      <w:pPr>
        <w:pStyle w:val="ListParagraph"/>
        <w:numPr>
          <w:ilvl w:val="0"/>
          <w:numId w:val="2"/>
        </w:numPr>
        <w:tabs>
          <w:tab w:pos="373" w:val="left" w:leader="none"/>
        </w:tabs>
        <w:spacing w:line="240" w:lineRule="auto" w:before="1" w:after="0"/>
        <w:ind w:left="372" w:right="0" w:hanging="140"/>
        <w:jc w:val="left"/>
        <w:rPr>
          <w:sz w:val="24"/>
        </w:rPr>
      </w:pPr>
      <w:r>
        <w:rPr>
          <w:sz w:val="24"/>
        </w:rPr>
        <w:t>Asigurarea laboratorului cu teste / tehnici de confirmare a etiologiei Cl.</w:t>
      </w:r>
      <w:r>
        <w:rPr>
          <w:spacing w:val="-2"/>
          <w:sz w:val="24"/>
        </w:rPr>
        <w:t> </w:t>
      </w:r>
      <w:r>
        <w:rPr>
          <w:sz w:val="24"/>
        </w:rPr>
        <w:t>difficile</w:t>
      </w:r>
    </w:p>
    <w:p>
      <w:pPr>
        <w:pStyle w:val="ListParagraph"/>
        <w:numPr>
          <w:ilvl w:val="0"/>
          <w:numId w:val="2"/>
        </w:numPr>
        <w:tabs>
          <w:tab w:pos="373" w:val="left" w:leader="none"/>
        </w:tabs>
        <w:spacing w:line="240" w:lineRule="auto" w:before="0" w:after="0"/>
        <w:ind w:left="372" w:right="0" w:hanging="140"/>
        <w:jc w:val="left"/>
        <w:rPr>
          <w:sz w:val="24"/>
        </w:rPr>
      </w:pPr>
      <w:r>
        <w:rPr>
          <w:sz w:val="24"/>
        </w:rPr>
        <w:t>Adoptarea regulilor de rejectie probe: (a) scaun format si (b) duplicate in</w:t>
      </w:r>
      <w:r>
        <w:rPr>
          <w:spacing w:val="-5"/>
          <w:sz w:val="24"/>
        </w:rPr>
        <w:t> </w:t>
      </w:r>
      <w:r>
        <w:rPr>
          <w:sz w:val="24"/>
        </w:rPr>
        <w:t>laborator</w:t>
      </w:r>
    </w:p>
    <w:p>
      <w:pPr>
        <w:pStyle w:val="ListParagraph"/>
        <w:numPr>
          <w:ilvl w:val="0"/>
          <w:numId w:val="2"/>
        </w:numPr>
        <w:tabs>
          <w:tab w:pos="373" w:val="left" w:leader="none"/>
        </w:tabs>
        <w:spacing w:line="240" w:lineRule="auto" w:before="0" w:after="0"/>
        <w:ind w:left="372" w:right="0" w:hanging="140"/>
        <w:jc w:val="left"/>
        <w:rPr>
          <w:sz w:val="24"/>
        </w:rPr>
      </w:pPr>
      <w:r>
        <w:rPr>
          <w:sz w:val="24"/>
        </w:rPr>
        <w:t>Utilizarea de hipoclorit de Na pentru dezinfectia mediului: curenta si</w:t>
      </w:r>
      <w:r>
        <w:rPr>
          <w:spacing w:val="-2"/>
          <w:sz w:val="24"/>
        </w:rPr>
        <w:t> </w:t>
      </w:r>
      <w:r>
        <w:rPr>
          <w:sz w:val="24"/>
        </w:rPr>
        <w:t>terminala</w:t>
      </w:r>
    </w:p>
    <w:p>
      <w:pPr>
        <w:pStyle w:val="ListParagraph"/>
        <w:numPr>
          <w:ilvl w:val="0"/>
          <w:numId w:val="2"/>
        </w:numPr>
        <w:tabs>
          <w:tab w:pos="373" w:val="left" w:leader="none"/>
        </w:tabs>
        <w:spacing w:line="240" w:lineRule="auto" w:before="0" w:after="0"/>
        <w:ind w:left="372" w:right="0" w:hanging="140"/>
        <w:jc w:val="left"/>
        <w:rPr>
          <w:sz w:val="24"/>
        </w:rPr>
      </w:pPr>
      <w:r>
        <w:rPr>
          <w:sz w:val="24"/>
        </w:rPr>
        <w:t>Supravegherea utilizarii agentilor antimicrobieni – promovarea utilizarii</w:t>
      </w:r>
      <w:r>
        <w:rPr>
          <w:spacing w:val="1"/>
          <w:sz w:val="24"/>
        </w:rPr>
        <w:t> </w:t>
      </w:r>
      <w:r>
        <w:rPr>
          <w:sz w:val="24"/>
        </w:rPr>
        <w:t>judicioase</w:t>
      </w:r>
    </w:p>
    <w:p>
      <w:pPr>
        <w:pStyle w:val="ListParagraph"/>
        <w:numPr>
          <w:ilvl w:val="0"/>
          <w:numId w:val="2"/>
        </w:numPr>
        <w:tabs>
          <w:tab w:pos="373" w:val="left" w:leader="none"/>
        </w:tabs>
        <w:spacing w:line="240" w:lineRule="auto" w:before="0" w:after="0"/>
        <w:ind w:left="372" w:right="0" w:hanging="140"/>
        <w:jc w:val="left"/>
        <w:rPr>
          <w:sz w:val="24"/>
        </w:rPr>
      </w:pPr>
      <w:r>
        <w:rPr>
          <w:sz w:val="24"/>
        </w:rPr>
        <w:t>Restrangerea utilizarii anumitor</w:t>
      </w:r>
      <w:r>
        <w:rPr>
          <w:spacing w:val="-2"/>
          <w:sz w:val="24"/>
        </w:rPr>
        <w:t> </w:t>
      </w:r>
      <w:r>
        <w:rPr>
          <w:sz w:val="24"/>
        </w:rPr>
        <w:t>antimicrobiene</w:t>
      </w:r>
    </w:p>
    <w:p>
      <w:pPr>
        <w:pStyle w:val="ListParagraph"/>
        <w:numPr>
          <w:ilvl w:val="0"/>
          <w:numId w:val="2"/>
        </w:numPr>
        <w:tabs>
          <w:tab w:pos="375" w:val="left" w:leader="none"/>
        </w:tabs>
        <w:spacing w:line="240" w:lineRule="auto" w:before="0" w:after="0"/>
        <w:ind w:left="374" w:right="0" w:hanging="142"/>
        <w:jc w:val="left"/>
        <w:rPr>
          <w:sz w:val="24"/>
        </w:rPr>
      </w:pPr>
      <w:r>
        <w:rPr>
          <w:sz w:val="24"/>
        </w:rPr>
        <w:t>Instituiea supravegherii ICD in unitate – calcularea de</w:t>
      </w:r>
      <w:r>
        <w:rPr>
          <w:spacing w:val="3"/>
          <w:sz w:val="24"/>
        </w:rPr>
        <w:t> </w:t>
      </w:r>
      <w:r>
        <w:rPr>
          <w:sz w:val="24"/>
        </w:rPr>
        <w:t>rate</w:t>
      </w:r>
    </w:p>
    <w:p>
      <w:pPr>
        <w:pStyle w:val="ListParagraph"/>
        <w:numPr>
          <w:ilvl w:val="0"/>
          <w:numId w:val="2"/>
        </w:numPr>
        <w:tabs>
          <w:tab w:pos="373" w:val="left" w:leader="none"/>
        </w:tabs>
        <w:spacing w:line="240" w:lineRule="auto" w:before="0" w:after="0"/>
        <w:ind w:left="372" w:right="0" w:hanging="140"/>
        <w:jc w:val="left"/>
        <w:rPr>
          <w:sz w:val="24"/>
        </w:rPr>
      </w:pPr>
      <w:r>
        <w:rPr>
          <w:sz w:val="24"/>
        </w:rPr>
        <w:t>Retroinformarea personalului privind evolutia ratelor ICD in</w:t>
      </w:r>
      <w:r>
        <w:rPr>
          <w:spacing w:val="-1"/>
          <w:sz w:val="24"/>
        </w:rPr>
        <w:t> </w:t>
      </w:r>
      <w:r>
        <w:rPr>
          <w:sz w:val="24"/>
        </w:rPr>
        <w:t>unitate</w:t>
      </w:r>
    </w:p>
    <w:p>
      <w:pPr>
        <w:pStyle w:val="ListParagraph"/>
        <w:numPr>
          <w:ilvl w:val="0"/>
          <w:numId w:val="2"/>
        </w:numPr>
        <w:tabs>
          <w:tab w:pos="373" w:val="left" w:leader="none"/>
        </w:tabs>
        <w:spacing w:line="240" w:lineRule="auto" w:before="0" w:after="0"/>
        <w:ind w:left="372" w:right="0" w:hanging="140"/>
        <w:jc w:val="left"/>
        <w:rPr>
          <w:sz w:val="24"/>
        </w:rPr>
      </w:pPr>
      <w:r>
        <w:rPr>
          <w:sz w:val="24"/>
        </w:rPr>
        <w:t>Masurarea de catre SPCIN a aderentei la regulile de igienizare a</w:t>
      </w:r>
      <w:r>
        <w:rPr>
          <w:spacing w:val="-9"/>
          <w:sz w:val="24"/>
        </w:rPr>
        <w:t> </w:t>
      </w:r>
      <w:r>
        <w:rPr>
          <w:sz w:val="24"/>
        </w:rPr>
        <w:t>mainilor</w:t>
      </w:r>
    </w:p>
    <w:p>
      <w:pPr>
        <w:pStyle w:val="ListParagraph"/>
        <w:numPr>
          <w:ilvl w:val="0"/>
          <w:numId w:val="2"/>
        </w:numPr>
        <w:tabs>
          <w:tab w:pos="373" w:val="left" w:leader="none"/>
        </w:tabs>
        <w:spacing w:line="240" w:lineRule="auto" w:before="0" w:after="0"/>
        <w:ind w:left="372" w:right="0" w:hanging="140"/>
        <w:jc w:val="left"/>
        <w:rPr>
          <w:sz w:val="24"/>
        </w:rPr>
      </w:pPr>
      <w:r>
        <w:rPr>
          <w:sz w:val="24"/>
        </w:rPr>
        <w:t>Monitorizarea/observarea de catre SPCIN a practicilor de dezinfectie a</w:t>
      </w:r>
      <w:r>
        <w:rPr>
          <w:spacing w:val="-10"/>
          <w:sz w:val="24"/>
        </w:rPr>
        <w:t> </w:t>
      </w:r>
      <w:r>
        <w:rPr>
          <w:sz w:val="24"/>
        </w:rPr>
        <w:t>mediului</w:t>
      </w:r>
    </w:p>
    <w:p>
      <w:pPr>
        <w:spacing w:after="0" w:line="240" w:lineRule="auto"/>
        <w:jc w:val="left"/>
        <w:rPr>
          <w:sz w:val="24"/>
        </w:rPr>
        <w:sectPr>
          <w:pgSz w:w="11910" w:h="16840"/>
          <w:pgMar w:header="0" w:footer="738" w:top="1360" w:bottom="920" w:left="900" w:right="0"/>
        </w:sectPr>
      </w:pPr>
    </w:p>
    <w:p>
      <w:pPr>
        <w:pStyle w:val="BodyText"/>
        <w:ind w:left="204"/>
        <w:rPr>
          <w:sz w:val="20"/>
        </w:rPr>
      </w:pPr>
      <w:r>
        <w:rPr>
          <w:sz w:val="20"/>
        </w:rPr>
        <w:pict>
          <v:shape style="width:499.95pt;height:13.8pt;mso-position-horizontal-relative:char;mso-position-vertical-relative:line" type="#_x0000_t202" filled="true" fillcolor="#e6e6e6" stroked="false">
            <w10:anchorlock/>
            <v:textbox inset="0,0,0,0">
              <w:txbxContent>
                <w:p>
                  <w:pPr>
                    <w:spacing w:line="275" w:lineRule="exact" w:before="0"/>
                    <w:ind w:left="1346" w:right="1346" w:firstLine="0"/>
                    <w:jc w:val="center"/>
                    <w:rPr>
                      <w:b/>
                      <w:sz w:val="24"/>
                    </w:rPr>
                  </w:pPr>
                  <w:r>
                    <w:rPr>
                      <w:b/>
                      <w:sz w:val="24"/>
                      <w:u w:val="thick"/>
                    </w:rPr>
                    <w:t>Activitatea antiepidemica in Aeroportul International “Henri Coanda”</w:t>
                  </w:r>
                </w:p>
              </w:txbxContent>
            </v:textbox>
            <v:fill type="solid"/>
          </v:shape>
        </w:pict>
      </w:r>
      <w:r>
        <w:rPr>
          <w:sz w:val="20"/>
        </w:rPr>
      </w:r>
    </w:p>
    <w:p>
      <w:pPr>
        <w:pStyle w:val="BodyText"/>
        <w:ind w:left="0"/>
        <w:rPr>
          <w:sz w:val="14"/>
        </w:rPr>
      </w:pPr>
    </w:p>
    <w:p>
      <w:pPr>
        <w:pStyle w:val="BodyText"/>
        <w:spacing w:before="90"/>
        <w:ind w:left="233" w:right="900" w:firstLine="60"/>
      </w:pPr>
      <w:r>
        <w:rPr/>
        <w:t>Compartimentul de supraveghere / control BT detine personal special alocat activitatilor antiepidemice prevazute de Regulamentul Sanitar International la frontiera de stat – natura si volumul actiunilor desfasurate de acest compartiment in zona de frontiera aeriana a municipiului Bucuresti sunt aratate in tabelul urmator:</w:t>
      </w:r>
    </w:p>
    <w:p>
      <w:pPr>
        <w:pStyle w:val="BodyText"/>
        <w:spacing w:before="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9"/>
        <w:gridCol w:w="2275"/>
      </w:tblGrid>
      <w:tr>
        <w:trPr>
          <w:trHeight w:val="275" w:hRule="atLeast"/>
        </w:trPr>
        <w:tc>
          <w:tcPr>
            <w:tcW w:w="6589" w:type="dxa"/>
            <w:tcBorders>
              <w:bottom w:val="single" w:sz="12" w:space="0" w:color="000000"/>
            </w:tcBorders>
            <w:shd w:val="clear" w:color="auto" w:fill="FFFF99"/>
          </w:tcPr>
          <w:p>
            <w:pPr>
              <w:pStyle w:val="TableParagraph"/>
              <w:spacing w:line="255" w:lineRule="exact"/>
              <w:ind w:left="2893" w:right="2884"/>
              <w:jc w:val="center"/>
              <w:rPr>
                <w:b/>
                <w:sz w:val="24"/>
              </w:rPr>
            </w:pPr>
            <w:r>
              <w:rPr>
                <w:b/>
                <w:sz w:val="24"/>
              </w:rPr>
              <w:t>Actiuni</w:t>
            </w:r>
          </w:p>
        </w:tc>
        <w:tc>
          <w:tcPr>
            <w:tcW w:w="2275" w:type="dxa"/>
            <w:tcBorders>
              <w:bottom w:val="single" w:sz="12" w:space="0" w:color="000000"/>
            </w:tcBorders>
            <w:shd w:val="clear" w:color="auto" w:fill="FFFF99"/>
          </w:tcPr>
          <w:p>
            <w:pPr>
              <w:pStyle w:val="TableParagraph"/>
              <w:spacing w:line="255" w:lineRule="exact"/>
              <w:ind w:left="466"/>
              <w:rPr>
                <w:b/>
                <w:sz w:val="24"/>
              </w:rPr>
            </w:pPr>
            <w:r>
              <w:rPr>
                <w:b/>
                <w:sz w:val="24"/>
              </w:rPr>
              <w:t># evenimente</w:t>
            </w:r>
          </w:p>
        </w:tc>
      </w:tr>
      <w:tr>
        <w:trPr>
          <w:trHeight w:val="277" w:hRule="atLeast"/>
        </w:trPr>
        <w:tc>
          <w:tcPr>
            <w:tcW w:w="6589" w:type="dxa"/>
            <w:tcBorders>
              <w:top w:val="single" w:sz="12" w:space="0" w:color="000000"/>
            </w:tcBorders>
          </w:tcPr>
          <w:p>
            <w:pPr>
              <w:pStyle w:val="TableParagraph"/>
              <w:spacing w:line="257" w:lineRule="exact" w:before="1"/>
              <w:ind w:left="108"/>
              <w:rPr>
                <w:sz w:val="24"/>
              </w:rPr>
            </w:pPr>
            <w:r>
              <w:rPr>
                <w:sz w:val="24"/>
              </w:rPr>
              <w:t># aeronave asistate</w:t>
            </w:r>
          </w:p>
        </w:tc>
        <w:tc>
          <w:tcPr>
            <w:tcW w:w="2275" w:type="dxa"/>
            <w:tcBorders>
              <w:top w:val="single" w:sz="12" w:space="0" w:color="000000"/>
            </w:tcBorders>
          </w:tcPr>
          <w:p>
            <w:pPr>
              <w:pStyle w:val="TableParagraph"/>
              <w:spacing w:line="257" w:lineRule="exact" w:before="1"/>
              <w:ind w:left="108"/>
              <w:rPr>
                <w:sz w:val="24"/>
              </w:rPr>
            </w:pPr>
            <w:r>
              <w:rPr>
                <w:sz w:val="24"/>
              </w:rPr>
              <w:t>17905</w:t>
            </w:r>
          </w:p>
        </w:tc>
      </w:tr>
      <w:tr>
        <w:trPr>
          <w:trHeight w:val="275" w:hRule="atLeast"/>
        </w:trPr>
        <w:tc>
          <w:tcPr>
            <w:tcW w:w="6589" w:type="dxa"/>
          </w:tcPr>
          <w:p>
            <w:pPr>
              <w:pStyle w:val="TableParagraph"/>
              <w:spacing w:line="256" w:lineRule="exact"/>
              <w:ind w:left="108"/>
              <w:rPr>
                <w:sz w:val="24"/>
              </w:rPr>
            </w:pPr>
            <w:r>
              <w:rPr>
                <w:sz w:val="24"/>
              </w:rPr>
              <w:t># pasageri verificati epidemiologic la plecare</w:t>
            </w:r>
          </w:p>
        </w:tc>
        <w:tc>
          <w:tcPr>
            <w:tcW w:w="2275" w:type="dxa"/>
          </w:tcPr>
          <w:p>
            <w:pPr>
              <w:pStyle w:val="TableParagraph"/>
              <w:spacing w:line="256" w:lineRule="exact"/>
              <w:ind w:left="108"/>
              <w:rPr>
                <w:sz w:val="24"/>
              </w:rPr>
            </w:pPr>
            <w:r>
              <w:rPr>
                <w:sz w:val="24"/>
              </w:rPr>
              <w:t>852393</w:t>
            </w:r>
          </w:p>
        </w:tc>
      </w:tr>
      <w:tr>
        <w:trPr>
          <w:trHeight w:val="275" w:hRule="atLeast"/>
        </w:trPr>
        <w:tc>
          <w:tcPr>
            <w:tcW w:w="6589" w:type="dxa"/>
          </w:tcPr>
          <w:p>
            <w:pPr>
              <w:pStyle w:val="TableParagraph"/>
              <w:spacing w:line="256" w:lineRule="exact"/>
              <w:ind w:left="108"/>
              <w:rPr>
                <w:sz w:val="24"/>
              </w:rPr>
            </w:pPr>
            <w:r>
              <w:rPr>
                <w:sz w:val="24"/>
              </w:rPr>
              <w:t># pasageri verificati epidemiologic la sosire</w:t>
            </w:r>
          </w:p>
        </w:tc>
        <w:tc>
          <w:tcPr>
            <w:tcW w:w="2275" w:type="dxa"/>
          </w:tcPr>
          <w:p>
            <w:pPr>
              <w:pStyle w:val="TableParagraph"/>
              <w:spacing w:line="256" w:lineRule="exact"/>
              <w:ind w:left="108"/>
              <w:rPr>
                <w:sz w:val="24"/>
              </w:rPr>
            </w:pPr>
            <w:r>
              <w:rPr>
                <w:sz w:val="24"/>
              </w:rPr>
              <w:t>822356</w:t>
            </w:r>
          </w:p>
        </w:tc>
      </w:tr>
      <w:tr>
        <w:trPr>
          <w:trHeight w:val="275" w:hRule="atLeast"/>
        </w:trPr>
        <w:tc>
          <w:tcPr>
            <w:tcW w:w="6589" w:type="dxa"/>
          </w:tcPr>
          <w:p>
            <w:pPr>
              <w:pStyle w:val="TableParagraph"/>
              <w:spacing w:line="256" w:lineRule="exact"/>
              <w:ind w:left="108"/>
              <w:rPr>
                <w:sz w:val="24"/>
              </w:rPr>
            </w:pPr>
            <w:r>
              <w:rPr>
                <w:sz w:val="24"/>
              </w:rPr>
              <w:t># pasageri verificati pentru chimioprofilaxie antimalarica</w:t>
            </w:r>
          </w:p>
        </w:tc>
        <w:tc>
          <w:tcPr>
            <w:tcW w:w="2275" w:type="dxa"/>
          </w:tcPr>
          <w:p>
            <w:pPr>
              <w:pStyle w:val="TableParagraph"/>
              <w:spacing w:line="256" w:lineRule="exact"/>
              <w:ind w:left="108"/>
              <w:rPr>
                <w:sz w:val="24"/>
              </w:rPr>
            </w:pPr>
            <w:r>
              <w:rPr>
                <w:sz w:val="24"/>
              </w:rPr>
              <w:t>7653</w:t>
            </w:r>
          </w:p>
        </w:tc>
      </w:tr>
      <w:tr>
        <w:trPr>
          <w:trHeight w:val="275" w:hRule="atLeast"/>
        </w:trPr>
        <w:tc>
          <w:tcPr>
            <w:tcW w:w="6589" w:type="dxa"/>
          </w:tcPr>
          <w:p>
            <w:pPr>
              <w:pStyle w:val="TableParagraph"/>
              <w:spacing w:line="256" w:lineRule="exact"/>
              <w:ind w:left="108"/>
              <w:rPr>
                <w:sz w:val="24"/>
              </w:rPr>
            </w:pPr>
            <w:r>
              <w:rPr>
                <w:sz w:val="24"/>
              </w:rPr>
              <w:t># pasageri triati epidemiologic</w:t>
            </w:r>
          </w:p>
        </w:tc>
        <w:tc>
          <w:tcPr>
            <w:tcW w:w="2275" w:type="dxa"/>
          </w:tcPr>
          <w:p>
            <w:pPr>
              <w:pStyle w:val="TableParagraph"/>
              <w:spacing w:line="256" w:lineRule="exact"/>
              <w:ind w:left="108"/>
              <w:rPr>
                <w:sz w:val="24"/>
              </w:rPr>
            </w:pPr>
            <w:r>
              <w:rPr>
                <w:sz w:val="24"/>
              </w:rPr>
              <w:t>12284</w:t>
            </w:r>
          </w:p>
        </w:tc>
      </w:tr>
      <w:tr>
        <w:trPr>
          <w:trHeight w:val="276" w:hRule="atLeast"/>
        </w:trPr>
        <w:tc>
          <w:tcPr>
            <w:tcW w:w="6589" w:type="dxa"/>
          </w:tcPr>
          <w:p>
            <w:pPr>
              <w:pStyle w:val="TableParagraph"/>
              <w:spacing w:line="256" w:lineRule="exact"/>
              <w:ind w:left="108"/>
              <w:rPr>
                <w:sz w:val="24"/>
              </w:rPr>
            </w:pPr>
            <w:r>
              <w:rPr>
                <w:sz w:val="24"/>
              </w:rPr>
              <w:t># certificate internationale de vaccinare verificate</w:t>
            </w:r>
          </w:p>
        </w:tc>
        <w:tc>
          <w:tcPr>
            <w:tcW w:w="2275" w:type="dxa"/>
          </w:tcPr>
          <w:p>
            <w:pPr>
              <w:pStyle w:val="TableParagraph"/>
              <w:spacing w:line="256" w:lineRule="exact"/>
              <w:ind w:left="108"/>
              <w:rPr>
                <w:sz w:val="24"/>
              </w:rPr>
            </w:pPr>
            <w:r>
              <w:rPr>
                <w:sz w:val="24"/>
              </w:rPr>
              <w:t>4642</w:t>
            </w:r>
          </w:p>
        </w:tc>
      </w:tr>
      <w:tr>
        <w:trPr>
          <w:trHeight w:val="278" w:hRule="atLeast"/>
        </w:trPr>
        <w:tc>
          <w:tcPr>
            <w:tcW w:w="6589" w:type="dxa"/>
          </w:tcPr>
          <w:p>
            <w:pPr>
              <w:pStyle w:val="TableParagraph"/>
              <w:spacing w:line="257" w:lineRule="exact" w:before="1"/>
              <w:ind w:left="108"/>
              <w:rPr>
                <w:sz w:val="24"/>
              </w:rPr>
            </w:pPr>
            <w:r>
              <w:rPr>
                <w:sz w:val="24"/>
              </w:rPr>
              <w:t># pasageri care au primit chimioprofilaxie antimalarica</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pasageri vaccinati / revaccinati antiamaril</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pasageri vaccinati antitifoidic</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pasageri revaccinati antitetanic, antidifteric, antipolio</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pasageri vaccinanti cu alte vaccinuri</w:t>
            </w:r>
          </w:p>
        </w:tc>
        <w:tc>
          <w:tcPr>
            <w:tcW w:w="2275" w:type="dxa"/>
          </w:tcPr>
          <w:p>
            <w:pPr>
              <w:pStyle w:val="TableParagraph"/>
              <w:rPr>
                <w:sz w:val="20"/>
              </w:rPr>
            </w:pPr>
          </w:p>
        </w:tc>
      </w:tr>
    </w:tbl>
    <w:p>
      <w:pPr>
        <w:pStyle w:val="BodyText"/>
        <w:ind w:left="0"/>
        <w:rPr>
          <w:sz w:val="20"/>
        </w:rPr>
      </w:pPr>
    </w:p>
    <w:p>
      <w:pPr>
        <w:pStyle w:val="BodyText"/>
        <w:spacing w:before="10"/>
        <w:ind w:left="0"/>
        <w:rPr>
          <w:sz w:val="25"/>
        </w:rPr>
      </w:pPr>
      <w:r>
        <w:rPr/>
        <w:pict>
          <v:shape style="position:absolute;margin-left:55.200001pt;margin-top:16.100977pt;width:499.95pt;height:13.8pt;mso-position-horizontal-relative:page;mso-position-vertical-relative:paragraph;z-index:-251365376;mso-wrap-distance-left:0;mso-wrap-distance-right:0" type="#_x0000_t202" filled="true" fillcolor="#dfdfdf" stroked="false">
            <v:textbox inset="0,0,0,0">
              <w:txbxContent>
                <w:p>
                  <w:pPr>
                    <w:spacing w:line="275" w:lineRule="exact" w:before="0"/>
                    <w:ind w:left="1341" w:right="1346" w:firstLine="0"/>
                    <w:jc w:val="center"/>
                    <w:rPr>
                      <w:b/>
                      <w:sz w:val="24"/>
                    </w:rPr>
                  </w:pPr>
                  <w:r>
                    <w:rPr>
                      <w:b/>
                      <w:sz w:val="24"/>
                      <w:u w:val="thick"/>
                    </w:rPr>
                    <w:t>Activitati DDD (dezinfectie, dezinsectie, deratizare)</w:t>
                  </w:r>
                </w:p>
              </w:txbxContent>
            </v:textbox>
            <v:fill type="solid"/>
            <w10:wrap type="topAndBottom"/>
          </v:shape>
        </w:pict>
      </w:r>
    </w:p>
    <w:p>
      <w:pPr>
        <w:pStyle w:val="BodyText"/>
        <w:spacing w:before="7"/>
        <w:ind w:left="0"/>
        <w:rPr>
          <w:sz w:val="22"/>
        </w:rPr>
      </w:pPr>
    </w:p>
    <w:p>
      <w:pPr>
        <w:pStyle w:val="BodyText"/>
        <w:ind w:left="233"/>
      </w:pPr>
      <w:r>
        <w:rPr/>
        <w:t>Activitatile DDD desfasurate in anul 2017 sunt redate in tabelul urmator:</w:t>
      </w:r>
    </w:p>
    <w:p>
      <w:pPr>
        <w:pStyle w:val="BodyText"/>
        <w:spacing w:before="1"/>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9"/>
        <w:gridCol w:w="2275"/>
      </w:tblGrid>
      <w:tr>
        <w:trPr>
          <w:trHeight w:val="275" w:hRule="atLeast"/>
        </w:trPr>
        <w:tc>
          <w:tcPr>
            <w:tcW w:w="6589" w:type="dxa"/>
            <w:tcBorders>
              <w:bottom w:val="single" w:sz="12" w:space="0" w:color="000000"/>
            </w:tcBorders>
            <w:shd w:val="clear" w:color="auto" w:fill="FFFF99"/>
          </w:tcPr>
          <w:p>
            <w:pPr>
              <w:pStyle w:val="TableParagraph"/>
              <w:spacing w:line="256" w:lineRule="exact"/>
              <w:ind w:left="2893" w:right="2884"/>
              <w:jc w:val="center"/>
              <w:rPr>
                <w:b/>
                <w:sz w:val="24"/>
              </w:rPr>
            </w:pPr>
            <w:r>
              <w:rPr>
                <w:b/>
                <w:sz w:val="24"/>
              </w:rPr>
              <w:t>Actiuni</w:t>
            </w:r>
          </w:p>
        </w:tc>
        <w:tc>
          <w:tcPr>
            <w:tcW w:w="2275" w:type="dxa"/>
            <w:tcBorders>
              <w:bottom w:val="single" w:sz="12" w:space="0" w:color="000000"/>
            </w:tcBorders>
            <w:shd w:val="clear" w:color="auto" w:fill="FFFF99"/>
          </w:tcPr>
          <w:p>
            <w:pPr>
              <w:pStyle w:val="TableParagraph"/>
              <w:spacing w:line="256" w:lineRule="exact"/>
              <w:ind w:left="466"/>
              <w:rPr>
                <w:b/>
                <w:sz w:val="24"/>
              </w:rPr>
            </w:pPr>
            <w:r>
              <w:rPr>
                <w:b/>
                <w:sz w:val="24"/>
              </w:rPr>
              <w:t># evenimente</w:t>
            </w:r>
          </w:p>
        </w:tc>
      </w:tr>
      <w:tr>
        <w:trPr>
          <w:trHeight w:val="277" w:hRule="atLeast"/>
        </w:trPr>
        <w:tc>
          <w:tcPr>
            <w:tcW w:w="6589" w:type="dxa"/>
            <w:tcBorders>
              <w:top w:val="single" w:sz="12" w:space="0" w:color="000000"/>
            </w:tcBorders>
          </w:tcPr>
          <w:p>
            <w:pPr>
              <w:pStyle w:val="TableParagraph"/>
              <w:spacing w:line="257" w:lineRule="exact" w:before="1"/>
              <w:ind w:left="108"/>
              <w:rPr>
                <w:sz w:val="24"/>
              </w:rPr>
            </w:pPr>
            <w:r>
              <w:rPr>
                <w:sz w:val="24"/>
              </w:rPr>
              <w:t># actiuni de dezinfectie in focare de boli digestive</w:t>
            </w:r>
          </w:p>
        </w:tc>
        <w:tc>
          <w:tcPr>
            <w:tcW w:w="2275" w:type="dxa"/>
            <w:tcBorders>
              <w:top w:val="single" w:sz="12" w:space="0" w:color="000000"/>
            </w:tcBorders>
          </w:tcPr>
          <w:p>
            <w:pPr>
              <w:pStyle w:val="TableParagraph"/>
              <w:spacing w:line="257" w:lineRule="exact" w:before="1"/>
              <w:ind w:left="108"/>
              <w:rPr>
                <w:sz w:val="24"/>
              </w:rPr>
            </w:pPr>
            <w:r>
              <w:rPr>
                <w:sz w:val="24"/>
              </w:rPr>
              <w:t>3</w:t>
            </w:r>
          </w:p>
        </w:tc>
      </w:tr>
      <w:tr>
        <w:trPr>
          <w:trHeight w:val="275" w:hRule="atLeast"/>
        </w:trPr>
        <w:tc>
          <w:tcPr>
            <w:tcW w:w="6589" w:type="dxa"/>
          </w:tcPr>
          <w:p>
            <w:pPr>
              <w:pStyle w:val="TableParagraph"/>
              <w:spacing w:line="256" w:lineRule="exact"/>
              <w:ind w:left="108"/>
              <w:rPr>
                <w:sz w:val="24"/>
              </w:rPr>
            </w:pPr>
            <w:r>
              <w:rPr>
                <w:sz w:val="24"/>
              </w:rPr>
              <w:t># actiuni de dezinfectie in unitati sanitare</w:t>
            </w:r>
          </w:p>
        </w:tc>
        <w:tc>
          <w:tcPr>
            <w:tcW w:w="2275" w:type="dxa"/>
          </w:tcPr>
          <w:p>
            <w:pPr>
              <w:pStyle w:val="TableParagraph"/>
              <w:spacing w:line="256" w:lineRule="exact"/>
              <w:ind w:left="108"/>
              <w:rPr>
                <w:sz w:val="24"/>
              </w:rPr>
            </w:pPr>
            <w:r>
              <w:rPr>
                <w:w w:val="99"/>
                <w:sz w:val="24"/>
              </w:rPr>
              <w:t>-</w:t>
            </w:r>
          </w:p>
        </w:tc>
      </w:tr>
      <w:tr>
        <w:trPr>
          <w:trHeight w:val="275" w:hRule="atLeast"/>
        </w:trPr>
        <w:tc>
          <w:tcPr>
            <w:tcW w:w="6589" w:type="dxa"/>
          </w:tcPr>
          <w:p>
            <w:pPr>
              <w:pStyle w:val="TableParagraph"/>
              <w:spacing w:line="256" w:lineRule="exact"/>
              <w:ind w:left="108"/>
              <w:rPr>
                <w:sz w:val="24"/>
              </w:rPr>
            </w:pPr>
            <w:r>
              <w:rPr>
                <w:sz w:val="24"/>
              </w:rPr>
              <w:t># actiuni de dezinsectie in unitati sanitare</w:t>
            </w:r>
          </w:p>
        </w:tc>
        <w:tc>
          <w:tcPr>
            <w:tcW w:w="2275" w:type="dxa"/>
          </w:tcPr>
          <w:p>
            <w:pPr>
              <w:pStyle w:val="TableParagraph"/>
              <w:spacing w:line="256" w:lineRule="exact"/>
              <w:ind w:left="108"/>
              <w:rPr>
                <w:sz w:val="24"/>
              </w:rPr>
            </w:pPr>
            <w:r>
              <w:rPr>
                <w:sz w:val="24"/>
              </w:rPr>
              <w:t>8</w:t>
            </w:r>
          </w:p>
        </w:tc>
      </w:tr>
      <w:tr>
        <w:trPr>
          <w:trHeight w:val="275" w:hRule="atLeast"/>
        </w:trPr>
        <w:tc>
          <w:tcPr>
            <w:tcW w:w="6589" w:type="dxa"/>
          </w:tcPr>
          <w:p>
            <w:pPr>
              <w:pStyle w:val="TableParagraph"/>
              <w:spacing w:line="256" w:lineRule="exact"/>
              <w:ind w:left="108"/>
              <w:rPr>
                <w:sz w:val="24"/>
              </w:rPr>
            </w:pPr>
            <w:r>
              <w:rPr>
                <w:sz w:val="24"/>
              </w:rPr>
              <w:t># actiuni de dezinfectie in colectivitati de copii</w:t>
            </w:r>
          </w:p>
        </w:tc>
        <w:tc>
          <w:tcPr>
            <w:tcW w:w="2275" w:type="dxa"/>
          </w:tcPr>
          <w:p>
            <w:pPr>
              <w:pStyle w:val="TableParagraph"/>
              <w:rPr>
                <w:sz w:val="20"/>
              </w:rPr>
            </w:pPr>
          </w:p>
        </w:tc>
      </w:tr>
      <w:tr>
        <w:trPr>
          <w:trHeight w:val="277" w:hRule="atLeast"/>
        </w:trPr>
        <w:tc>
          <w:tcPr>
            <w:tcW w:w="6589" w:type="dxa"/>
          </w:tcPr>
          <w:p>
            <w:pPr>
              <w:pStyle w:val="TableParagraph"/>
              <w:spacing w:line="257" w:lineRule="exact" w:before="1"/>
              <w:ind w:left="108"/>
              <w:rPr>
                <w:sz w:val="24"/>
              </w:rPr>
            </w:pPr>
            <w:r>
              <w:rPr>
                <w:sz w:val="24"/>
              </w:rPr>
              <w:t># actiuni de dezinfectie &amp; dezinsectie la cazuri sociale</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actiuni de dezinfectie &amp; dezinsectie in unitati speciale</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actiuni de dezinfectie la cazuri de TBC</w:t>
            </w:r>
          </w:p>
        </w:tc>
        <w:tc>
          <w:tcPr>
            <w:tcW w:w="2275" w:type="dxa"/>
          </w:tcPr>
          <w:p>
            <w:pPr>
              <w:pStyle w:val="TableParagraph"/>
              <w:spacing w:line="256" w:lineRule="exact"/>
              <w:ind w:left="108"/>
              <w:rPr>
                <w:sz w:val="24"/>
              </w:rPr>
            </w:pPr>
            <w:r>
              <w:rPr>
                <w:sz w:val="24"/>
              </w:rPr>
              <w:t>35</w:t>
            </w:r>
          </w:p>
        </w:tc>
      </w:tr>
      <w:tr>
        <w:trPr>
          <w:trHeight w:val="275" w:hRule="atLeast"/>
        </w:trPr>
        <w:tc>
          <w:tcPr>
            <w:tcW w:w="6589" w:type="dxa"/>
          </w:tcPr>
          <w:p>
            <w:pPr>
              <w:pStyle w:val="TableParagraph"/>
              <w:spacing w:line="256" w:lineRule="exact"/>
              <w:ind w:left="108"/>
              <w:rPr>
                <w:sz w:val="24"/>
              </w:rPr>
            </w:pPr>
            <w:r>
              <w:rPr>
                <w:sz w:val="24"/>
              </w:rPr>
              <w:t># actiuni de dezinfectie in caz de deces &gt; 3 zile</w:t>
            </w:r>
          </w:p>
        </w:tc>
        <w:tc>
          <w:tcPr>
            <w:tcW w:w="2275" w:type="dxa"/>
          </w:tcPr>
          <w:p>
            <w:pPr>
              <w:pStyle w:val="TableParagraph"/>
              <w:spacing w:line="256" w:lineRule="exact"/>
              <w:ind w:left="108"/>
              <w:rPr>
                <w:sz w:val="24"/>
              </w:rPr>
            </w:pPr>
            <w:r>
              <w:rPr>
                <w:sz w:val="24"/>
              </w:rPr>
              <w:t>9</w:t>
            </w:r>
          </w:p>
        </w:tc>
      </w:tr>
      <w:tr>
        <w:trPr>
          <w:trHeight w:val="275" w:hRule="atLeast"/>
        </w:trPr>
        <w:tc>
          <w:tcPr>
            <w:tcW w:w="6589" w:type="dxa"/>
          </w:tcPr>
          <w:p>
            <w:pPr>
              <w:pStyle w:val="TableParagraph"/>
              <w:spacing w:line="256" w:lineRule="exact"/>
              <w:ind w:left="108"/>
              <w:rPr>
                <w:sz w:val="24"/>
              </w:rPr>
            </w:pPr>
            <w:r>
              <w:rPr>
                <w:sz w:val="24"/>
              </w:rPr>
              <w:t># actiuni de dezinfectie fantani</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actiuni de dezinfectie subsoluri inundate</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actiuni antiparazitare</w:t>
            </w:r>
          </w:p>
        </w:tc>
        <w:tc>
          <w:tcPr>
            <w:tcW w:w="2275" w:type="dxa"/>
          </w:tcPr>
          <w:p>
            <w:pPr>
              <w:pStyle w:val="TableParagraph"/>
              <w:rPr>
                <w:sz w:val="20"/>
              </w:rPr>
            </w:pPr>
          </w:p>
        </w:tc>
      </w:tr>
      <w:tr>
        <w:trPr>
          <w:trHeight w:val="278" w:hRule="atLeast"/>
        </w:trPr>
        <w:tc>
          <w:tcPr>
            <w:tcW w:w="6589" w:type="dxa"/>
          </w:tcPr>
          <w:p>
            <w:pPr>
              <w:pStyle w:val="TableParagraph"/>
              <w:spacing w:line="257" w:lineRule="exact" w:before="2"/>
              <w:ind w:left="108"/>
              <w:rPr>
                <w:sz w:val="24"/>
              </w:rPr>
            </w:pPr>
            <w:r>
              <w:rPr>
                <w:sz w:val="24"/>
              </w:rPr>
              <w:t># actiuni de tratament antilarvar / destantarizari</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eliberari de pasapoarte mortuare</w:t>
            </w:r>
          </w:p>
        </w:tc>
        <w:tc>
          <w:tcPr>
            <w:tcW w:w="2275" w:type="dxa"/>
          </w:tcPr>
          <w:p>
            <w:pPr>
              <w:pStyle w:val="TableParagraph"/>
              <w:spacing w:line="256" w:lineRule="exact"/>
              <w:ind w:left="108"/>
              <w:rPr>
                <w:sz w:val="24"/>
              </w:rPr>
            </w:pPr>
            <w:r>
              <w:rPr>
                <w:sz w:val="24"/>
              </w:rPr>
              <w:t>95</w:t>
            </w:r>
          </w:p>
        </w:tc>
      </w:tr>
      <w:tr>
        <w:trPr>
          <w:trHeight w:val="275" w:hRule="atLeast"/>
        </w:trPr>
        <w:tc>
          <w:tcPr>
            <w:tcW w:w="6589" w:type="dxa"/>
          </w:tcPr>
          <w:p>
            <w:pPr>
              <w:pStyle w:val="TableParagraph"/>
              <w:spacing w:line="256" w:lineRule="exact"/>
              <w:ind w:left="108"/>
              <w:rPr>
                <w:sz w:val="24"/>
              </w:rPr>
            </w:pPr>
            <w:r>
              <w:rPr>
                <w:sz w:val="24"/>
              </w:rPr>
              <w:t># eliberari de autorizatie de depunere la capela cadavru uman</w:t>
            </w:r>
          </w:p>
        </w:tc>
        <w:tc>
          <w:tcPr>
            <w:tcW w:w="2275" w:type="dxa"/>
          </w:tcPr>
          <w:p>
            <w:pPr>
              <w:pStyle w:val="TableParagraph"/>
              <w:rPr>
                <w:sz w:val="20"/>
              </w:rPr>
            </w:pPr>
          </w:p>
        </w:tc>
      </w:tr>
      <w:tr>
        <w:trPr>
          <w:trHeight w:val="275" w:hRule="atLeast"/>
        </w:trPr>
        <w:tc>
          <w:tcPr>
            <w:tcW w:w="6589" w:type="dxa"/>
          </w:tcPr>
          <w:p>
            <w:pPr>
              <w:pStyle w:val="TableParagraph"/>
              <w:spacing w:line="256" w:lineRule="exact"/>
              <w:ind w:left="108"/>
              <w:rPr>
                <w:sz w:val="24"/>
              </w:rPr>
            </w:pPr>
            <w:r>
              <w:rPr>
                <w:sz w:val="24"/>
              </w:rPr>
              <w:t># eliberari de avize de transport cadavru uman</w:t>
            </w:r>
          </w:p>
        </w:tc>
        <w:tc>
          <w:tcPr>
            <w:tcW w:w="2275" w:type="dxa"/>
          </w:tcPr>
          <w:p>
            <w:pPr>
              <w:pStyle w:val="TableParagraph"/>
              <w:spacing w:line="256" w:lineRule="exact"/>
              <w:ind w:left="108"/>
              <w:rPr>
                <w:sz w:val="24"/>
              </w:rPr>
            </w:pPr>
            <w:r>
              <w:rPr>
                <w:sz w:val="24"/>
              </w:rPr>
              <w:t>219</w:t>
            </w:r>
          </w:p>
        </w:tc>
      </w:tr>
      <w:tr>
        <w:trPr>
          <w:trHeight w:val="275" w:hRule="atLeast"/>
        </w:trPr>
        <w:tc>
          <w:tcPr>
            <w:tcW w:w="6589" w:type="dxa"/>
          </w:tcPr>
          <w:p>
            <w:pPr>
              <w:pStyle w:val="TableParagraph"/>
              <w:spacing w:line="256" w:lineRule="exact"/>
              <w:ind w:left="108"/>
              <w:rPr>
                <w:sz w:val="24"/>
              </w:rPr>
            </w:pPr>
            <w:r>
              <w:rPr>
                <w:sz w:val="24"/>
              </w:rPr>
              <w:t># eliberari de avize de deshumare-reinhumare cadavru uman</w:t>
            </w:r>
          </w:p>
        </w:tc>
        <w:tc>
          <w:tcPr>
            <w:tcW w:w="2275" w:type="dxa"/>
          </w:tcPr>
          <w:p>
            <w:pPr>
              <w:pStyle w:val="TableParagraph"/>
              <w:spacing w:line="256" w:lineRule="exact"/>
              <w:ind w:left="108"/>
              <w:rPr>
                <w:sz w:val="24"/>
              </w:rPr>
            </w:pPr>
            <w:r>
              <w:rPr>
                <w:sz w:val="24"/>
              </w:rPr>
              <w:t>46</w:t>
            </w:r>
          </w:p>
        </w:tc>
      </w:tr>
    </w:tbl>
    <w:p>
      <w:pPr>
        <w:pStyle w:val="BodyText"/>
        <w:ind w:left="0"/>
        <w:rPr>
          <w:sz w:val="20"/>
        </w:rPr>
      </w:pPr>
    </w:p>
    <w:p>
      <w:pPr>
        <w:pStyle w:val="BodyText"/>
        <w:ind w:left="0"/>
        <w:rPr>
          <w:sz w:val="28"/>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9"/>
        <w:gridCol w:w="6673"/>
        <w:gridCol w:w="2875"/>
      </w:tblGrid>
      <w:tr>
        <w:trPr>
          <w:trHeight w:val="275" w:hRule="atLeast"/>
        </w:trPr>
        <w:tc>
          <w:tcPr>
            <w:tcW w:w="9997" w:type="dxa"/>
            <w:gridSpan w:val="3"/>
            <w:shd w:val="clear" w:color="auto" w:fill="D9D9D9"/>
          </w:tcPr>
          <w:p>
            <w:pPr>
              <w:pStyle w:val="TableParagraph"/>
              <w:rPr>
                <w:sz w:val="20"/>
              </w:rPr>
            </w:pPr>
          </w:p>
        </w:tc>
      </w:tr>
      <w:tr>
        <w:trPr>
          <w:trHeight w:val="246" w:hRule="atLeast"/>
        </w:trPr>
        <w:tc>
          <w:tcPr>
            <w:tcW w:w="449" w:type="dxa"/>
            <w:shd w:val="clear" w:color="auto" w:fill="D9D9D9"/>
          </w:tcPr>
          <w:p>
            <w:pPr>
              <w:pStyle w:val="TableParagraph"/>
              <w:rPr>
                <w:sz w:val="16"/>
              </w:rPr>
            </w:pPr>
          </w:p>
        </w:tc>
        <w:tc>
          <w:tcPr>
            <w:tcW w:w="6673" w:type="dxa"/>
            <w:tcBorders>
              <w:bottom w:val="single" w:sz="12" w:space="0" w:color="000000"/>
            </w:tcBorders>
            <w:shd w:val="clear" w:color="auto" w:fill="CCCCCC"/>
          </w:tcPr>
          <w:p>
            <w:pPr>
              <w:pStyle w:val="TableParagraph"/>
              <w:spacing w:line="227" w:lineRule="exact"/>
              <w:rPr>
                <w:b/>
                <w:sz w:val="24"/>
              </w:rPr>
            </w:pPr>
            <w:r>
              <w:rPr>
                <w:b/>
                <w:sz w:val="24"/>
              </w:rPr>
              <w:t>Activitatea de autorizare / avizare sanitara si consultanta in acest</w:t>
            </w:r>
          </w:p>
        </w:tc>
        <w:tc>
          <w:tcPr>
            <w:tcW w:w="2875" w:type="dxa"/>
            <w:tcBorders>
              <w:bottom w:val="single" w:sz="12" w:space="0" w:color="000000"/>
            </w:tcBorders>
            <w:shd w:val="clear" w:color="auto" w:fill="D9D9D9"/>
          </w:tcPr>
          <w:p>
            <w:pPr>
              <w:pStyle w:val="TableParagraph"/>
              <w:spacing w:line="227" w:lineRule="exact"/>
              <w:ind w:left="60"/>
              <w:rPr>
                <w:b/>
                <w:sz w:val="24"/>
              </w:rPr>
            </w:pPr>
            <w:r>
              <w:rPr>
                <w:b/>
                <w:sz w:val="24"/>
              </w:rPr>
              <w:t>domeniu</w:t>
            </w:r>
          </w:p>
        </w:tc>
      </w:tr>
    </w:tbl>
    <w:p>
      <w:pPr>
        <w:pStyle w:val="BodyText"/>
        <w:spacing w:before="1"/>
        <w:ind w:left="0"/>
      </w:pPr>
    </w:p>
    <w:p>
      <w:pPr>
        <w:pStyle w:val="BodyText"/>
        <w:ind w:left="233" w:right="900"/>
      </w:pPr>
      <w:r>
        <w:rPr/>
        <w:t>Compartimentul de supraveghere / control BT participa la activitatea institutiei de autorizare si avizare sanitara a unitatilor sanitare.</w:t>
      </w:r>
    </w:p>
    <w:p>
      <w:pPr>
        <w:pStyle w:val="BodyText"/>
        <w:spacing w:before="1"/>
        <w:ind w:left="233"/>
      </w:pPr>
      <w:r>
        <w:rPr/>
        <w:t>Activitatea de autorizare, avizare si consultanta in domeniu in anul 2017 este redata in tabelul urmator:</w:t>
      </w:r>
    </w:p>
    <w:p>
      <w:pPr>
        <w:spacing w:after="0"/>
        <w:sectPr>
          <w:pgSz w:w="11910" w:h="16840"/>
          <w:pgMar w:header="0" w:footer="738" w:top="1420" w:bottom="920" w:left="900" w:right="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0"/>
        <w:gridCol w:w="1795"/>
      </w:tblGrid>
      <w:tr>
        <w:trPr>
          <w:trHeight w:val="275" w:hRule="atLeast"/>
        </w:trPr>
        <w:tc>
          <w:tcPr>
            <w:tcW w:w="7070" w:type="dxa"/>
            <w:tcBorders>
              <w:bottom w:val="single" w:sz="18" w:space="0" w:color="000000"/>
            </w:tcBorders>
            <w:shd w:val="clear" w:color="auto" w:fill="FFFF99"/>
          </w:tcPr>
          <w:p>
            <w:pPr>
              <w:pStyle w:val="TableParagraph"/>
              <w:spacing w:line="255" w:lineRule="exact"/>
              <w:ind w:left="2497" w:right="2490"/>
              <w:jc w:val="center"/>
              <w:rPr>
                <w:b/>
                <w:sz w:val="24"/>
              </w:rPr>
            </w:pPr>
            <w:r>
              <w:rPr>
                <w:b/>
                <w:sz w:val="24"/>
              </w:rPr>
              <w:t>Denumire activitate</w:t>
            </w:r>
          </w:p>
        </w:tc>
        <w:tc>
          <w:tcPr>
            <w:tcW w:w="1795" w:type="dxa"/>
            <w:tcBorders>
              <w:bottom w:val="single" w:sz="18" w:space="0" w:color="000000"/>
            </w:tcBorders>
            <w:shd w:val="clear" w:color="auto" w:fill="FFFF99"/>
          </w:tcPr>
          <w:p>
            <w:pPr>
              <w:pStyle w:val="TableParagraph"/>
              <w:spacing w:line="255" w:lineRule="exact"/>
              <w:ind w:left="331" w:right="327"/>
              <w:jc w:val="center"/>
              <w:rPr>
                <w:b/>
                <w:sz w:val="24"/>
              </w:rPr>
            </w:pPr>
            <w:r>
              <w:rPr>
                <w:b/>
                <w:sz w:val="24"/>
              </w:rPr>
              <w:t># activitati</w:t>
            </w:r>
          </w:p>
        </w:tc>
      </w:tr>
      <w:tr>
        <w:trPr>
          <w:trHeight w:val="553" w:hRule="atLeast"/>
        </w:trPr>
        <w:tc>
          <w:tcPr>
            <w:tcW w:w="7070" w:type="dxa"/>
            <w:tcBorders>
              <w:top w:val="single" w:sz="18" w:space="0" w:color="000000"/>
            </w:tcBorders>
            <w:shd w:val="clear" w:color="auto" w:fill="FFFF99"/>
          </w:tcPr>
          <w:p>
            <w:pPr>
              <w:pStyle w:val="TableParagraph"/>
              <w:spacing w:line="276" w:lineRule="exact" w:before="4"/>
              <w:ind w:left="828" w:hanging="360"/>
              <w:rPr>
                <w:b/>
                <w:sz w:val="24"/>
              </w:rPr>
            </w:pPr>
            <w:r>
              <w:rPr>
                <w:rFonts w:ascii="Courier New"/>
                <w:sz w:val="24"/>
              </w:rPr>
              <w:t>o </w:t>
            </w:r>
            <w:r>
              <w:rPr>
                <w:b/>
                <w:sz w:val="24"/>
              </w:rPr>
              <w:t>Autorizatii Sanitare de Functionare eliberate in baza referatului de evaluare</w:t>
            </w:r>
          </w:p>
        </w:tc>
        <w:tc>
          <w:tcPr>
            <w:tcW w:w="1795" w:type="dxa"/>
            <w:tcBorders>
              <w:top w:val="single" w:sz="18" w:space="0" w:color="000000"/>
            </w:tcBorders>
            <w:shd w:val="clear" w:color="auto" w:fill="FFFF99"/>
          </w:tcPr>
          <w:p>
            <w:pPr>
              <w:pStyle w:val="TableParagraph"/>
              <w:ind w:left="331" w:right="326"/>
              <w:jc w:val="center"/>
              <w:rPr>
                <w:b/>
                <w:sz w:val="24"/>
              </w:rPr>
            </w:pPr>
            <w:r>
              <w:rPr>
                <w:b/>
                <w:sz w:val="24"/>
              </w:rPr>
              <w:t>805</w:t>
            </w:r>
          </w:p>
        </w:tc>
      </w:tr>
      <w:tr>
        <w:trPr>
          <w:trHeight w:val="548" w:hRule="atLeast"/>
        </w:trPr>
        <w:tc>
          <w:tcPr>
            <w:tcW w:w="7070" w:type="dxa"/>
            <w:shd w:val="clear" w:color="auto" w:fill="FFFF99"/>
          </w:tcPr>
          <w:p>
            <w:pPr>
              <w:pStyle w:val="TableParagraph"/>
              <w:spacing w:line="282" w:lineRule="exact"/>
              <w:ind w:left="468"/>
              <w:rPr>
                <w:b/>
                <w:sz w:val="24"/>
              </w:rPr>
            </w:pPr>
            <w:r>
              <w:rPr>
                <w:rFonts w:ascii="Courier New"/>
                <w:sz w:val="24"/>
              </w:rPr>
              <w:t>o </w:t>
            </w:r>
            <w:r>
              <w:rPr>
                <w:b/>
                <w:sz w:val="24"/>
              </w:rPr>
              <w:t>Autorizari ale unitatilor de transfuzii sanguine (UTS)</w:t>
            </w:r>
            <w:r>
              <w:rPr>
                <w:b/>
                <w:spacing w:val="56"/>
                <w:sz w:val="24"/>
              </w:rPr>
              <w:t> </w:t>
            </w:r>
            <w:r>
              <w:rPr>
                <w:b/>
                <w:sz w:val="24"/>
              </w:rPr>
              <w:t>(in</w:t>
            </w:r>
          </w:p>
          <w:p>
            <w:pPr>
              <w:pStyle w:val="TableParagraph"/>
              <w:spacing w:line="247" w:lineRule="exact"/>
              <w:ind w:left="828"/>
              <w:rPr>
                <w:b/>
                <w:sz w:val="24"/>
              </w:rPr>
            </w:pPr>
            <w:r>
              <w:rPr>
                <w:b/>
                <w:sz w:val="24"/>
              </w:rPr>
              <w:t>echipa cu reprezentantii Centrului de Hematologie</w:t>
            </w:r>
          </w:p>
        </w:tc>
        <w:tc>
          <w:tcPr>
            <w:tcW w:w="1795" w:type="dxa"/>
            <w:shd w:val="clear" w:color="auto" w:fill="FFFF99"/>
          </w:tcPr>
          <w:p>
            <w:pPr>
              <w:pStyle w:val="TableParagraph"/>
              <w:spacing w:line="272" w:lineRule="exact"/>
              <w:ind w:left="5"/>
              <w:jc w:val="center"/>
              <w:rPr>
                <w:b/>
                <w:sz w:val="24"/>
              </w:rPr>
            </w:pPr>
            <w:r>
              <w:rPr>
                <w:b/>
                <w:sz w:val="24"/>
              </w:rPr>
              <w:t>3</w:t>
            </w:r>
          </w:p>
        </w:tc>
      </w:tr>
      <w:tr>
        <w:trPr>
          <w:trHeight w:val="275" w:hRule="atLeast"/>
        </w:trPr>
        <w:tc>
          <w:tcPr>
            <w:tcW w:w="7070" w:type="dxa"/>
            <w:shd w:val="clear" w:color="auto" w:fill="FFFF99"/>
          </w:tcPr>
          <w:p>
            <w:pPr>
              <w:pStyle w:val="TableParagraph"/>
              <w:spacing w:line="256" w:lineRule="exact"/>
              <w:ind w:left="468"/>
              <w:rPr>
                <w:b/>
                <w:sz w:val="24"/>
              </w:rPr>
            </w:pPr>
            <w:r>
              <w:rPr>
                <w:rFonts w:ascii="Courier New"/>
                <w:sz w:val="24"/>
              </w:rPr>
              <w:t>o </w:t>
            </w:r>
            <w:r>
              <w:rPr>
                <w:b/>
                <w:sz w:val="24"/>
              </w:rPr>
              <w:t>Vize anuale ale ASF</w:t>
            </w:r>
          </w:p>
        </w:tc>
        <w:tc>
          <w:tcPr>
            <w:tcW w:w="1795" w:type="dxa"/>
            <w:shd w:val="clear" w:color="auto" w:fill="FFFF99"/>
          </w:tcPr>
          <w:p>
            <w:pPr>
              <w:pStyle w:val="TableParagraph"/>
              <w:spacing w:line="256" w:lineRule="exact"/>
              <w:ind w:left="331" w:right="326"/>
              <w:jc w:val="center"/>
              <w:rPr>
                <w:b/>
                <w:sz w:val="24"/>
              </w:rPr>
            </w:pPr>
            <w:r>
              <w:rPr>
                <w:b/>
                <w:sz w:val="24"/>
              </w:rPr>
              <w:t>38</w:t>
            </w:r>
          </w:p>
        </w:tc>
      </w:tr>
      <w:tr>
        <w:trPr>
          <w:trHeight w:val="275" w:hRule="atLeast"/>
        </w:trPr>
        <w:tc>
          <w:tcPr>
            <w:tcW w:w="7070" w:type="dxa"/>
            <w:shd w:val="clear" w:color="auto" w:fill="FFFF99"/>
          </w:tcPr>
          <w:p>
            <w:pPr>
              <w:pStyle w:val="TableParagraph"/>
              <w:spacing w:line="256" w:lineRule="exact"/>
              <w:ind w:left="468"/>
              <w:rPr>
                <w:b/>
                <w:sz w:val="24"/>
              </w:rPr>
            </w:pPr>
            <w:r>
              <w:rPr>
                <w:rFonts w:ascii="Courier New"/>
                <w:sz w:val="24"/>
              </w:rPr>
              <w:t>o </w:t>
            </w:r>
            <w:r>
              <w:rPr>
                <w:b/>
                <w:sz w:val="24"/>
              </w:rPr>
              <w:t>Solicitari de certificarea conformitatii</w:t>
            </w:r>
          </w:p>
        </w:tc>
        <w:tc>
          <w:tcPr>
            <w:tcW w:w="1795" w:type="dxa"/>
            <w:shd w:val="clear" w:color="auto" w:fill="FFFF99"/>
          </w:tcPr>
          <w:p>
            <w:pPr>
              <w:pStyle w:val="TableParagraph"/>
              <w:spacing w:line="256" w:lineRule="exact"/>
              <w:ind w:left="5"/>
              <w:jc w:val="center"/>
              <w:rPr>
                <w:b/>
                <w:sz w:val="24"/>
              </w:rPr>
            </w:pPr>
            <w:r>
              <w:rPr>
                <w:b/>
                <w:sz w:val="24"/>
              </w:rPr>
              <w:t>5</w:t>
            </w:r>
          </w:p>
        </w:tc>
      </w:tr>
      <w:tr>
        <w:trPr>
          <w:trHeight w:val="277" w:hRule="atLeast"/>
        </w:trPr>
        <w:tc>
          <w:tcPr>
            <w:tcW w:w="7070" w:type="dxa"/>
            <w:shd w:val="clear" w:color="auto" w:fill="FFFF99"/>
          </w:tcPr>
          <w:p>
            <w:pPr>
              <w:pStyle w:val="TableParagraph"/>
              <w:spacing w:line="257" w:lineRule="exact" w:before="1"/>
              <w:ind w:left="468"/>
              <w:rPr>
                <w:b/>
                <w:sz w:val="24"/>
              </w:rPr>
            </w:pPr>
            <w:r>
              <w:rPr>
                <w:rFonts w:ascii="Courier New"/>
                <w:sz w:val="24"/>
              </w:rPr>
              <w:t>o </w:t>
            </w:r>
            <w:r>
              <w:rPr>
                <w:b/>
                <w:sz w:val="24"/>
              </w:rPr>
              <w:t>Solicitati asistenta de specialitate</w:t>
            </w:r>
          </w:p>
        </w:tc>
        <w:tc>
          <w:tcPr>
            <w:tcW w:w="1795" w:type="dxa"/>
            <w:shd w:val="clear" w:color="auto" w:fill="FFFF99"/>
          </w:tcPr>
          <w:p>
            <w:pPr>
              <w:pStyle w:val="TableParagraph"/>
              <w:spacing w:line="257" w:lineRule="exact" w:before="1"/>
              <w:ind w:left="331" w:right="326"/>
              <w:jc w:val="center"/>
              <w:rPr>
                <w:b/>
                <w:sz w:val="24"/>
              </w:rPr>
            </w:pPr>
            <w:r>
              <w:rPr>
                <w:b/>
                <w:sz w:val="24"/>
              </w:rPr>
              <w:t>706</w:t>
            </w:r>
          </w:p>
        </w:tc>
      </w:tr>
      <w:tr>
        <w:trPr>
          <w:trHeight w:val="275" w:hRule="atLeast"/>
        </w:trPr>
        <w:tc>
          <w:tcPr>
            <w:tcW w:w="7070" w:type="dxa"/>
            <w:shd w:val="clear" w:color="auto" w:fill="FFFF99"/>
          </w:tcPr>
          <w:p>
            <w:pPr>
              <w:pStyle w:val="TableParagraph"/>
              <w:spacing w:line="256" w:lineRule="exact"/>
              <w:ind w:left="468"/>
              <w:rPr>
                <w:b/>
                <w:sz w:val="24"/>
              </w:rPr>
            </w:pPr>
            <w:r>
              <w:rPr>
                <w:rFonts w:ascii="Courier New"/>
                <w:sz w:val="24"/>
              </w:rPr>
              <w:t>o </w:t>
            </w:r>
            <w:r>
              <w:rPr>
                <w:b/>
                <w:sz w:val="24"/>
              </w:rPr>
              <w:t>Solicitati de consultanta</w:t>
            </w:r>
          </w:p>
        </w:tc>
        <w:tc>
          <w:tcPr>
            <w:tcW w:w="1795" w:type="dxa"/>
            <w:shd w:val="clear" w:color="auto" w:fill="FFFF99"/>
          </w:tcPr>
          <w:p>
            <w:pPr>
              <w:pStyle w:val="TableParagraph"/>
              <w:spacing w:line="256" w:lineRule="exact"/>
              <w:ind w:left="331" w:right="326"/>
              <w:jc w:val="center"/>
              <w:rPr>
                <w:b/>
                <w:sz w:val="24"/>
              </w:rPr>
            </w:pPr>
            <w:r>
              <w:rPr>
                <w:b/>
                <w:sz w:val="24"/>
              </w:rPr>
              <w:t>26</w:t>
            </w:r>
          </w:p>
        </w:tc>
      </w:tr>
      <w:tr>
        <w:trPr>
          <w:trHeight w:val="551" w:hRule="atLeast"/>
        </w:trPr>
        <w:tc>
          <w:tcPr>
            <w:tcW w:w="7070" w:type="dxa"/>
            <w:shd w:val="clear" w:color="auto" w:fill="FFFF99"/>
          </w:tcPr>
          <w:p>
            <w:pPr>
              <w:pStyle w:val="TableParagraph"/>
              <w:spacing w:line="276" w:lineRule="exact" w:before="2"/>
              <w:ind w:left="828" w:hanging="360"/>
              <w:rPr>
                <w:b/>
                <w:sz w:val="24"/>
              </w:rPr>
            </w:pPr>
            <w:r>
              <w:rPr>
                <w:rFonts w:ascii="Courier New"/>
                <w:sz w:val="24"/>
              </w:rPr>
              <w:t>o </w:t>
            </w:r>
            <w:r>
              <w:rPr>
                <w:b/>
                <w:sz w:val="24"/>
              </w:rPr>
              <w:t>Solicitari de asistenta de specialitate pentru servicii de dezinfectie, dezinsectie si deratizare</w:t>
            </w:r>
          </w:p>
        </w:tc>
        <w:tc>
          <w:tcPr>
            <w:tcW w:w="1795" w:type="dxa"/>
            <w:shd w:val="clear" w:color="auto" w:fill="FFFF99"/>
          </w:tcPr>
          <w:p>
            <w:pPr>
              <w:pStyle w:val="TableParagraph"/>
              <w:spacing w:line="275" w:lineRule="exact"/>
              <w:ind w:left="331" w:right="326"/>
              <w:jc w:val="center"/>
              <w:rPr>
                <w:b/>
                <w:sz w:val="24"/>
              </w:rPr>
            </w:pPr>
            <w:r>
              <w:rPr>
                <w:b/>
                <w:sz w:val="24"/>
              </w:rPr>
              <w:t>25</w:t>
            </w:r>
          </w:p>
        </w:tc>
      </w:tr>
      <w:tr>
        <w:trPr>
          <w:trHeight w:val="273" w:hRule="atLeast"/>
        </w:trPr>
        <w:tc>
          <w:tcPr>
            <w:tcW w:w="7070" w:type="dxa"/>
            <w:shd w:val="clear" w:color="auto" w:fill="FFFF99"/>
          </w:tcPr>
          <w:p>
            <w:pPr>
              <w:pStyle w:val="TableParagraph"/>
              <w:spacing w:line="253" w:lineRule="exact"/>
              <w:ind w:left="4496"/>
              <w:rPr>
                <w:b/>
                <w:sz w:val="24"/>
              </w:rPr>
            </w:pPr>
            <w:r>
              <w:rPr>
                <w:b/>
                <w:sz w:val="24"/>
              </w:rPr>
              <w:t>Total solicitati rezolvate</w:t>
            </w:r>
          </w:p>
        </w:tc>
        <w:tc>
          <w:tcPr>
            <w:tcW w:w="1795" w:type="dxa"/>
            <w:shd w:val="clear" w:color="auto" w:fill="FFFF99"/>
          </w:tcPr>
          <w:p>
            <w:pPr>
              <w:pStyle w:val="TableParagraph"/>
              <w:spacing w:line="253" w:lineRule="exact"/>
              <w:ind w:left="331" w:right="326"/>
              <w:jc w:val="center"/>
              <w:rPr>
                <w:b/>
                <w:sz w:val="24"/>
              </w:rPr>
            </w:pPr>
            <w:r>
              <w:rPr>
                <w:b/>
                <w:sz w:val="24"/>
              </w:rPr>
              <w:t>1608</w:t>
            </w:r>
          </w:p>
        </w:tc>
      </w:tr>
      <w:tr>
        <w:trPr>
          <w:trHeight w:val="828" w:hRule="atLeast"/>
        </w:trPr>
        <w:tc>
          <w:tcPr>
            <w:tcW w:w="7070" w:type="dxa"/>
            <w:shd w:val="clear" w:color="auto" w:fill="FFFF99"/>
          </w:tcPr>
          <w:p>
            <w:pPr>
              <w:pStyle w:val="TableParagraph"/>
              <w:spacing w:line="223" w:lineRule="auto" w:before="13"/>
              <w:ind w:left="828" w:hanging="360"/>
              <w:rPr>
                <w:b/>
                <w:sz w:val="24"/>
              </w:rPr>
            </w:pPr>
            <w:r>
              <w:rPr>
                <w:rFonts w:ascii="Courier New"/>
                <w:sz w:val="24"/>
              </w:rPr>
              <w:t>o </w:t>
            </w:r>
            <w:r>
              <w:rPr>
                <w:b/>
                <w:sz w:val="24"/>
              </w:rPr>
              <w:t>Evaluari in vederea acreditarii de activitati in domeniul transplantului (impreuna cu reprezentantii Agentiei</w:t>
            </w:r>
          </w:p>
          <w:p>
            <w:pPr>
              <w:pStyle w:val="TableParagraph"/>
              <w:spacing w:line="257" w:lineRule="exact" w:before="5"/>
              <w:ind w:left="828"/>
              <w:rPr>
                <w:b/>
                <w:sz w:val="24"/>
              </w:rPr>
            </w:pPr>
            <w:r>
              <w:rPr>
                <w:b/>
                <w:sz w:val="24"/>
              </w:rPr>
              <w:t>Nationale de Transplant</w:t>
            </w:r>
          </w:p>
        </w:tc>
        <w:tc>
          <w:tcPr>
            <w:tcW w:w="1795" w:type="dxa"/>
            <w:shd w:val="clear" w:color="auto" w:fill="FFFF99"/>
          </w:tcPr>
          <w:p>
            <w:pPr>
              <w:pStyle w:val="TableParagraph"/>
              <w:spacing w:line="275" w:lineRule="exact"/>
              <w:ind w:left="5"/>
              <w:jc w:val="center"/>
              <w:rPr>
                <w:b/>
                <w:sz w:val="24"/>
              </w:rPr>
            </w:pPr>
            <w:r>
              <w:rPr>
                <w:b/>
                <w:sz w:val="24"/>
              </w:rPr>
              <w:t>6</w:t>
            </w:r>
          </w:p>
        </w:tc>
      </w:tr>
    </w:tbl>
    <w:p>
      <w:pPr>
        <w:pStyle w:val="BodyText"/>
        <w:ind w:left="0"/>
        <w:rPr>
          <w:sz w:val="20"/>
        </w:rPr>
      </w:pPr>
    </w:p>
    <w:p>
      <w:pPr>
        <w:pStyle w:val="BodyText"/>
        <w:ind w:left="0"/>
        <w:rPr>
          <w:sz w:val="20"/>
        </w:rPr>
      </w:pPr>
    </w:p>
    <w:p>
      <w:pPr>
        <w:pStyle w:val="BodyText"/>
        <w:spacing w:before="1"/>
        <w:ind w:left="0"/>
      </w:pPr>
    </w:p>
    <w:p>
      <w:pPr>
        <w:pStyle w:val="Heading1"/>
        <w:spacing w:before="90"/>
        <w:ind w:right="1016"/>
        <w:rPr>
          <w:u w:val="none"/>
        </w:rPr>
      </w:pPr>
      <w:r>
        <w:rPr>
          <w:u w:val="thick"/>
        </w:rPr>
        <w:t>COMPARTIMENTUL EVALUAREA FACTORILOR DE RISC DIN MEDIUL DE VIATA SI</w:t>
      </w:r>
      <w:r>
        <w:rPr>
          <w:u w:val="none"/>
        </w:rPr>
        <w:t> </w:t>
      </w:r>
      <w:r>
        <w:rPr>
          <w:u w:val="thick"/>
        </w:rPr>
        <w:t>MUNCA</w:t>
      </w:r>
    </w:p>
    <w:p>
      <w:pPr>
        <w:pStyle w:val="BodyText"/>
        <w:spacing w:before="2"/>
        <w:ind w:left="0"/>
        <w:rPr>
          <w:b/>
          <w:sz w:val="16"/>
        </w:rPr>
      </w:pPr>
    </w:p>
    <w:p>
      <w:pPr>
        <w:pStyle w:val="BodyText"/>
        <w:spacing w:before="90"/>
        <w:ind w:left="233" w:right="835" w:firstLine="600"/>
        <w:jc w:val="both"/>
      </w:pPr>
      <w:r>
        <w:rPr/>
        <w:t>Compartimentul de evaluare a factorilor de risc din mediul de viaţă şi muncă are atribuţii şi responsabilităţi de execuţie şi coordonare/îndrumare profesională, conform prevederilor Ordinului MS nr. 1078 din 27 iulie 2010 privind aprobarea regulamentului de organizare şi funcţionare şi a structurii organizatorice ale direcţiilor de sănătate publică judeţene şi a municipiului</w:t>
      </w:r>
      <w:r>
        <w:rPr>
          <w:spacing w:val="-10"/>
        </w:rPr>
        <w:t> </w:t>
      </w:r>
      <w:r>
        <w:rPr/>
        <w:t>Bucureşti.</w:t>
      </w:r>
    </w:p>
    <w:p>
      <w:pPr>
        <w:pStyle w:val="BodyText"/>
        <w:ind w:left="233"/>
      </w:pPr>
      <w:r>
        <w:rPr>
          <w:b/>
          <w:u w:val="thick"/>
        </w:rPr>
        <w:t>Misiune:</w:t>
      </w:r>
      <w:r>
        <w:rPr>
          <w:b/>
        </w:rPr>
        <w:t> </w:t>
      </w:r>
      <w:r>
        <w:rPr/>
        <w:t>îmbunătăţirea stării de sănătate a populaţiei prin actiuni specifice,</w:t>
      </w:r>
      <w:r>
        <w:rPr>
          <w:spacing w:val="-15"/>
        </w:rPr>
        <w:t> </w:t>
      </w:r>
      <w:r>
        <w:rPr/>
        <w:t>adecvate.</w:t>
      </w:r>
    </w:p>
    <w:p>
      <w:pPr>
        <w:pStyle w:val="Heading1"/>
        <w:rPr>
          <w:u w:val="none"/>
        </w:rPr>
      </w:pPr>
      <w:r>
        <w:rPr>
          <w:u w:val="thick"/>
        </w:rPr>
        <w:t>Obiective generale:</w:t>
      </w:r>
    </w:p>
    <w:p>
      <w:pPr>
        <w:pStyle w:val="ListParagraph"/>
        <w:numPr>
          <w:ilvl w:val="0"/>
          <w:numId w:val="3"/>
        </w:numPr>
        <w:tabs>
          <w:tab w:pos="474" w:val="left" w:leader="none"/>
        </w:tabs>
        <w:spacing w:line="240" w:lineRule="auto" w:before="1" w:after="0"/>
        <w:ind w:left="473" w:right="0" w:hanging="241"/>
        <w:jc w:val="left"/>
        <w:rPr>
          <w:sz w:val="24"/>
        </w:rPr>
      </w:pPr>
      <w:r>
        <w:rPr>
          <w:sz w:val="24"/>
        </w:rPr>
        <w:t>Supravegherea starii de sanatate a copiilor si tinerilor din</w:t>
      </w:r>
      <w:r>
        <w:rPr>
          <w:spacing w:val="-4"/>
          <w:sz w:val="24"/>
        </w:rPr>
        <w:t> </w:t>
      </w:r>
      <w:r>
        <w:rPr>
          <w:sz w:val="24"/>
        </w:rPr>
        <w:t>colectivitati</w:t>
      </w:r>
    </w:p>
    <w:p>
      <w:pPr>
        <w:pStyle w:val="ListParagraph"/>
        <w:numPr>
          <w:ilvl w:val="0"/>
          <w:numId w:val="3"/>
        </w:numPr>
        <w:tabs>
          <w:tab w:pos="474" w:val="left" w:leader="none"/>
        </w:tabs>
        <w:spacing w:line="240" w:lineRule="auto" w:before="0" w:after="0"/>
        <w:ind w:left="233" w:right="1106" w:firstLine="0"/>
        <w:jc w:val="left"/>
        <w:rPr>
          <w:sz w:val="24"/>
        </w:rPr>
      </w:pPr>
      <w:r>
        <w:rPr>
          <w:sz w:val="24"/>
        </w:rPr>
        <w:t>Protejarea sanatatii publice prin prevenirea imbolnavirilor asociate factorilor de risc din mediul de viata</w:t>
      </w:r>
    </w:p>
    <w:p>
      <w:pPr>
        <w:pStyle w:val="Heading1"/>
        <w:rPr>
          <w:u w:val="none"/>
        </w:rPr>
      </w:pPr>
      <w:r>
        <w:rPr>
          <w:u w:val="thick"/>
        </w:rPr>
        <w:t>Obiective specifice</w:t>
      </w:r>
    </w:p>
    <w:p>
      <w:pPr>
        <w:pStyle w:val="BodyText"/>
        <w:ind w:left="233" w:right="880" w:firstLine="60"/>
      </w:pPr>
      <w:r>
        <w:rPr/>
        <w:t>1.Identificarea si monitorizarea problemelor de sanatate in colectivitatile de copii si tineri 2.Monitorizarea respectarii normelor de igiena si sanatate publica in unitatile ce  desfasoara activitati cu risc pentru sanatatea</w:t>
      </w:r>
      <w:r>
        <w:rPr>
          <w:spacing w:val="-2"/>
        </w:rPr>
        <w:t> </w:t>
      </w:r>
      <w:r>
        <w:rPr/>
        <w:t>populatiei</w:t>
      </w:r>
    </w:p>
    <w:p>
      <w:pPr>
        <w:pStyle w:val="ListParagraph"/>
        <w:numPr>
          <w:ilvl w:val="0"/>
          <w:numId w:val="4"/>
        </w:numPr>
        <w:tabs>
          <w:tab w:pos="475" w:val="left" w:leader="none"/>
        </w:tabs>
        <w:spacing w:line="240" w:lineRule="auto" w:before="64" w:after="0"/>
        <w:ind w:left="474" w:right="0" w:hanging="182"/>
        <w:jc w:val="left"/>
        <w:rPr>
          <w:sz w:val="24"/>
        </w:rPr>
      </w:pPr>
      <w:r>
        <w:rPr>
          <w:sz w:val="24"/>
        </w:rPr>
        <w:t>Reducerea impactului asupra starii de sanatate a efectelor datorate poluarii</w:t>
      </w:r>
      <w:r>
        <w:rPr>
          <w:spacing w:val="-3"/>
          <w:sz w:val="24"/>
        </w:rPr>
        <w:t> </w:t>
      </w:r>
      <w:r>
        <w:rPr>
          <w:sz w:val="24"/>
        </w:rPr>
        <w:t>mediului</w:t>
      </w:r>
    </w:p>
    <w:p>
      <w:pPr>
        <w:pStyle w:val="ListParagraph"/>
        <w:numPr>
          <w:ilvl w:val="0"/>
          <w:numId w:val="4"/>
        </w:numPr>
        <w:tabs>
          <w:tab w:pos="475" w:val="left" w:leader="none"/>
        </w:tabs>
        <w:spacing w:line="240" w:lineRule="auto" w:before="20" w:after="0"/>
        <w:ind w:left="233" w:right="839" w:firstLine="60"/>
        <w:jc w:val="left"/>
        <w:rPr>
          <w:sz w:val="24"/>
        </w:rPr>
      </w:pPr>
      <w:r>
        <w:rPr>
          <w:sz w:val="24"/>
        </w:rPr>
        <w:t>Monitorizarea starii de sanatate, a afectiunilor asociate si a influentei factorilor de risc asupra acesteia</w:t>
      </w:r>
    </w:p>
    <w:p>
      <w:pPr>
        <w:pStyle w:val="BodyText"/>
        <w:ind w:left="0"/>
      </w:pPr>
    </w:p>
    <w:p>
      <w:pPr>
        <w:pStyle w:val="Heading1"/>
        <w:ind w:left="413" w:right="880"/>
        <w:rPr>
          <w:u w:val="none"/>
        </w:rPr>
      </w:pPr>
      <w:r>
        <w:rPr>
          <w:u w:val="thick"/>
        </w:rPr>
        <w:t>Supravegerea calitatii apei potabile distribuite in sistem centralizat in zonele de aprovizionare</w:t>
      </w:r>
      <w:r>
        <w:rPr>
          <w:u w:val="none"/>
        </w:rPr>
        <w:t> </w:t>
      </w:r>
      <w:r>
        <w:rPr>
          <w:u w:val="thick"/>
        </w:rPr>
        <w:t>mari</w:t>
      </w:r>
    </w:p>
    <w:p>
      <w:pPr>
        <w:pStyle w:val="BodyText"/>
        <w:spacing w:before="2"/>
        <w:ind w:left="0"/>
        <w:rPr>
          <w:b/>
          <w:sz w:val="16"/>
        </w:rPr>
      </w:pPr>
    </w:p>
    <w:p>
      <w:pPr>
        <w:pStyle w:val="BodyText"/>
        <w:spacing w:before="90"/>
        <w:ind w:left="233" w:right="828" w:firstLine="122"/>
        <w:jc w:val="both"/>
      </w:pPr>
      <w:r>
        <w:rPr/>
        <w:t>In conformitate cu prevederile HGR. 974/2004 cu modificarile si completarile ulterioare - Norme de supraveghere, inspectie sanitara si monitorizare a calitatii apei potabile, s-a efectuat monitorizarea de audit a calitatii apei potabile distribuite in municipiul Bucuresti de catre SC Apa Nova SA.</w:t>
      </w:r>
    </w:p>
    <w:p>
      <w:pPr>
        <w:pStyle w:val="BodyText"/>
        <w:ind w:left="233" w:right="831" w:firstLine="300"/>
        <w:jc w:val="both"/>
      </w:pPr>
      <w:r>
        <w:rPr/>
        <w:t>Au fost monitorizate cele doua surse, autorizate, de apă captata pentru potabilizare in sistemul centralizat de apa potabila:</w:t>
      </w:r>
    </w:p>
    <w:p>
      <w:pPr>
        <w:pStyle w:val="ListParagraph"/>
        <w:numPr>
          <w:ilvl w:val="0"/>
          <w:numId w:val="5"/>
        </w:numPr>
        <w:tabs>
          <w:tab w:pos="534" w:val="left" w:leader="none"/>
        </w:tabs>
        <w:spacing w:line="240" w:lineRule="auto" w:before="1" w:after="0"/>
        <w:ind w:left="533" w:right="0" w:hanging="241"/>
        <w:jc w:val="both"/>
        <w:rPr>
          <w:sz w:val="24"/>
        </w:rPr>
      </w:pPr>
      <w:r>
        <w:rPr>
          <w:sz w:val="24"/>
        </w:rPr>
        <w:t>Râul Dâmboviţa, prin staţia de tratare</w:t>
      </w:r>
      <w:r>
        <w:rPr>
          <w:spacing w:val="-3"/>
          <w:sz w:val="24"/>
        </w:rPr>
        <w:t> </w:t>
      </w:r>
      <w:r>
        <w:rPr>
          <w:sz w:val="24"/>
        </w:rPr>
        <w:t>Arcuda</w:t>
      </w:r>
    </w:p>
    <w:p>
      <w:pPr>
        <w:pStyle w:val="ListParagraph"/>
        <w:numPr>
          <w:ilvl w:val="0"/>
          <w:numId w:val="5"/>
        </w:numPr>
        <w:tabs>
          <w:tab w:pos="534" w:val="left" w:leader="none"/>
        </w:tabs>
        <w:spacing w:line="240" w:lineRule="auto" w:before="0" w:after="0"/>
        <w:ind w:left="533" w:right="0" w:hanging="241"/>
        <w:jc w:val="both"/>
        <w:rPr>
          <w:sz w:val="24"/>
        </w:rPr>
      </w:pPr>
      <w:r>
        <w:rPr>
          <w:sz w:val="24"/>
        </w:rPr>
        <w:t>Râul Argeş, prin staţiile de tratare Roşu şi</w:t>
      </w:r>
      <w:r>
        <w:rPr>
          <w:spacing w:val="-6"/>
          <w:sz w:val="24"/>
        </w:rPr>
        <w:t> </w:t>
      </w:r>
      <w:r>
        <w:rPr>
          <w:sz w:val="24"/>
        </w:rPr>
        <w:t>Crivina</w:t>
      </w:r>
    </w:p>
    <w:p>
      <w:pPr>
        <w:pStyle w:val="BodyText"/>
        <w:ind w:left="233" w:right="834" w:firstLine="362"/>
        <w:jc w:val="both"/>
      </w:pPr>
      <w:r>
        <w:rPr/>
        <w:t>La nivelul retelei de distributie a Municipiul Bucuresti, s-au fixat impreuna cu reprezentantii producatorului/distribuitorului de apa potabila, in functie de volumul de apa produs si dat spre consum, 49 puncte fixe de recoltare si analizare a calitatii apei distribuite consumatorilor (raspandite uniform pe</w:t>
      </w:r>
    </w:p>
    <w:p>
      <w:pPr>
        <w:spacing w:after="0"/>
        <w:jc w:val="both"/>
        <w:sectPr>
          <w:pgSz w:w="11910" w:h="16840"/>
          <w:pgMar w:header="0" w:footer="738" w:top="1420" w:bottom="920" w:left="900" w:right="0"/>
        </w:sectPr>
      </w:pPr>
    </w:p>
    <w:p>
      <w:pPr>
        <w:pStyle w:val="BodyText"/>
        <w:spacing w:before="60"/>
        <w:ind w:left="233" w:right="831"/>
        <w:jc w:val="both"/>
      </w:pPr>
      <w:r>
        <w:rPr/>
        <w:t>toata suprafata capitalei, fiind usor accesibile, plasate in zone publice cu acces liber). Orice modificare a compozitiei apei potabile, fata de normele stabilite prin legislatia in vigoare – Legea nr. 458/2002 cu modificarile si completarile ulterioare, poate constitui </w:t>
      </w:r>
      <w:r>
        <w:rPr>
          <w:i/>
          <w:u w:val="single"/>
        </w:rPr>
        <w:t>un risc asupra sanatatii</w:t>
      </w:r>
      <w:r>
        <w:rPr>
          <w:i/>
        </w:rPr>
        <w:t> </w:t>
      </w:r>
      <w:r>
        <w:rPr/>
        <w:t>celor ce o consuma sau o folosesc si de aceea pentru prevenirea imbolnavirilor datorate unei (eventuale) incarcaturi bacteriologice, s-a urmarit prezenta clorului rezidual liber in apa prelucrata si distribuita consumatorilor, acesta fiind un element care atesta efectuarea dezinfectiei apei si un element de rezerva pentru a actiona la nevoie pe traseul retelei de</w:t>
      </w:r>
      <w:r>
        <w:rPr>
          <w:spacing w:val="-7"/>
        </w:rPr>
        <w:t> </w:t>
      </w:r>
      <w:r>
        <w:rPr/>
        <w:t>distributie.</w:t>
      </w:r>
    </w:p>
    <w:p>
      <w:pPr>
        <w:pStyle w:val="BodyText"/>
        <w:spacing w:before="1"/>
        <w:ind w:left="233" w:right="830" w:firstLine="720"/>
        <w:jc w:val="both"/>
      </w:pPr>
      <w:r>
        <w:rPr/>
        <w:t>S-a urmarit de asemenea modificarea parametrilor organoleptici, fizico-chimici si  bacteriologici</w:t>
      </w:r>
      <w:r>
        <w:rPr>
          <w:spacing w:val="-1"/>
        </w:rPr>
        <w:t> </w:t>
      </w:r>
      <w:r>
        <w:rPr/>
        <w:t>.</w:t>
      </w:r>
    </w:p>
    <w:p>
      <w:pPr>
        <w:pStyle w:val="BodyText"/>
        <w:ind w:left="233" w:right="873" w:firstLine="720"/>
        <w:jc w:val="both"/>
      </w:pPr>
      <w:r>
        <w:rPr/>
        <w:t>Prezenta clorului in apa potabila este considerata ca un</w:t>
      </w:r>
      <w:r>
        <w:rPr>
          <w:u w:val="single"/>
        </w:rPr>
        <w:t> </w:t>
      </w:r>
      <w:r>
        <w:rPr>
          <w:i/>
          <w:u w:val="single"/>
        </w:rPr>
        <w:t>“anticorp”</w:t>
      </w:r>
      <w:r>
        <w:rPr>
          <w:i/>
        </w:rPr>
        <w:t> </w:t>
      </w:r>
      <w:r>
        <w:rPr/>
        <w:t>in sistemul de distributie, oferind un oarecare grad de protectie impotriva germenilor patogeni care ar putea ajunge ocazional in retea si de aici la consumator.</w:t>
      </w:r>
    </w:p>
    <w:p>
      <w:pPr>
        <w:pStyle w:val="BodyText"/>
        <w:ind w:left="233" w:right="882" w:firstLine="566"/>
        <w:jc w:val="both"/>
      </w:pPr>
      <w:r>
        <w:rPr/>
        <w:t>Probele de apa recoltate la statiile de tratare si la punctele fixe ale retelei orasului au demonstrat potabilitatea apei distribuite populatiei din Bucuresti.</w:t>
      </w:r>
    </w:p>
    <w:p>
      <w:pPr>
        <w:pStyle w:val="BodyText"/>
        <w:spacing w:before="1"/>
        <w:ind w:left="0"/>
      </w:pPr>
    </w:p>
    <w:p>
      <w:pPr>
        <w:pStyle w:val="BodyText"/>
        <w:spacing w:after="15"/>
        <w:ind w:left="799"/>
      </w:pPr>
      <w:r>
        <w:rPr/>
        <w:t>Procentajul probelor necorespunzatoare recoltate de la nivelul statiilor de tratare</w:t>
      </w:r>
    </w:p>
    <w:tbl>
      <w:tblPr>
        <w:tblW w:w="0" w:type="auto"/>
        <w:jc w:val="left"/>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412"/>
        <w:gridCol w:w="1938"/>
        <w:gridCol w:w="2972"/>
        <w:gridCol w:w="2989"/>
      </w:tblGrid>
      <w:tr>
        <w:trPr>
          <w:trHeight w:val="829" w:hRule="atLeast"/>
        </w:trPr>
        <w:tc>
          <w:tcPr>
            <w:tcW w:w="1412" w:type="dxa"/>
            <w:tcBorders>
              <w:bottom w:val="single" w:sz="6" w:space="0" w:color="000000"/>
              <w:right w:val="single" w:sz="6" w:space="0" w:color="000000"/>
            </w:tcBorders>
          </w:tcPr>
          <w:p>
            <w:pPr>
              <w:pStyle w:val="TableParagraph"/>
              <w:ind w:right="185"/>
              <w:jc w:val="right"/>
              <w:rPr>
                <w:sz w:val="24"/>
              </w:rPr>
            </w:pPr>
            <w:r>
              <w:rPr>
                <w:w w:val="95"/>
                <w:sz w:val="24"/>
              </w:rPr>
              <w:t>Anul</w:t>
            </w:r>
          </w:p>
        </w:tc>
        <w:tc>
          <w:tcPr>
            <w:tcW w:w="1938" w:type="dxa"/>
            <w:tcBorders>
              <w:left w:val="single" w:sz="6" w:space="0" w:color="000000"/>
              <w:bottom w:val="single" w:sz="6" w:space="0" w:color="000000"/>
              <w:right w:val="single" w:sz="6" w:space="0" w:color="000000"/>
            </w:tcBorders>
          </w:tcPr>
          <w:p>
            <w:pPr>
              <w:pStyle w:val="TableParagraph"/>
              <w:ind w:left="534" w:right="212" w:firstLine="237"/>
              <w:rPr>
                <w:sz w:val="24"/>
              </w:rPr>
            </w:pPr>
            <w:r>
              <w:rPr>
                <w:sz w:val="24"/>
              </w:rPr>
              <w:t>Nr. probe recoltate</w:t>
            </w:r>
          </w:p>
        </w:tc>
        <w:tc>
          <w:tcPr>
            <w:tcW w:w="2972" w:type="dxa"/>
            <w:tcBorders>
              <w:left w:val="single" w:sz="6" w:space="0" w:color="000000"/>
              <w:bottom w:val="single" w:sz="6" w:space="0" w:color="000000"/>
              <w:right w:val="single" w:sz="6" w:space="0" w:color="000000"/>
            </w:tcBorders>
          </w:tcPr>
          <w:p>
            <w:pPr>
              <w:pStyle w:val="TableParagraph"/>
              <w:ind w:left="867" w:right="270" w:hanging="39"/>
              <w:rPr>
                <w:sz w:val="24"/>
              </w:rPr>
            </w:pPr>
            <w:r>
              <w:rPr>
                <w:sz w:val="24"/>
              </w:rPr>
              <w:t>Necorespunzatoare chimic (%)*</w:t>
            </w:r>
          </w:p>
        </w:tc>
        <w:tc>
          <w:tcPr>
            <w:tcW w:w="2989" w:type="dxa"/>
            <w:tcBorders>
              <w:left w:val="single" w:sz="6" w:space="0" w:color="000000"/>
              <w:bottom w:val="single" w:sz="6" w:space="0" w:color="000000"/>
            </w:tcBorders>
          </w:tcPr>
          <w:p>
            <w:pPr>
              <w:pStyle w:val="TableParagraph"/>
              <w:ind w:left="634" w:right="265" w:firstLine="201"/>
              <w:rPr>
                <w:sz w:val="24"/>
              </w:rPr>
            </w:pPr>
            <w:r>
              <w:rPr>
                <w:sz w:val="24"/>
              </w:rPr>
              <w:t>Necorespunzatoare bacteriologic (%)</w:t>
            </w:r>
          </w:p>
        </w:tc>
      </w:tr>
      <w:tr>
        <w:trPr>
          <w:trHeight w:val="275" w:hRule="atLeast"/>
        </w:trPr>
        <w:tc>
          <w:tcPr>
            <w:tcW w:w="1412" w:type="dxa"/>
            <w:tcBorders>
              <w:top w:val="single" w:sz="6" w:space="0" w:color="000000"/>
              <w:bottom w:val="single" w:sz="6" w:space="0" w:color="000000"/>
              <w:right w:val="single" w:sz="6" w:space="0" w:color="000000"/>
            </w:tcBorders>
          </w:tcPr>
          <w:p>
            <w:pPr>
              <w:pStyle w:val="TableParagraph"/>
              <w:spacing w:line="255" w:lineRule="exact"/>
              <w:ind w:right="238"/>
              <w:jc w:val="right"/>
              <w:rPr>
                <w:sz w:val="24"/>
              </w:rPr>
            </w:pPr>
            <w:r>
              <w:rPr>
                <w:sz w:val="24"/>
              </w:rPr>
              <w:t>2008</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left="673"/>
              <w:rPr>
                <w:sz w:val="24"/>
              </w:rPr>
            </w:pPr>
            <w:r>
              <w:rPr>
                <w:sz w:val="24"/>
              </w:rPr>
              <w:t>300</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55" w:lineRule="exact"/>
              <w:ind w:right="1141"/>
              <w:jc w:val="right"/>
              <w:rPr>
                <w:sz w:val="24"/>
              </w:rPr>
            </w:pPr>
            <w:r>
              <w:rPr>
                <w:sz w:val="24"/>
              </w:rPr>
              <w:t>0</w:t>
            </w:r>
          </w:p>
        </w:tc>
      </w:tr>
      <w:tr>
        <w:trPr>
          <w:trHeight w:val="275" w:hRule="atLeast"/>
        </w:trPr>
        <w:tc>
          <w:tcPr>
            <w:tcW w:w="1412" w:type="dxa"/>
            <w:tcBorders>
              <w:top w:val="single" w:sz="6" w:space="0" w:color="000000"/>
              <w:bottom w:val="single" w:sz="6" w:space="0" w:color="000000"/>
              <w:right w:val="single" w:sz="6" w:space="0" w:color="000000"/>
            </w:tcBorders>
          </w:tcPr>
          <w:p>
            <w:pPr>
              <w:pStyle w:val="TableParagraph"/>
              <w:spacing w:line="255" w:lineRule="exact"/>
              <w:ind w:right="238"/>
              <w:jc w:val="right"/>
              <w:rPr>
                <w:sz w:val="24"/>
              </w:rPr>
            </w:pPr>
            <w:r>
              <w:rPr>
                <w:sz w:val="24"/>
              </w:rPr>
              <w:t>2009</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left="673"/>
              <w:rPr>
                <w:sz w:val="24"/>
              </w:rPr>
            </w:pPr>
            <w:r>
              <w:rPr>
                <w:sz w:val="24"/>
              </w:rPr>
              <w:t>414</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55" w:lineRule="exact"/>
              <w:ind w:right="1141"/>
              <w:jc w:val="right"/>
              <w:rPr>
                <w:sz w:val="24"/>
              </w:rPr>
            </w:pPr>
            <w:r>
              <w:rPr>
                <w:sz w:val="24"/>
              </w:rPr>
              <w:t>0</w:t>
            </w:r>
          </w:p>
        </w:tc>
      </w:tr>
      <w:tr>
        <w:trPr>
          <w:trHeight w:val="359"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238"/>
              <w:jc w:val="right"/>
              <w:rPr>
                <w:sz w:val="24"/>
              </w:rPr>
            </w:pPr>
            <w:r>
              <w:rPr>
                <w:sz w:val="24"/>
              </w:rPr>
              <w:t>2010</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673"/>
              <w:rPr>
                <w:sz w:val="24"/>
              </w:rPr>
            </w:pPr>
            <w:r>
              <w:rPr>
                <w:sz w:val="24"/>
              </w:rPr>
              <w:t>309</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75" w:lineRule="exact"/>
              <w:ind w:right="1141"/>
              <w:jc w:val="right"/>
              <w:rPr>
                <w:sz w:val="24"/>
              </w:rPr>
            </w:pPr>
            <w:r>
              <w:rPr>
                <w:sz w:val="24"/>
              </w:rPr>
              <w:t>0</w:t>
            </w:r>
          </w:p>
        </w:tc>
      </w:tr>
      <w:tr>
        <w:trPr>
          <w:trHeight w:val="361" w:hRule="atLeast"/>
        </w:trPr>
        <w:tc>
          <w:tcPr>
            <w:tcW w:w="1412" w:type="dxa"/>
            <w:tcBorders>
              <w:top w:val="single" w:sz="6" w:space="0" w:color="000000"/>
              <w:bottom w:val="single" w:sz="6" w:space="0" w:color="000000"/>
              <w:right w:val="single" w:sz="6" w:space="0" w:color="000000"/>
            </w:tcBorders>
          </w:tcPr>
          <w:p>
            <w:pPr>
              <w:pStyle w:val="TableParagraph"/>
              <w:spacing w:before="1"/>
              <w:ind w:right="238"/>
              <w:jc w:val="right"/>
              <w:rPr>
                <w:sz w:val="24"/>
              </w:rPr>
            </w:pPr>
            <w:r>
              <w:rPr>
                <w:sz w:val="24"/>
              </w:rPr>
              <w:t>2011</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before="1"/>
              <w:ind w:left="673"/>
              <w:rPr>
                <w:sz w:val="24"/>
              </w:rPr>
            </w:pPr>
            <w:r>
              <w:rPr>
                <w:sz w:val="24"/>
              </w:rPr>
              <w:t>134</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before="1"/>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before="1"/>
              <w:ind w:right="1141"/>
              <w:jc w:val="right"/>
              <w:rPr>
                <w:sz w:val="24"/>
              </w:rPr>
            </w:pPr>
            <w:r>
              <w:rPr>
                <w:sz w:val="24"/>
              </w:rPr>
              <w:t>0</w:t>
            </w:r>
          </w:p>
        </w:tc>
      </w:tr>
      <w:tr>
        <w:trPr>
          <w:trHeight w:val="359"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238"/>
              <w:jc w:val="right"/>
              <w:rPr>
                <w:sz w:val="24"/>
              </w:rPr>
            </w:pPr>
            <w:r>
              <w:rPr>
                <w:sz w:val="24"/>
              </w:rPr>
              <w:t>2012</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673"/>
              <w:rPr>
                <w:sz w:val="24"/>
              </w:rPr>
            </w:pPr>
            <w:r>
              <w:rPr>
                <w:sz w:val="24"/>
              </w:rPr>
              <w:t>166</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75" w:lineRule="exact"/>
              <w:ind w:right="1141"/>
              <w:jc w:val="right"/>
              <w:rPr>
                <w:sz w:val="24"/>
              </w:rPr>
            </w:pPr>
            <w:r>
              <w:rPr>
                <w:sz w:val="24"/>
              </w:rPr>
              <w:t>0</w:t>
            </w:r>
          </w:p>
        </w:tc>
      </w:tr>
      <w:tr>
        <w:trPr>
          <w:trHeight w:val="359"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238"/>
              <w:jc w:val="right"/>
              <w:rPr>
                <w:sz w:val="24"/>
              </w:rPr>
            </w:pPr>
            <w:r>
              <w:rPr>
                <w:sz w:val="24"/>
              </w:rPr>
              <w:t>2013</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673"/>
              <w:rPr>
                <w:sz w:val="24"/>
              </w:rPr>
            </w:pPr>
            <w:r>
              <w:rPr>
                <w:sz w:val="24"/>
              </w:rPr>
              <w:t>137</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75" w:lineRule="exact"/>
              <w:ind w:right="1141"/>
              <w:jc w:val="right"/>
              <w:rPr>
                <w:sz w:val="24"/>
              </w:rPr>
            </w:pPr>
            <w:r>
              <w:rPr>
                <w:sz w:val="24"/>
              </w:rPr>
              <w:t>0</w:t>
            </w:r>
          </w:p>
        </w:tc>
      </w:tr>
      <w:tr>
        <w:trPr>
          <w:trHeight w:val="359"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238"/>
              <w:jc w:val="right"/>
              <w:rPr>
                <w:sz w:val="24"/>
              </w:rPr>
            </w:pPr>
            <w:r>
              <w:rPr>
                <w:sz w:val="24"/>
              </w:rPr>
              <w:t>2014</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673"/>
              <w:rPr>
                <w:sz w:val="24"/>
              </w:rPr>
            </w:pPr>
            <w:r>
              <w:rPr>
                <w:sz w:val="24"/>
              </w:rPr>
              <w:t>158</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160"/>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75" w:lineRule="exact"/>
              <w:ind w:right="1141"/>
              <w:jc w:val="right"/>
              <w:rPr>
                <w:sz w:val="24"/>
              </w:rPr>
            </w:pPr>
            <w:r>
              <w:rPr>
                <w:sz w:val="24"/>
              </w:rPr>
              <w:t>0</w:t>
            </w:r>
          </w:p>
        </w:tc>
      </w:tr>
      <w:tr>
        <w:trPr>
          <w:trHeight w:val="361" w:hRule="atLeast"/>
        </w:trPr>
        <w:tc>
          <w:tcPr>
            <w:tcW w:w="1412" w:type="dxa"/>
            <w:tcBorders>
              <w:top w:val="single" w:sz="6" w:space="0" w:color="000000"/>
              <w:bottom w:val="single" w:sz="6" w:space="0" w:color="000000"/>
              <w:right w:val="single" w:sz="6" w:space="0" w:color="000000"/>
            </w:tcBorders>
          </w:tcPr>
          <w:p>
            <w:pPr>
              <w:pStyle w:val="TableParagraph"/>
              <w:spacing w:before="1"/>
              <w:ind w:right="238"/>
              <w:jc w:val="right"/>
              <w:rPr>
                <w:sz w:val="24"/>
              </w:rPr>
            </w:pPr>
            <w:r>
              <w:rPr>
                <w:sz w:val="24"/>
              </w:rPr>
              <w:t>2015</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before="1"/>
              <w:ind w:left="673"/>
              <w:rPr>
                <w:sz w:val="24"/>
              </w:rPr>
            </w:pPr>
            <w:r>
              <w:rPr>
                <w:sz w:val="24"/>
              </w:rPr>
              <w:t>155</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before="1"/>
              <w:ind w:right="1146"/>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before="1"/>
              <w:ind w:right="1141"/>
              <w:jc w:val="right"/>
              <w:rPr>
                <w:sz w:val="24"/>
              </w:rPr>
            </w:pPr>
            <w:r>
              <w:rPr>
                <w:sz w:val="24"/>
              </w:rPr>
              <w:t>0</w:t>
            </w:r>
          </w:p>
        </w:tc>
      </w:tr>
      <w:tr>
        <w:trPr>
          <w:trHeight w:val="359"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238"/>
              <w:jc w:val="right"/>
              <w:rPr>
                <w:sz w:val="24"/>
              </w:rPr>
            </w:pPr>
            <w:r>
              <w:rPr>
                <w:sz w:val="24"/>
              </w:rPr>
              <w:t>2016</w:t>
            </w:r>
          </w:p>
        </w:tc>
        <w:tc>
          <w:tcPr>
            <w:tcW w:w="1938"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673"/>
              <w:rPr>
                <w:sz w:val="24"/>
              </w:rPr>
            </w:pPr>
            <w:r>
              <w:rPr>
                <w:sz w:val="24"/>
              </w:rPr>
              <w:t>146</w:t>
            </w:r>
          </w:p>
        </w:tc>
        <w:tc>
          <w:tcPr>
            <w:tcW w:w="2972"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160"/>
              <w:jc w:val="right"/>
              <w:rPr>
                <w:sz w:val="24"/>
              </w:rPr>
            </w:pPr>
            <w:r>
              <w:rPr>
                <w:sz w:val="24"/>
              </w:rPr>
              <w:t>0</w:t>
            </w:r>
          </w:p>
        </w:tc>
        <w:tc>
          <w:tcPr>
            <w:tcW w:w="2989" w:type="dxa"/>
            <w:tcBorders>
              <w:top w:val="single" w:sz="6" w:space="0" w:color="000000"/>
              <w:left w:val="single" w:sz="6" w:space="0" w:color="000000"/>
              <w:bottom w:val="single" w:sz="6" w:space="0" w:color="000000"/>
            </w:tcBorders>
          </w:tcPr>
          <w:p>
            <w:pPr>
              <w:pStyle w:val="TableParagraph"/>
              <w:spacing w:line="275" w:lineRule="exact"/>
              <w:ind w:right="1141"/>
              <w:jc w:val="right"/>
              <w:rPr>
                <w:sz w:val="24"/>
              </w:rPr>
            </w:pPr>
            <w:r>
              <w:rPr>
                <w:sz w:val="24"/>
              </w:rPr>
              <w:t>0</w:t>
            </w:r>
          </w:p>
        </w:tc>
      </w:tr>
      <w:tr>
        <w:trPr>
          <w:trHeight w:val="361" w:hRule="atLeast"/>
        </w:trPr>
        <w:tc>
          <w:tcPr>
            <w:tcW w:w="1412" w:type="dxa"/>
            <w:tcBorders>
              <w:top w:val="single" w:sz="6" w:space="0" w:color="000000"/>
              <w:right w:val="single" w:sz="6" w:space="0" w:color="000000"/>
            </w:tcBorders>
          </w:tcPr>
          <w:p>
            <w:pPr>
              <w:pStyle w:val="TableParagraph"/>
              <w:spacing w:line="275" w:lineRule="exact"/>
              <w:ind w:right="238"/>
              <w:jc w:val="right"/>
              <w:rPr>
                <w:sz w:val="24"/>
              </w:rPr>
            </w:pPr>
            <w:r>
              <w:rPr>
                <w:sz w:val="24"/>
              </w:rPr>
              <w:t>2017</w:t>
            </w:r>
          </w:p>
        </w:tc>
        <w:tc>
          <w:tcPr>
            <w:tcW w:w="1938" w:type="dxa"/>
            <w:tcBorders>
              <w:top w:val="single" w:sz="6" w:space="0" w:color="000000"/>
              <w:left w:val="single" w:sz="6" w:space="0" w:color="000000"/>
              <w:right w:val="single" w:sz="6" w:space="0" w:color="000000"/>
            </w:tcBorders>
          </w:tcPr>
          <w:p>
            <w:pPr>
              <w:pStyle w:val="TableParagraph"/>
              <w:spacing w:line="275" w:lineRule="exact"/>
              <w:ind w:left="673"/>
              <w:rPr>
                <w:sz w:val="24"/>
              </w:rPr>
            </w:pPr>
            <w:r>
              <w:rPr>
                <w:sz w:val="24"/>
              </w:rPr>
              <w:t>132</w:t>
            </w:r>
          </w:p>
        </w:tc>
        <w:tc>
          <w:tcPr>
            <w:tcW w:w="2972" w:type="dxa"/>
            <w:tcBorders>
              <w:top w:val="single" w:sz="6" w:space="0" w:color="000000"/>
              <w:left w:val="single" w:sz="6" w:space="0" w:color="000000"/>
              <w:right w:val="single" w:sz="6" w:space="0" w:color="000000"/>
            </w:tcBorders>
          </w:tcPr>
          <w:p>
            <w:pPr>
              <w:pStyle w:val="TableParagraph"/>
              <w:spacing w:line="275" w:lineRule="exact"/>
              <w:ind w:right="25"/>
              <w:jc w:val="center"/>
              <w:rPr>
                <w:sz w:val="24"/>
              </w:rPr>
            </w:pPr>
            <w:r>
              <w:rPr>
                <w:sz w:val="24"/>
              </w:rPr>
              <w:t>0</w:t>
            </w:r>
          </w:p>
        </w:tc>
        <w:tc>
          <w:tcPr>
            <w:tcW w:w="2989" w:type="dxa"/>
            <w:tcBorders>
              <w:top w:val="single" w:sz="6" w:space="0" w:color="000000"/>
              <w:left w:val="single" w:sz="6" w:space="0" w:color="000000"/>
            </w:tcBorders>
          </w:tcPr>
          <w:p>
            <w:pPr>
              <w:pStyle w:val="TableParagraph"/>
              <w:spacing w:line="275" w:lineRule="exact"/>
              <w:ind w:right="1141"/>
              <w:jc w:val="right"/>
              <w:rPr>
                <w:sz w:val="24"/>
              </w:rPr>
            </w:pPr>
            <w:r>
              <w:rPr>
                <w:sz w:val="24"/>
              </w:rPr>
              <w:t>0</w:t>
            </w:r>
          </w:p>
        </w:tc>
      </w:tr>
    </w:tbl>
    <w:p>
      <w:pPr>
        <w:pStyle w:val="BodyText"/>
        <w:spacing w:before="13"/>
        <w:ind w:left="799"/>
      </w:pPr>
      <w:r>
        <w:rPr/>
        <w:t>* cu exceptia clorului rezidual liber</w:t>
      </w:r>
    </w:p>
    <w:p>
      <w:pPr>
        <w:pStyle w:val="BodyText"/>
        <w:ind w:left="0"/>
      </w:pPr>
    </w:p>
    <w:p>
      <w:pPr>
        <w:pStyle w:val="BodyText"/>
        <w:ind w:left="233" w:right="833" w:firstLine="302"/>
        <w:jc w:val="both"/>
      </w:pPr>
      <w:r>
        <w:rPr>
          <w:spacing w:val="-3"/>
        </w:rPr>
        <w:t>In </w:t>
      </w:r>
      <w:r>
        <w:rPr/>
        <w:t>2017, s-au prelevat de la cele 3 statii de tratare a apei, 132 probe pentru determinarea parametrilor microbiologici si 132 de probe pentru determinarea parametrilor chimici si indicatori; 100(%) au fost corespunzatoare microbiologic si fizico-chimic, exceptand parametrul indicator clor rezidual liber neconform (CRL &gt; 0,50 mg/l) in 97,72% din probe. Precizam ca apa produsa nu este distribuita direct, aceasta stationand un interval de timp, de ordinul a cateva ore in rezervoarele de inmagazinare ale sistemului de alimentare cu apa a municipiului Bucuresti. </w:t>
      </w:r>
      <w:r>
        <w:rPr>
          <w:spacing w:val="-3"/>
        </w:rPr>
        <w:t>In </w:t>
      </w:r>
      <w:r>
        <w:rPr/>
        <w:t>acest interval de timp, concentratia clorului se reduce in mod natural prin degajare din apa sau prin reactie cu urmele de substante organice din</w:t>
      </w:r>
      <w:r>
        <w:rPr>
          <w:spacing w:val="-1"/>
        </w:rPr>
        <w:t> </w:t>
      </w:r>
      <w:r>
        <w:rPr/>
        <w:t>aceasta</w:t>
      </w:r>
      <w:r>
        <w:rPr>
          <w:color w:val="FF00FF"/>
        </w:rPr>
        <w:t>.</w:t>
      </w:r>
    </w:p>
    <w:p>
      <w:pPr>
        <w:pStyle w:val="BodyText"/>
        <w:spacing w:before="1"/>
        <w:ind w:left="0"/>
      </w:pPr>
    </w:p>
    <w:p>
      <w:pPr>
        <w:pStyle w:val="BodyText"/>
        <w:spacing w:after="16"/>
        <w:ind w:left="799"/>
      </w:pPr>
      <w:r>
        <w:rPr/>
        <w:t>Procentajul probelor necorespunzatoare recoltate din punctele fixe ale retelei</w:t>
      </w:r>
    </w:p>
    <w:tbl>
      <w:tblPr>
        <w:tblW w:w="0" w:type="auto"/>
        <w:jc w:val="left"/>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412"/>
        <w:gridCol w:w="2363"/>
        <w:gridCol w:w="3086"/>
        <w:gridCol w:w="2783"/>
      </w:tblGrid>
      <w:tr>
        <w:trPr>
          <w:trHeight w:val="550" w:hRule="atLeast"/>
        </w:trPr>
        <w:tc>
          <w:tcPr>
            <w:tcW w:w="1412" w:type="dxa"/>
            <w:tcBorders>
              <w:bottom w:val="single" w:sz="6" w:space="0" w:color="000000"/>
              <w:right w:val="single" w:sz="6" w:space="0" w:color="000000"/>
            </w:tcBorders>
          </w:tcPr>
          <w:p>
            <w:pPr>
              <w:pStyle w:val="TableParagraph"/>
              <w:spacing w:line="274" w:lineRule="exact"/>
              <w:ind w:right="185"/>
              <w:jc w:val="right"/>
              <w:rPr>
                <w:sz w:val="24"/>
              </w:rPr>
            </w:pPr>
            <w:r>
              <w:rPr>
                <w:w w:val="95"/>
                <w:sz w:val="24"/>
              </w:rPr>
              <w:t>Anul</w:t>
            </w:r>
          </w:p>
        </w:tc>
        <w:tc>
          <w:tcPr>
            <w:tcW w:w="2363" w:type="dxa"/>
            <w:tcBorders>
              <w:left w:val="single" w:sz="6" w:space="0" w:color="000000"/>
              <w:bottom w:val="single" w:sz="6" w:space="0" w:color="000000"/>
              <w:right w:val="single" w:sz="6" w:space="0" w:color="000000"/>
            </w:tcBorders>
          </w:tcPr>
          <w:p>
            <w:pPr>
              <w:pStyle w:val="TableParagraph"/>
              <w:spacing w:line="276" w:lineRule="exact" w:before="1"/>
              <w:ind w:left="745" w:right="454" w:firstLine="269"/>
              <w:rPr>
                <w:sz w:val="24"/>
              </w:rPr>
            </w:pPr>
            <w:r>
              <w:rPr>
                <w:sz w:val="24"/>
              </w:rPr>
              <w:t>Nr.probe recoltate</w:t>
            </w:r>
          </w:p>
        </w:tc>
        <w:tc>
          <w:tcPr>
            <w:tcW w:w="3086" w:type="dxa"/>
            <w:tcBorders>
              <w:left w:val="single" w:sz="6" w:space="0" w:color="000000"/>
              <w:bottom w:val="single" w:sz="6" w:space="0" w:color="000000"/>
              <w:right w:val="single" w:sz="6" w:space="0" w:color="000000"/>
            </w:tcBorders>
          </w:tcPr>
          <w:p>
            <w:pPr>
              <w:pStyle w:val="TableParagraph"/>
              <w:spacing w:line="276" w:lineRule="exact" w:before="1"/>
              <w:ind w:left="922" w:right="329" w:hanging="39"/>
              <w:rPr>
                <w:sz w:val="24"/>
              </w:rPr>
            </w:pPr>
            <w:r>
              <w:rPr>
                <w:sz w:val="24"/>
              </w:rPr>
              <w:t>Necorespunzatoare chimic (%)*</w:t>
            </w:r>
          </w:p>
        </w:tc>
        <w:tc>
          <w:tcPr>
            <w:tcW w:w="2783" w:type="dxa"/>
            <w:tcBorders>
              <w:left w:val="single" w:sz="6" w:space="0" w:color="000000"/>
              <w:bottom w:val="single" w:sz="6" w:space="0" w:color="000000"/>
            </w:tcBorders>
          </w:tcPr>
          <w:p>
            <w:pPr>
              <w:pStyle w:val="TableParagraph"/>
              <w:spacing w:line="276" w:lineRule="exact" w:before="1"/>
              <w:ind w:left="530" w:right="163" w:firstLine="201"/>
              <w:rPr>
                <w:sz w:val="24"/>
              </w:rPr>
            </w:pPr>
            <w:r>
              <w:rPr>
                <w:sz w:val="24"/>
              </w:rPr>
              <w:t>Necorespunzatoare bacteriologic (%)</w:t>
            </w:r>
          </w:p>
        </w:tc>
      </w:tr>
      <w:tr>
        <w:trPr>
          <w:trHeight w:val="275" w:hRule="atLeast"/>
        </w:trPr>
        <w:tc>
          <w:tcPr>
            <w:tcW w:w="1412" w:type="dxa"/>
            <w:tcBorders>
              <w:top w:val="single" w:sz="6" w:space="0" w:color="000000"/>
              <w:bottom w:val="single" w:sz="6" w:space="0" w:color="000000"/>
              <w:right w:val="single" w:sz="6" w:space="0" w:color="000000"/>
            </w:tcBorders>
          </w:tcPr>
          <w:p>
            <w:pPr>
              <w:pStyle w:val="TableParagraph"/>
              <w:spacing w:line="256" w:lineRule="exact"/>
              <w:ind w:right="185"/>
              <w:jc w:val="right"/>
              <w:rPr>
                <w:sz w:val="24"/>
              </w:rPr>
            </w:pPr>
            <w:r>
              <w:rPr>
                <w:sz w:val="24"/>
              </w:rPr>
              <w:t>2008</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right="663"/>
              <w:jc w:val="right"/>
              <w:rPr>
                <w:sz w:val="24"/>
              </w:rPr>
            </w:pPr>
            <w:r>
              <w:rPr>
                <w:sz w:val="24"/>
              </w:rPr>
              <w:t>3082</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right="1207"/>
              <w:jc w:val="right"/>
              <w:rPr>
                <w:sz w:val="24"/>
              </w:rPr>
            </w:pPr>
            <w:r>
              <w:rPr>
                <w:sz w:val="24"/>
              </w:rPr>
              <w:t>0</w:t>
            </w:r>
          </w:p>
        </w:tc>
        <w:tc>
          <w:tcPr>
            <w:tcW w:w="2783" w:type="dxa"/>
            <w:tcBorders>
              <w:top w:val="single" w:sz="6" w:space="0" w:color="000000"/>
              <w:left w:val="single" w:sz="6" w:space="0" w:color="000000"/>
              <w:bottom w:val="single" w:sz="6" w:space="0" w:color="000000"/>
            </w:tcBorders>
          </w:tcPr>
          <w:p>
            <w:pPr>
              <w:pStyle w:val="TableParagraph"/>
              <w:spacing w:line="256" w:lineRule="exact"/>
              <w:ind w:left="1419" w:right="873"/>
              <w:jc w:val="center"/>
              <w:rPr>
                <w:sz w:val="24"/>
              </w:rPr>
            </w:pPr>
            <w:r>
              <w:rPr>
                <w:sz w:val="24"/>
              </w:rPr>
              <w:t>0,65</w:t>
            </w:r>
          </w:p>
        </w:tc>
      </w:tr>
      <w:tr>
        <w:trPr>
          <w:trHeight w:val="275" w:hRule="atLeast"/>
        </w:trPr>
        <w:tc>
          <w:tcPr>
            <w:tcW w:w="1412" w:type="dxa"/>
            <w:tcBorders>
              <w:top w:val="single" w:sz="6" w:space="0" w:color="000000"/>
              <w:bottom w:val="single" w:sz="6" w:space="0" w:color="000000"/>
              <w:right w:val="single" w:sz="6" w:space="0" w:color="000000"/>
            </w:tcBorders>
          </w:tcPr>
          <w:p>
            <w:pPr>
              <w:pStyle w:val="TableParagraph"/>
              <w:spacing w:line="255" w:lineRule="exact"/>
              <w:ind w:right="185"/>
              <w:jc w:val="right"/>
              <w:rPr>
                <w:sz w:val="24"/>
              </w:rPr>
            </w:pPr>
            <w:r>
              <w:rPr>
                <w:sz w:val="24"/>
              </w:rPr>
              <w:t>2009</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663"/>
              <w:jc w:val="right"/>
              <w:rPr>
                <w:sz w:val="24"/>
              </w:rPr>
            </w:pPr>
            <w:r>
              <w:rPr>
                <w:sz w:val="24"/>
              </w:rPr>
              <w:t>2555</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1207"/>
              <w:jc w:val="right"/>
              <w:rPr>
                <w:sz w:val="24"/>
              </w:rPr>
            </w:pPr>
            <w:r>
              <w:rPr>
                <w:sz w:val="24"/>
              </w:rPr>
              <w:t>0</w:t>
            </w:r>
          </w:p>
        </w:tc>
        <w:tc>
          <w:tcPr>
            <w:tcW w:w="2783" w:type="dxa"/>
            <w:tcBorders>
              <w:top w:val="single" w:sz="6" w:space="0" w:color="000000"/>
              <w:left w:val="single" w:sz="6" w:space="0" w:color="000000"/>
              <w:bottom w:val="single" w:sz="6" w:space="0" w:color="000000"/>
            </w:tcBorders>
          </w:tcPr>
          <w:p>
            <w:pPr>
              <w:pStyle w:val="TableParagraph"/>
              <w:spacing w:line="255" w:lineRule="exact"/>
              <w:ind w:left="549"/>
              <w:jc w:val="center"/>
              <w:rPr>
                <w:sz w:val="24"/>
              </w:rPr>
            </w:pPr>
            <w:r>
              <w:rPr>
                <w:sz w:val="24"/>
              </w:rPr>
              <w:t>0</w:t>
            </w:r>
          </w:p>
        </w:tc>
      </w:tr>
      <w:tr>
        <w:trPr>
          <w:trHeight w:val="400" w:hRule="atLeast"/>
        </w:trPr>
        <w:tc>
          <w:tcPr>
            <w:tcW w:w="1412" w:type="dxa"/>
            <w:tcBorders>
              <w:top w:val="single" w:sz="6" w:space="0" w:color="000000"/>
              <w:bottom w:val="single" w:sz="6" w:space="0" w:color="000000"/>
              <w:right w:val="single" w:sz="6" w:space="0" w:color="000000"/>
            </w:tcBorders>
          </w:tcPr>
          <w:p>
            <w:pPr>
              <w:pStyle w:val="TableParagraph"/>
              <w:spacing w:line="275" w:lineRule="exact"/>
              <w:ind w:right="185"/>
              <w:jc w:val="right"/>
              <w:rPr>
                <w:sz w:val="24"/>
              </w:rPr>
            </w:pPr>
            <w:r>
              <w:rPr>
                <w:sz w:val="24"/>
              </w:rPr>
              <w:t>2010</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663"/>
              <w:jc w:val="right"/>
              <w:rPr>
                <w:sz w:val="24"/>
              </w:rPr>
            </w:pPr>
            <w:r>
              <w:rPr>
                <w:sz w:val="24"/>
              </w:rPr>
              <w:t>1534</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207"/>
              <w:jc w:val="right"/>
              <w:rPr>
                <w:sz w:val="24"/>
              </w:rPr>
            </w:pPr>
            <w:r>
              <w:rPr>
                <w:sz w:val="24"/>
              </w:rPr>
              <w:t>0</w:t>
            </w:r>
          </w:p>
        </w:tc>
        <w:tc>
          <w:tcPr>
            <w:tcW w:w="2783" w:type="dxa"/>
            <w:tcBorders>
              <w:top w:val="single" w:sz="6" w:space="0" w:color="000000"/>
              <w:left w:val="single" w:sz="6" w:space="0" w:color="000000"/>
              <w:bottom w:val="single" w:sz="6" w:space="0" w:color="000000"/>
            </w:tcBorders>
          </w:tcPr>
          <w:p>
            <w:pPr>
              <w:pStyle w:val="TableParagraph"/>
              <w:spacing w:line="275" w:lineRule="exact"/>
              <w:ind w:left="549"/>
              <w:jc w:val="center"/>
              <w:rPr>
                <w:sz w:val="24"/>
              </w:rPr>
            </w:pPr>
            <w:r>
              <w:rPr>
                <w:sz w:val="24"/>
              </w:rPr>
              <w:t>0</w:t>
            </w:r>
          </w:p>
        </w:tc>
      </w:tr>
      <w:tr>
        <w:trPr>
          <w:trHeight w:val="400" w:hRule="atLeast"/>
        </w:trPr>
        <w:tc>
          <w:tcPr>
            <w:tcW w:w="1412" w:type="dxa"/>
            <w:tcBorders>
              <w:top w:val="single" w:sz="6" w:space="0" w:color="000000"/>
              <w:right w:val="single" w:sz="6" w:space="0" w:color="000000"/>
            </w:tcBorders>
          </w:tcPr>
          <w:p>
            <w:pPr>
              <w:pStyle w:val="TableParagraph"/>
              <w:spacing w:line="275" w:lineRule="exact"/>
              <w:ind w:right="185"/>
              <w:jc w:val="right"/>
              <w:rPr>
                <w:sz w:val="24"/>
              </w:rPr>
            </w:pPr>
            <w:r>
              <w:rPr>
                <w:sz w:val="24"/>
              </w:rPr>
              <w:t>2011</w:t>
            </w:r>
          </w:p>
        </w:tc>
        <w:tc>
          <w:tcPr>
            <w:tcW w:w="2363" w:type="dxa"/>
            <w:tcBorders>
              <w:top w:val="single" w:sz="6" w:space="0" w:color="000000"/>
              <w:left w:val="single" w:sz="6" w:space="0" w:color="000000"/>
              <w:right w:val="single" w:sz="6" w:space="0" w:color="000000"/>
            </w:tcBorders>
          </w:tcPr>
          <w:p>
            <w:pPr>
              <w:pStyle w:val="TableParagraph"/>
              <w:spacing w:line="275" w:lineRule="exact"/>
              <w:ind w:right="663"/>
              <w:jc w:val="right"/>
              <w:rPr>
                <w:sz w:val="24"/>
              </w:rPr>
            </w:pPr>
            <w:r>
              <w:rPr>
                <w:sz w:val="24"/>
              </w:rPr>
              <w:t>2142</w:t>
            </w:r>
          </w:p>
        </w:tc>
        <w:tc>
          <w:tcPr>
            <w:tcW w:w="3086" w:type="dxa"/>
            <w:tcBorders>
              <w:top w:val="single" w:sz="6" w:space="0" w:color="000000"/>
              <w:left w:val="single" w:sz="6" w:space="0" w:color="000000"/>
              <w:right w:val="single" w:sz="6" w:space="0" w:color="000000"/>
            </w:tcBorders>
          </w:tcPr>
          <w:p>
            <w:pPr>
              <w:pStyle w:val="TableParagraph"/>
              <w:spacing w:line="275" w:lineRule="exact"/>
              <w:ind w:right="1207"/>
              <w:jc w:val="right"/>
              <w:rPr>
                <w:sz w:val="24"/>
              </w:rPr>
            </w:pPr>
            <w:r>
              <w:rPr>
                <w:sz w:val="24"/>
              </w:rPr>
              <w:t>0</w:t>
            </w:r>
          </w:p>
        </w:tc>
        <w:tc>
          <w:tcPr>
            <w:tcW w:w="2783" w:type="dxa"/>
            <w:tcBorders>
              <w:top w:val="single" w:sz="6" w:space="0" w:color="000000"/>
              <w:left w:val="single" w:sz="6" w:space="0" w:color="000000"/>
            </w:tcBorders>
          </w:tcPr>
          <w:p>
            <w:pPr>
              <w:pStyle w:val="TableParagraph"/>
              <w:spacing w:line="275" w:lineRule="exact"/>
              <w:ind w:left="1419" w:right="873"/>
              <w:jc w:val="center"/>
              <w:rPr>
                <w:sz w:val="24"/>
              </w:rPr>
            </w:pPr>
            <w:r>
              <w:rPr>
                <w:sz w:val="24"/>
              </w:rPr>
              <w:t>0,19</w:t>
            </w:r>
          </w:p>
        </w:tc>
      </w:tr>
    </w:tbl>
    <w:p>
      <w:pPr>
        <w:spacing w:after="0" w:line="275" w:lineRule="exact"/>
        <w:jc w:val="center"/>
        <w:rPr>
          <w:sz w:val="24"/>
        </w:rPr>
        <w:sectPr>
          <w:pgSz w:w="11910" w:h="16840"/>
          <w:pgMar w:header="0" w:footer="738" w:top="1360" w:bottom="920" w:left="900" w:right="0"/>
        </w:sectPr>
      </w:pPr>
    </w:p>
    <w:tbl>
      <w:tblPr>
        <w:tblW w:w="0" w:type="auto"/>
        <w:jc w:val="left"/>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412"/>
        <w:gridCol w:w="2363"/>
        <w:gridCol w:w="3086"/>
        <w:gridCol w:w="2783"/>
      </w:tblGrid>
      <w:tr>
        <w:trPr>
          <w:trHeight w:val="400" w:hRule="atLeast"/>
        </w:trPr>
        <w:tc>
          <w:tcPr>
            <w:tcW w:w="1412" w:type="dxa"/>
            <w:tcBorders>
              <w:bottom w:val="single" w:sz="6" w:space="0" w:color="000000"/>
              <w:right w:val="single" w:sz="6" w:space="0" w:color="000000"/>
            </w:tcBorders>
          </w:tcPr>
          <w:p>
            <w:pPr>
              <w:pStyle w:val="TableParagraph"/>
              <w:spacing w:line="273" w:lineRule="exact"/>
              <w:ind w:right="185"/>
              <w:jc w:val="right"/>
              <w:rPr>
                <w:sz w:val="24"/>
              </w:rPr>
            </w:pPr>
            <w:r>
              <w:rPr>
                <w:sz w:val="24"/>
              </w:rPr>
              <w:t>2012</w:t>
            </w:r>
          </w:p>
        </w:tc>
        <w:tc>
          <w:tcPr>
            <w:tcW w:w="2363" w:type="dxa"/>
            <w:tcBorders>
              <w:left w:val="single" w:sz="6" w:space="0" w:color="000000"/>
              <w:bottom w:val="single" w:sz="6" w:space="0" w:color="000000"/>
              <w:right w:val="single" w:sz="6" w:space="0" w:color="000000"/>
            </w:tcBorders>
          </w:tcPr>
          <w:p>
            <w:pPr>
              <w:pStyle w:val="TableParagraph"/>
              <w:spacing w:line="273" w:lineRule="exact"/>
              <w:ind w:right="663"/>
              <w:jc w:val="right"/>
              <w:rPr>
                <w:sz w:val="24"/>
              </w:rPr>
            </w:pPr>
            <w:r>
              <w:rPr>
                <w:sz w:val="24"/>
              </w:rPr>
              <w:t>2044</w:t>
            </w:r>
          </w:p>
        </w:tc>
        <w:tc>
          <w:tcPr>
            <w:tcW w:w="3086" w:type="dxa"/>
            <w:tcBorders>
              <w:left w:val="single" w:sz="6" w:space="0" w:color="000000"/>
              <w:bottom w:val="single" w:sz="6" w:space="0" w:color="000000"/>
              <w:right w:val="single" w:sz="6" w:space="0" w:color="000000"/>
            </w:tcBorders>
          </w:tcPr>
          <w:p>
            <w:pPr>
              <w:pStyle w:val="TableParagraph"/>
              <w:spacing w:line="273" w:lineRule="exact"/>
              <w:ind w:left="531"/>
              <w:jc w:val="center"/>
              <w:rPr>
                <w:sz w:val="24"/>
              </w:rPr>
            </w:pPr>
            <w:r>
              <w:rPr>
                <w:sz w:val="24"/>
              </w:rPr>
              <w:t>0</w:t>
            </w:r>
          </w:p>
        </w:tc>
        <w:tc>
          <w:tcPr>
            <w:tcW w:w="2783" w:type="dxa"/>
            <w:tcBorders>
              <w:left w:val="single" w:sz="6" w:space="0" w:color="000000"/>
              <w:bottom w:val="single" w:sz="6" w:space="0" w:color="000000"/>
            </w:tcBorders>
          </w:tcPr>
          <w:p>
            <w:pPr>
              <w:pStyle w:val="TableParagraph"/>
              <w:spacing w:line="273" w:lineRule="exact"/>
              <w:ind w:right="1039"/>
              <w:jc w:val="right"/>
              <w:rPr>
                <w:sz w:val="24"/>
              </w:rPr>
            </w:pPr>
            <w:r>
              <w:rPr>
                <w:sz w:val="24"/>
              </w:rPr>
              <w:t>0</w:t>
            </w:r>
          </w:p>
        </w:tc>
      </w:tr>
      <w:tr>
        <w:trPr>
          <w:trHeight w:val="400" w:hRule="atLeast"/>
        </w:trPr>
        <w:tc>
          <w:tcPr>
            <w:tcW w:w="1412" w:type="dxa"/>
            <w:tcBorders>
              <w:top w:val="single" w:sz="6" w:space="0" w:color="000000"/>
              <w:bottom w:val="single" w:sz="6" w:space="0" w:color="000000"/>
              <w:right w:val="single" w:sz="6" w:space="0" w:color="000000"/>
            </w:tcBorders>
          </w:tcPr>
          <w:p>
            <w:pPr>
              <w:pStyle w:val="TableParagraph"/>
              <w:spacing w:line="273" w:lineRule="exact"/>
              <w:ind w:right="185"/>
              <w:jc w:val="right"/>
              <w:rPr>
                <w:sz w:val="24"/>
              </w:rPr>
            </w:pPr>
            <w:r>
              <w:rPr>
                <w:sz w:val="24"/>
              </w:rPr>
              <w:t>2013</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73" w:lineRule="exact"/>
              <w:ind w:right="663"/>
              <w:jc w:val="right"/>
              <w:rPr>
                <w:sz w:val="24"/>
              </w:rPr>
            </w:pPr>
            <w:r>
              <w:rPr>
                <w:sz w:val="24"/>
              </w:rPr>
              <w:t>2020</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73" w:lineRule="exact"/>
              <w:ind w:right="1056"/>
              <w:jc w:val="right"/>
              <w:rPr>
                <w:sz w:val="24"/>
              </w:rPr>
            </w:pPr>
            <w:r>
              <w:rPr>
                <w:sz w:val="24"/>
              </w:rPr>
              <w:t>1,63</w:t>
            </w:r>
          </w:p>
        </w:tc>
        <w:tc>
          <w:tcPr>
            <w:tcW w:w="2783" w:type="dxa"/>
            <w:tcBorders>
              <w:top w:val="single" w:sz="6" w:space="0" w:color="000000"/>
              <w:left w:val="single" w:sz="6" w:space="0" w:color="000000"/>
              <w:bottom w:val="single" w:sz="6" w:space="0" w:color="000000"/>
            </w:tcBorders>
          </w:tcPr>
          <w:p>
            <w:pPr>
              <w:pStyle w:val="TableParagraph"/>
              <w:spacing w:line="273" w:lineRule="exact"/>
              <w:ind w:right="1039"/>
              <w:jc w:val="right"/>
              <w:rPr>
                <w:sz w:val="24"/>
              </w:rPr>
            </w:pPr>
            <w:r>
              <w:rPr>
                <w:sz w:val="24"/>
              </w:rPr>
              <w:t>0</w:t>
            </w:r>
          </w:p>
        </w:tc>
      </w:tr>
      <w:tr>
        <w:trPr>
          <w:trHeight w:val="400" w:hRule="atLeast"/>
        </w:trPr>
        <w:tc>
          <w:tcPr>
            <w:tcW w:w="1412" w:type="dxa"/>
            <w:tcBorders>
              <w:top w:val="single" w:sz="6" w:space="0" w:color="000000"/>
              <w:bottom w:val="single" w:sz="6" w:space="0" w:color="000000"/>
              <w:right w:val="single" w:sz="6" w:space="0" w:color="000000"/>
            </w:tcBorders>
          </w:tcPr>
          <w:p>
            <w:pPr>
              <w:pStyle w:val="TableParagraph"/>
              <w:spacing w:line="273" w:lineRule="exact"/>
              <w:ind w:right="185"/>
              <w:jc w:val="right"/>
              <w:rPr>
                <w:sz w:val="24"/>
              </w:rPr>
            </w:pPr>
            <w:r>
              <w:rPr>
                <w:sz w:val="24"/>
              </w:rPr>
              <w:t>2014</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73" w:lineRule="exact"/>
              <w:ind w:right="663"/>
              <w:jc w:val="right"/>
              <w:rPr>
                <w:sz w:val="24"/>
              </w:rPr>
            </w:pPr>
            <w:r>
              <w:rPr>
                <w:sz w:val="24"/>
              </w:rPr>
              <w:t>2907</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73" w:lineRule="exact"/>
              <w:ind w:left="1290" w:right="1320"/>
              <w:jc w:val="center"/>
              <w:rPr>
                <w:sz w:val="24"/>
              </w:rPr>
            </w:pPr>
            <w:r>
              <w:rPr>
                <w:sz w:val="24"/>
              </w:rPr>
              <w:t>3,48</w:t>
            </w:r>
          </w:p>
        </w:tc>
        <w:tc>
          <w:tcPr>
            <w:tcW w:w="2783" w:type="dxa"/>
            <w:tcBorders>
              <w:top w:val="single" w:sz="6" w:space="0" w:color="000000"/>
              <w:left w:val="single" w:sz="6" w:space="0" w:color="000000"/>
              <w:bottom w:val="single" w:sz="6" w:space="0" w:color="000000"/>
            </w:tcBorders>
          </w:tcPr>
          <w:p>
            <w:pPr>
              <w:pStyle w:val="TableParagraph"/>
              <w:spacing w:line="273" w:lineRule="exact"/>
              <w:ind w:right="1039"/>
              <w:jc w:val="right"/>
              <w:rPr>
                <w:sz w:val="24"/>
              </w:rPr>
            </w:pPr>
            <w:r>
              <w:rPr>
                <w:sz w:val="24"/>
              </w:rPr>
              <w:t>0</w:t>
            </w:r>
          </w:p>
        </w:tc>
      </w:tr>
      <w:tr>
        <w:trPr>
          <w:trHeight w:val="400" w:hRule="atLeast"/>
        </w:trPr>
        <w:tc>
          <w:tcPr>
            <w:tcW w:w="1412" w:type="dxa"/>
            <w:tcBorders>
              <w:top w:val="single" w:sz="6" w:space="0" w:color="000000"/>
              <w:bottom w:val="single" w:sz="6" w:space="0" w:color="000000"/>
              <w:right w:val="single" w:sz="6" w:space="0" w:color="000000"/>
            </w:tcBorders>
          </w:tcPr>
          <w:p>
            <w:pPr>
              <w:pStyle w:val="TableParagraph"/>
              <w:spacing w:line="271" w:lineRule="exact"/>
              <w:ind w:right="185"/>
              <w:jc w:val="right"/>
              <w:rPr>
                <w:sz w:val="24"/>
              </w:rPr>
            </w:pPr>
            <w:r>
              <w:rPr>
                <w:sz w:val="24"/>
              </w:rPr>
              <w:t>2015</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right="663"/>
              <w:jc w:val="right"/>
              <w:rPr>
                <w:sz w:val="24"/>
              </w:rPr>
            </w:pPr>
            <w:r>
              <w:rPr>
                <w:sz w:val="24"/>
              </w:rPr>
              <w:t>2249</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right="1056"/>
              <w:jc w:val="right"/>
              <w:rPr>
                <w:sz w:val="24"/>
              </w:rPr>
            </w:pPr>
            <w:r>
              <w:rPr>
                <w:sz w:val="24"/>
              </w:rPr>
              <w:t>0.61</w:t>
            </w:r>
          </w:p>
        </w:tc>
        <w:tc>
          <w:tcPr>
            <w:tcW w:w="2783" w:type="dxa"/>
            <w:tcBorders>
              <w:top w:val="single" w:sz="6" w:space="0" w:color="000000"/>
              <w:left w:val="single" w:sz="6" w:space="0" w:color="000000"/>
              <w:bottom w:val="single" w:sz="6" w:space="0" w:color="000000"/>
            </w:tcBorders>
          </w:tcPr>
          <w:p>
            <w:pPr>
              <w:pStyle w:val="TableParagraph"/>
              <w:spacing w:line="271" w:lineRule="exact"/>
              <w:ind w:right="1039"/>
              <w:jc w:val="right"/>
              <w:rPr>
                <w:sz w:val="24"/>
              </w:rPr>
            </w:pPr>
            <w:r>
              <w:rPr>
                <w:sz w:val="24"/>
              </w:rPr>
              <w:t>0</w:t>
            </w:r>
          </w:p>
        </w:tc>
      </w:tr>
      <w:tr>
        <w:trPr>
          <w:trHeight w:val="400" w:hRule="atLeast"/>
        </w:trPr>
        <w:tc>
          <w:tcPr>
            <w:tcW w:w="1412" w:type="dxa"/>
            <w:tcBorders>
              <w:top w:val="single" w:sz="6" w:space="0" w:color="000000"/>
              <w:bottom w:val="single" w:sz="6" w:space="0" w:color="000000"/>
              <w:right w:val="single" w:sz="6" w:space="0" w:color="000000"/>
            </w:tcBorders>
          </w:tcPr>
          <w:p>
            <w:pPr>
              <w:pStyle w:val="TableParagraph"/>
              <w:spacing w:line="271" w:lineRule="exact"/>
              <w:ind w:right="185"/>
              <w:jc w:val="right"/>
              <w:rPr>
                <w:sz w:val="24"/>
              </w:rPr>
            </w:pPr>
            <w:r>
              <w:rPr>
                <w:sz w:val="24"/>
              </w:rPr>
              <w:t>2016</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right="663"/>
              <w:jc w:val="right"/>
              <w:rPr>
                <w:sz w:val="24"/>
              </w:rPr>
            </w:pPr>
            <w:r>
              <w:rPr>
                <w:sz w:val="24"/>
              </w:rPr>
              <w:t>2214</w:t>
            </w:r>
          </w:p>
        </w:tc>
        <w:tc>
          <w:tcPr>
            <w:tcW w:w="3086"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1138"/>
              <w:rPr>
                <w:sz w:val="24"/>
              </w:rPr>
            </w:pPr>
            <w:r>
              <w:rPr>
                <w:sz w:val="24"/>
              </w:rPr>
              <w:t>3.7 (Fe)</w:t>
            </w:r>
          </w:p>
        </w:tc>
        <w:tc>
          <w:tcPr>
            <w:tcW w:w="2783" w:type="dxa"/>
            <w:tcBorders>
              <w:top w:val="single" w:sz="6" w:space="0" w:color="000000"/>
              <w:left w:val="single" w:sz="6" w:space="0" w:color="000000"/>
              <w:bottom w:val="single" w:sz="6" w:space="0" w:color="000000"/>
            </w:tcBorders>
          </w:tcPr>
          <w:p>
            <w:pPr>
              <w:pStyle w:val="TableParagraph"/>
              <w:spacing w:line="271" w:lineRule="exact"/>
              <w:ind w:right="1039"/>
              <w:jc w:val="right"/>
              <w:rPr>
                <w:sz w:val="24"/>
              </w:rPr>
            </w:pPr>
            <w:r>
              <w:rPr>
                <w:sz w:val="24"/>
              </w:rPr>
              <w:t>0</w:t>
            </w:r>
          </w:p>
        </w:tc>
      </w:tr>
      <w:tr>
        <w:trPr>
          <w:trHeight w:val="301" w:hRule="atLeast"/>
        </w:trPr>
        <w:tc>
          <w:tcPr>
            <w:tcW w:w="1412" w:type="dxa"/>
            <w:tcBorders>
              <w:top w:val="single" w:sz="6" w:space="0" w:color="000000"/>
              <w:right w:val="single" w:sz="6" w:space="0" w:color="000000"/>
            </w:tcBorders>
          </w:tcPr>
          <w:p>
            <w:pPr>
              <w:pStyle w:val="TableParagraph"/>
              <w:spacing w:line="271" w:lineRule="exact"/>
              <w:ind w:right="185"/>
              <w:jc w:val="right"/>
              <w:rPr>
                <w:sz w:val="24"/>
              </w:rPr>
            </w:pPr>
            <w:r>
              <w:rPr>
                <w:sz w:val="24"/>
              </w:rPr>
              <w:t>2017</w:t>
            </w:r>
          </w:p>
        </w:tc>
        <w:tc>
          <w:tcPr>
            <w:tcW w:w="2363" w:type="dxa"/>
            <w:tcBorders>
              <w:top w:val="single" w:sz="6" w:space="0" w:color="000000"/>
              <w:left w:val="single" w:sz="6" w:space="0" w:color="000000"/>
              <w:right w:val="single" w:sz="6" w:space="0" w:color="000000"/>
            </w:tcBorders>
          </w:tcPr>
          <w:p>
            <w:pPr>
              <w:pStyle w:val="TableParagraph"/>
              <w:spacing w:line="271" w:lineRule="exact"/>
              <w:ind w:right="663"/>
              <w:jc w:val="right"/>
              <w:rPr>
                <w:sz w:val="24"/>
              </w:rPr>
            </w:pPr>
            <w:r>
              <w:rPr>
                <w:sz w:val="24"/>
              </w:rPr>
              <w:t>2107</w:t>
            </w:r>
          </w:p>
        </w:tc>
        <w:tc>
          <w:tcPr>
            <w:tcW w:w="3086" w:type="dxa"/>
            <w:tcBorders>
              <w:top w:val="single" w:sz="6" w:space="0" w:color="000000"/>
              <w:left w:val="single" w:sz="6" w:space="0" w:color="000000"/>
              <w:right w:val="single" w:sz="6" w:space="0" w:color="000000"/>
            </w:tcBorders>
          </w:tcPr>
          <w:p>
            <w:pPr>
              <w:pStyle w:val="TableParagraph"/>
              <w:spacing w:line="271" w:lineRule="exact"/>
              <w:ind w:right="32"/>
              <w:jc w:val="center"/>
              <w:rPr>
                <w:sz w:val="24"/>
              </w:rPr>
            </w:pPr>
            <w:r>
              <w:rPr>
                <w:sz w:val="24"/>
              </w:rPr>
              <w:t>0</w:t>
            </w:r>
          </w:p>
        </w:tc>
        <w:tc>
          <w:tcPr>
            <w:tcW w:w="2783" w:type="dxa"/>
            <w:tcBorders>
              <w:top w:val="single" w:sz="6" w:space="0" w:color="000000"/>
              <w:left w:val="single" w:sz="6" w:space="0" w:color="000000"/>
            </w:tcBorders>
          </w:tcPr>
          <w:p>
            <w:pPr>
              <w:pStyle w:val="TableParagraph"/>
              <w:spacing w:line="271" w:lineRule="exact"/>
              <w:ind w:right="1039"/>
              <w:jc w:val="right"/>
              <w:rPr>
                <w:sz w:val="24"/>
              </w:rPr>
            </w:pPr>
            <w:r>
              <w:rPr>
                <w:sz w:val="24"/>
              </w:rPr>
              <w:t>0</w:t>
            </w:r>
          </w:p>
        </w:tc>
      </w:tr>
    </w:tbl>
    <w:p>
      <w:pPr>
        <w:pStyle w:val="BodyText"/>
        <w:spacing w:before="9"/>
        <w:ind w:left="799"/>
      </w:pPr>
      <w:r>
        <w:rPr/>
        <w:t>* cu exceptia clorului rezidual liber prezentat mai jos</w:t>
      </w:r>
    </w:p>
    <w:p>
      <w:pPr>
        <w:pStyle w:val="BodyText"/>
        <w:ind w:left="0"/>
      </w:pPr>
    </w:p>
    <w:p>
      <w:pPr>
        <w:pStyle w:val="BodyText"/>
        <w:spacing w:after="16"/>
        <w:ind w:left="353"/>
      </w:pPr>
      <w:r>
        <w:rPr/>
        <w:t>Situatia clorului rezidual liber in apa recoltata din punctele fixe ale retelei</w:t>
      </w:r>
    </w:p>
    <w:tbl>
      <w:tblPr>
        <w:tblW w:w="0" w:type="auto"/>
        <w:jc w:val="left"/>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702"/>
        <w:gridCol w:w="3971"/>
        <w:gridCol w:w="3829"/>
      </w:tblGrid>
      <w:tr>
        <w:trPr>
          <w:trHeight w:val="553" w:hRule="atLeast"/>
        </w:trPr>
        <w:tc>
          <w:tcPr>
            <w:tcW w:w="1702" w:type="dxa"/>
            <w:tcBorders>
              <w:bottom w:val="single" w:sz="6" w:space="0" w:color="000000"/>
              <w:right w:val="single" w:sz="6" w:space="0" w:color="000000"/>
            </w:tcBorders>
          </w:tcPr>
          <w:p>
            <w:pPr>
              <w:pStyle w:val="TableParagraph"/>
              <w:ind w:left="858"/>
              <w:rPr>
                <w:sz w:val="24"/>
              </w:rPr>
            </w:pPr>
            <w:r>
              <w:rPr>
                <w:sz w:val="24"/>
              </w:rPr>
              <w:t>Anul</w:t>
            </w:r>
          </w:p>
        </w:tc>
        <w:tc>
          <w:tcPr>
            <w:tcW w:w="3971" w:type="dxa"/>
            <w:tcBorders>
              <w:left w:val="single" w:sz="6" w:space="0" w:color="000000"/>
              <w:bottom w:val="single" w:sz="6" w:space="0" w:color="000000"/>
              <w:right w:val="single" w:sz="6" w:space="0" w:color="000000"/>
            </w:tcBorders>
          </w:tcPr>
          <w:p>
            <w:pPr>
              <w:pStyle w:val="TableParagraph"/>
              <w:spacing w:line="270" w:lineRule="atLeast"/>
              <w:ind w:left="2066" w:right="669" w:hanging="581"/>
              <w:rPr>
                <w:sz w:val="24"/>
              </w:rPr>
            </w:pPr>
            <w:r>
              <w:rPr>
                <w:sz w:val="24"/>
              </w:rPr>
              <w:t>CRL &lt;0.1 mg/l (%)</w:t>
            </w:r>
          </w:p>
        </w:tc>
        <w:tc>
          <w:tcPr>
            <w:tcW w:w="3829" w:type="dxa"/>
            <w:tcBorders>
              <w:left w:val="single" w:sz="6" w:space="0" w:color="000000"/>
              <w:bottom w:val="single" w:sz="6" w:space="0" w:color="000000"/>
            </w:tcBorders>
          </w:tcPr>
          <w:p>
            <w:pPr>
              <w:pStyle w:val="TableParagraph"/>
              <w:spacing w:line="270" w:lineRule="atLeast"/>
              <w:ind w:left="1996" w:right="781" w:hanging="641"/>
              <w:rPr>
                <w:sz w:val="24"/>
              </w:rPr>
            </w:pPr>
            <w:r>
              <w:rPr>
                <w:sz w:val="24"/>
              </w:rPr>
              <w:t>CRL &gt; 0,50 mg/l (%)</w:t>
            </w:r>
          </w:p>
        </w:tc>
      </w:tr>
      <w:tr>
        <w:trPr>
          <w:trHeight w:val="275" w:hRule="atLeast"/>
        </w:trPr>
        <w:tc>
          <w:tcPr>
            <w:tcW w:w="1702" w:type="dxa"/>
            <w:tcBorders>
              <w:top w:val="single" w:sz="6" w:space="0" w:color="000000"/>
              <w:bottom w:val="single" w:sz="6" w:space="0" w:color="000000"/>
              <w:right w:val="single" w:sz="6" w:space="0" w:color="000000"/>
            </w:tcBorders>
          </w:tcPr>
          <w:p>
            <w:pPr>
              <w:pStyle w:val="TableParagraph"/>
              <w:spacing w:line="255" w:lineRule="exact"/>
              <w:ind w:left="661"/>
              <w:rPr>
                <w:sz w:val="24"/>
              </w:rPr>
            </w:pPr>
            <w:r>
              <w:rPr>
                <w:sz w:val="24"/>
              </w:rPr>
              <w:t>2008</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1498"/>
              <w:jc w:val="right"/>
              <w:rPr>
                <w:sz w:val="24"/>
              </w:rPr>
            </w:pPr>
            <w:r>
              <w:rPr>
                <w:sz w:val="24"/>
              </w:rPr>
              <w:t>0,16</w:t>
            </w:r>
          </w:p>
        </w:tc>
        <w:tc>
          <w:tcPr>
            <w:tcW w:w="3829" w:type="dxa"/>
            <w:tcBorders>
              <w:top w:val="single" w:sz="6" w:space="0" w:color="000000"/>
              <w:left w:val="single" w:sz="6" w:space="0" w:color="000000"/>
              <w:bottom w:val="single" w:sz="6" w:space="0" w:color="000000"/>
            </w:tcBorders>
          </w:tcPr>
          <w:p>
            <w:pPr>
              <w:pStyle w:val="TableParagraph"/>
              <w:spacing w:line="255" w:lineRule="exact"/>
              <w:ind w:left="554"/>
              <w:jc w:val="center"/>
              <w:rPr>
                <w:sz w:val="24"/>
              </w:rPr>
            </w:pPr>
            <w:r>
              <w:rPr>
                <w:sz w:val="24"/>
              </w:rPr>
              <w:t>0</w:t>
            </w:r>
          </w:p>
        </w:tc>
      </w:tr>
      <w:tr>
        <w:trPr>
          <w:trHeight w:val="275" w:hRule="atLeast"/>
        </w:trPr>
        <w:tc>
          <w:tcPr>
            <w:tcW w:w="1702" w:type="dxa"/>
            <w:tcBorders>
              <w:top w:val="single" w:sz="6" w:space="0" w:color="000000"/>
              <w:bottom w:val="single" w:sz="6" w:space="0" w:color="000000"/>
              <w:right w:val="single" w:sz="6" w:space="0" w:color="000000"/>
            </w:tcBorders>
          </w:tcPr>
          <w:p>
            <w:pPr>
              <w:pStyle w:val="TableParagraph"/>
              <w:spacing w:line="255" w:lineRule="exact"/>
              <w:ind w:left="661"/>
              <w:rPr>
                <w:sz w:val="24"/>
              </w:rPr>
            </w:pPr>
            <w:r>
              <w:rPr>
                <w:sz w:val="24"/>
              </w:rPr>
              <w:t>2009</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right="1498"/>
              <w:jc w:val="right"/>
              <w:rPr>
                <w:sz w:val="24"/>
              </w:rPr>
            </w:pPr>
            <w:r>
              <w:rPr>
                <w:sz w:val="24"/>
              </w:rPr>
              <w:t>0,55</w:t>
            </w:r>
          </w:p>
        </w:tc>
        <w:tc>
          <w:tcPr>
            <w:tcW w:w="3829" w:type="dxa"/>
            <w:tcBorders>
              <w:top w:val="single" w:sz="6" w:space="0" w:color="000000"/>
              <w:left w:val="single" w:sz="6" w:space="0" w:color="000000"/>
              <w:bottom w:val="single" w:sz="6" w:space="0" w:color="000000"/>
            </w:tcBorders>
          </w:tcPr>
          <w:p>
            <w:pPr>
              <w:pStyle w:val="TableParagraph"/>
              <w:spacing w:line="255" w:lineRule="exact"/>
              <w:ind w:left="554"/>
              <w:jc w:val="center"/>
              <w:rPr>
                <w:sz w:val="24"/>
              </w:rPr>
            </w:pPr>
            <w:r>
              <w:rPr>
                <w:sz w:val="24"/>
              </w:rPr>
              <w:t>0</w:t>
            </w:r>
          </w:p>
        </w:tc>
      </w:tr>
      <w:tr>
        <w:trPr>
          <w:trHeight w:val="277" w:hRule="atLeast"/>
        </w:trPr>
        <w:tc>
          <w:tcPr>
            <w:tcW w:w="1702" w:type="dxa"/>
            <w:tcBorders>
              <w:top w:val="single" w:sz="6" w:space="0" w:color="000000"/>
              <w:bottom w:val="single" w:sz="6" w:space="0" w:color="000000"/>
              <w:right w:val="single" w:sz="6" w:space="0" w:color="000000"/>
            </w:tcBorders>
          </w:tcPr>
          <w:p>
            <w:pPr>
              <w:pStyle w:val="TableParagraph"/>
              <w:spacing w:line="257" w:lineRule="exact" w:before="1"/>
              <w:ind w:left="661"/>
              <w:rPr>
                <w:sz w:val="24"/>
              </w:rPr>
            </w:pPr>
            <w:r>
              <w:rPr>
                <w:sz w:val="24"/>
              </w:rPr>
              <w:t>2010</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57" w:lineRule="exact" w:before="1"/>
              <w:ind w:right="1498"/>
              <w:jc w:val="right"/>
              <w:rPr>
                <w:sz w:val="24"/>
              </w:rPr>
            </w:pPr>
            <w:r>
              <w:rPr>
                <w:sz w:val="24"/>
              </w:rPr>
              <w:t>2,22</w:t>
            </w:r>
          </w:p>
        </w:tc>
        <w:tc>
          <w:tcPr>
            <w:tcW w:w="3829" w:type="dxa"/>
            <w:tcBorders>
              <w:top w:val="single" w:sz="6" w:space="0" w:color="000000"/>
              <w:left w:val="single" w:sz="6" w:space="0" w:color="000000"/>
              <w:bottom w:val="single" w:sz="6" w:space="0" w:color="000000"/>
            </w:tcBorders>
          </w:tcPr>
          <w:p>
            <w:pPr>
              <w:pStyle w:val="TableParagraph"/>
              <w:spacing w:line="257" w:lineRule="exact" w:before="1"/>
              <w:ind w:left="554"/>
              <w:jc w:val="center"/>
              <w:rPr>
                <w:sz w:val="24"/>
              </w:rPr>
            </w:pPr>
            <w:r>
              <w:rPr>
                <w:sz w:val="24"/>
              </w:rPr>
              <w:t>0</w:t>
            </w:r>
          </w:p>
        </w:tc>
      </w:tr>
      <w:tr>
        <w:trPr>
          <w:trHeight w:val="359"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2011</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98"/>
              <w:jc w:val="right"/>
              <w:rPr>
                <w:sz w:val="24"/>
              </w:rPr>
            </w:pPr>
            <w:r>
              <w:rPr>
                <w:sz w:val="24"/>
              </w:rPr>
              <w:t>0,89</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554"/>
              <w:jc w:val="center"/>
              <w:rPr>
                <w:sz w:val="24"/>
              </w:rPr>
            </w:pPr>
            <w:r>
              <w:rPr>
                <w:sz w:val="24"/>
              </w:rPr>
              <w:t>0</w:t>
            </w:r>
          </w:p>
        </w:tc>
      </w:tr>
      <w:tr>
        <w:trPr>
          <w:trHeight w:val="359"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2012</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98"/>
              <w:jc w:val="right"/>
              <w:rPr>
                <w:sz w:val="24"/>
              </w:rPr>
            </w:pPr>
            <w:r>
              <w:rPr>
                <w:sz w:val="24"/>
              </w:rPr>
              <w:t>7,07</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554"/>
              <w:jc w:val="center"/>
              <w:rPr>
                <w:sz w:val="24"/>
              </w:rPr>
            </w:pPr>
            <w:r>
              <w:rPr>
                <w:sz w:val="24"/>
              </w:rPr>
              <w:t>0</w:t>
            </w:r>
          </w:p>
        </w:tc>
      </w:tr>
      <w:tr>
        <w:trPr>
          <w:trHeight w:val="359"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2013</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98"/>
              <w:jc w:val="right"/>
              <w:rPr>
                <w:sz w:val="24"/>
              </w:rPr>
            </w:pPr>
            <w:r>
              <w:rPr>
                <w:sz w:val="24"/>
              </w:rPr>
              <w:t>14,3</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1885" w:right="1333"/>
              <w:jc w:val="center"/>
              <w:rPr>
                <w:sz w:val="24"/>
              </w:rPr>
            </w:pPr>
            <w:r>
              <w:rPr>
                <w:sz w:val="24"/>
              </w:rPr>
              <w:t>23,06</w:t>
            </w:r>
          </w:p>
        </w:tc>
      </w:tr>
      <w:tr>
        <w:trPr>
          <w:trHeight w:val="361"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2014</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38"/>
              <w:jc w:val="right"/>
              <w:rPr>
                <w:sz w:val="24"/>
              </w:rPr>
            </w:pPr>
            <w:r>
              <w:rPr>
                <w:sz w:val="24"/>
              </w:rPr>
              <w:t>14,79</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1885" w:right="1333"/>
              <w:jc w:val="center"/>
              <w:rPr>
                <w:sz w:val="24"/>
              </w:rPr>
            </w:pPr>
            <w:r>
              <w:rPr>
                <w:sz w:val="24"/>
              </w:rPr>
              <w:t>34,39</w:t>
            </w:r>
          </w:p>
        </w:tc>
      </w:tr>
      <w:tr>
        <w:trPr>
          <w:trHeight w:val="359"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2015</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38"/>
              <w:jc w:val="right"/>
              <w:rPr>
                <w:sz w:val="24"/>
              </w:rPr>
            </w:pPr>
            <w:r>
              <w:rPr>
                <w:sz w:val="24"/>
              </w:rPr>
              <w:t>16.49</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1885" w:right="1333"/>
              <w:jc w:val="center"/>
              <w:rPr>
                <w:sz w:val="24"/>
              </w:rPr>
            </w:pPr>
            <w:r>
              <w:rPr>
                <w:sz w:val="24"/>
              </w:rPr>
              <w:t>38.28</w:t>
            </w:r>
          </w:p>
        </w:tc>
      </w:tr>
      <w:tr>
        <w:trPr>
          <w:trHeight w:val="359" w:hRule="atLeast"/>
        </w:trPr>
        <w:tc>
          <w:tcPr>
            <w:tcW w:w="1702" w:type="dxa"/>
            <w:tcBorders>
              <w:top w:val="single" w:sz="6" w:space="0" w:color="000000"/>
              <w:bottom w:val="single" w:sz="6" w:space="0" w:color="000000"/>
              <w:right w:val="single" w:sz="6" w:space="0" w:color="000000"/>
            </w:tcBorders>
          </w:tcPr>
          <w:p>
            <w:pPr>
              <w:pStyle w:val="TableParagraph"/>
              <w:spacing w:line="275" w:lineRule="exact"/>
              <w:ind w:left="661"/>
              <w:rPr>
                <w:sz w:val="24"/>
              </w:rPr>
            </w:pPr>
            <w:r>
              <w:rPr>
                <w:sz w:val="24"/>
              </w:rPr>
              <w:t>2016</w:t>
            </w:r>
          </w:p>
        </w:tc>
        <w:tc>
          <w:tcPr>
            <w:tcW w:w="3971"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right="1438"/>
              <w:jc w:val="right"/>
              <w:rPr>
                <w:sz w:val="24"/>
              </w:rPr>
            </w:pPr>
            <w:r>
              <w:rPr>
                <w:sz w:val="24"/>
              </w:rPr>
              <w:t>14.58</w:t>
            </w:r>
          </w:p>
        </w:tc>
        <w:tc>
          <w:tcPr>
            <w:tcW w:w="3829" w:type="dxa"/>
            <w:tcBorders>
              <w:top w:val="single" w:sz="6" w:space="0" w:color="000000"/>
              <w:left w:val="single" w:sz="6" w:space="0" w:color="000000"/>
              <w:bottom w:val="single" w:sz="6" w:space="0" w:color="000000"/>
            </w:tcBorders>
          </w:tcPr>
          <w:p>
            <w:pPr>
              <w:pStyle w:val="TableParagraph"/>
              <w:spacing w:line="275" w:lineRule="exact"/>
              <w:ind w:left="1885" w:right="1333"/>
              <w:jc w:val="center"/>
              <w:rPr>
                <w:sz w:val="24"/>
              </w:rPr>
            </w:pPr>
            <w:r>
              <w:rPr>
                <w:sz w:val="24"/>
              </w:rPr>
              <w:t>40.46</w:t>
            </w:r>
          </w:p>
        </w:tc>
      </w:tr>
      <w:tr>
        <w:trPr>
          <w:trHeight w:val="361" w:hRule="atLeast"/>
        </w:trPr>
        <w:tc>
          <w:tcPr>
            <w:tcW w:w="1702" w:type="dxa"/>
            <w:tcBorders>
              <w:top w:val="single" w:sz="6" w:space="0" w:color="000000"/>
              <w:right w:val="single" w:sz="6" w:space="0" w:color="000000"/>
            </w:tcBorders>
          </w:tcPr>
          <w:p>
            <w:pPr>
              <w:pStyle w:val="TableParagraph"/>
              <w:spacing w:line="275" w:lineRule="exact"/>
              <w:ind w:left="661"/>
              <w:rPr>
                <w:sz w:val="24"/>
              </w:rPr>
            </w:pPr>
            <w:r>
              <w:rPr>
                <w:sz w:val="24"/>
              </w:rPr>
              <w:t>2017</w:t>
            </w:r>
          </w:p>
        </w:tc>
        <w:tc>
          <w:tcPr>
            <w:tcW w:w="3971" w:type="dxa"/>
            <w:tcBorders>
              <w:top w:val="single" w:sz="6" w:space="0" w:color="000000"/>
              <w:left w:val="single" w:sz="6" w:space="0" w:color="000000"/>
              <w:right w:val="single" w:sz="6" w:space="0" w:color="000000"/>
            </w:tcBorders>
          </w:tcPr>
          <w:p>
            <w:pPr>
              <w:pStyle w:val="TableParagraph"/>
              <w:spacing w:line="275" w:lineRule="exact"/>
              <w:ind w:right="1438"/>
              <w:jc w:val="right"/>
              <w:rPr>
                <w:sz w:val="24"/>
              </w:rPr>
            </w:pPr>
            <w:r>
              <w:rPr>
                <w:sz w:val="24"/>
              </w:rPr>
              <w:t>17,89</w:t>
            </w:r>
          </w:p>
        </w:tc>
        <w:tc>
          <w:tcPr>
            <w:tcW w:w="3829" w:type="dxa"/>
            <w:tcBorders>
              <w:top w:val="single" w:sz="6" w:space="0" w:color="000000"/>
              <w:left w:val="single" w:sz="6" w:space="0" w:color="000000"/>
            </w:tcBorders>
          </w:tcPr>
          <w:p>
            <w:pPr>
              <w:pStyle w:val="TableParagraph"/>
              <w:spacing w:line="275" w:lineRule="exact"/>
              <w:ind w:left="1885" w:right="1333"/>
              <w:jc w:val="center"/>
              <w:rPr>
                <w:sz w:val="24"/>
              </w:rPr>
            </w:pPr>
            <w:r>
              <w:rPr>
                <w:sz w:val="24"/>
              </w:rPr>
              <w:t>33,93</w:t>
            </w:r>
          </w:p>
        </w:tc>
      </w:tr>
    </w:tbl>
    <w:p>
      <w:pPr>
        <w:pStyle w:val="BodyText"/>
        <w:spacing w:before="2"/>
        <w:ind w:left="0"/>
        <w:rPr>
          <w:sz w:val="25"/>
        </w:rPr>
      </w:pPr>
    </w:p>
    <w:p>
      <w:pPr>
        <w:pStyle w:val="Heading1"/>
        <w:ind w:left="413"/>
        <w:rPr>
          <w:u w:val="none"/>
        </w:rPr>
      </w:pPr>
      <w:r>
        <w:rPr>
          <w:u w:val="thick"/>
        </w:rPr>
        <w:t>Monitorizarea sistemelor mici centralizate, instalatii proprii, fântâni publice si izvoare</w:t>
      </w:r>
    </w:p>
    <w:p>
      <w:pPr>
        <w:pStyle w:val="BodyText"/>
        <w:spacing w:before="2"/>
        <w:ind w:left="0"/>
        <w:rPr>
          <w:b/>
          <w:sz w:val="16"/>
        </w:rPr>
      </w:pPr>
    </w:p>
    <w:p>
      <w:pPr>
        <w:pStyle w:val="BodyText"/>
        <w:spacing w:before="90"/>
        <w:ind w:left="233" w:right="831" w:firstLine="360"/>
        <w:jc w:val="both"/>
      </w:pPr>
      <w:r>
        <w:rPr/>
        <w:t>Au fost monitorizate si autorizate sanitar 4 sisteme mici centralizate de aprovizionare cu apă, 9 instalaţii care alimentează industria alimentară, 37 instalaţii proprii care alimentează cu apă potabilă unitati sanitare cu paturi, clădiri birouri, hoteluri, 21 fântâni publice şi 3 izvoare. S-au recoltat 241 probe pentru determinarea a 899 parametrii microbiologici si 203 probe pentru determinarea a 1898 parametriii chimici şi indicatori. Procentul neconformitatilor a fost de 2,78% pentru parametrii microbiologici si 1,89% pentru parametrii chimici si indicatori.</w:t>
      </w:r>
    </w:p>
    <w:p>
      <w:pPr>
        <w:pStyle w:val="BodyText"/>
        <w:ind w:left="0"/>
      </w:pPr>
    </w:p>
    <w:p>
      <w:pPr>
        <w:pStyle w:val="Heading1"/>
        <w:rPr>
          <w:u w:val="none"/>
        </w:rPr>
      </w:pPr>
      <w:r>
        <w:rPr>
          <w:u w:val="thick"/>
        </w:rPr>
        <w:t>Supravegherea cazurilor de methemoglobinemie acuta infantila, generate de apa de fantana</w:t>
      </w:r>
    </w:p>
    <w:p>
      <w:pPr>
        <w:pStyle w:val="BodyText"/>
        <w:spacing w:before="1"/>
        <w:ind w:left="535"/>
      </w:pPr>
      <w:r>
        <w:rPr/>
        <w:t>In anul 2017 nu s-a inregistrat nici un caz de methemoglobulinemie acuta infantila .</w:t>
      </w:r>
    </w:p>
    <w:p>
      <w:pPr>
        <w:pStyle w:val="BodyText"/>
        <w:spacing w:before="11"/>
        <w:ind w:left="0"/>
        <w:rPr>
          <w:sz w:val="23"/>
        </w:rPr>
      </w:pPr>
    </w:p>
    <w:p>
      <w:pPr>
        <w:pStyle w:val="Heading1"/>
        <w:ind w:right="972"/>
        <w:rPr>
          <w:u w:val="none"/>
        </w:rPr>
      </w:pPr>
      <w:r>
        <w:rPr>
          <w:b w:val="0"/>
          <w:spacing w:val="-60"/>
          <w:u w:val="thick"/>
        </w:rPr>
        <w:t> </w:t>
      </w:r>
      <w:r>
        <w:rPr>
          <w:u w:val="thick"/>
        </w:rPr>
        <w:t>Monitorizarea apelor potabile îmbuteliate – altele decât apele minerale naturale sau decât apele</w:t>
      </w:r>
      <w:r>
        <w:rPr>
          <w:u w:val="none"/>
        </w:rPr>
        <w:t> </w:t>
      </w:r>
      <w:r>
        <w:rPr>
          <w:u w:val="thick"/>
        </w:rPr>
        <w:t>de izvor</w:t>
      </w:r>
    </w:p>
    <w:p>
      <w:pPr>
        <w:pStyle w:val="BodyText"/>
        <w:spacing w:before="2"/>
        <w:ind w:left="0"/>
        <w:rPr>
          <w:b/>
          <w:sz w:val="16"/>
        </w:rPr>
      </w:pPr>
    </w:p>
    <w:p>
      <w:pPr>
        <w:pStyle w:val="BodyText"/>
        <w:spacing w:before="90"/>
        <w:ind w:left="233" w:right="834" w:firstLine="360"/>
        <w:jc w:val="both"/>
      </w:pPr>
      <w:r>
        <w:rPr/>
        <w:t>Scopul activităţii: catagrafierea unităţilor producătoare/importatoare de apă potabilă îmbuteliată pe teritoriul ţării, evaluarea implementării legislaţiei, şi efectuarea unui control de calitate în vederea depistării unei posibile contaminări cu metale.</w:t>
      </w:r>
    </w:p>
    <w:p>
      <w:pPr>
        <w:spacing w:before="0"/>
        <w:ind w:left="233" w:right="0" w:firstLine="0"/>
        <w:jc w:val="both"/>
        <w:rPr>
          <w:i/>
          <w:sz w:val="24"/>
        </w:rPr>
      </w:pPr>
      <w:r>
        <w:rPr>
          <w:spacing w:val="-60"/>
          <w:sz w:val="24"/>
          <w:u w:val="single"/>
        </w:rPr>
        <w:t> </w:t>
      </w:r>
      <w:r>
        <w:rPr>
          <w:i/>
          <w:sz w:val="24"/>
          <w:u w:val="single"/>
        </w:rPr>
        <w:t>Activităţi derulate:</w:t>
      </w:r>
    </w:p>
    <w:p>
      <w:pPr>
        <w:pStyle w:val="ListParagraph"/>
        <w:numPr>
          <w:ilvl w:val="0"/>
          <w:numId w:val="2"/>
        </w:numPr>
        <w:tabs>
          <w:tab w:pos="594" w:val="left" w:leader="none"/>
        </w:tabs>
        <w:spacing w:line="240" w:lineRule="auto" w:before="0" w:after="0"/>
        <w:ind w:left="593" w:right="829" w:hanging="360"/>
        <w:jc w:val="both"/>
        <w:rPr>
          <w:sz w:val="24"/>
        </w:rPr>
      </w:pPr>
      <w:r>
        <w:rPr>
          <w:sz w:val="24"/>
        </w:rPr>
        <w:t>Au fost completate chestionarele specifice (din anexele privind monitorizarea de control şi de audit) si au fost trimise la CRSP Tg. Mureş pentru centralizarea şi prelucrarea</w:t>
      </w:r>
      <w:r>
        <w:rPr>
          <w:spacing w:val="-11"/>
          <w:sz w:val="24"/>
        </w:rPr>
        <w:t> </w:t>
      </w:r>
      <w:r>
        <w:rPr>
          <w:sz w:val="24"/>
        </w:rPr>
        <w:t>datelor.</w:t>
      </w:r>
    </w:p>
    <w:p>
      <w:pPr>
        <w:pStyle w:val="ListParagraph"/>
        <w:numPr>
          <w:ilvl w:val="0"/>
          <w:numId w:val="2"/>
        </w:numPr>
        <w:tabs>
          <w:tab w:pos="594" w:val="left" w:leader="none"/>
        </w:tabs>
        <w:spacing w:line="240" w:lineRule="auto" w:before="0" w:after="0"/>
        <w:ind w:left="593" w:right="832" w:hanging="360"/>
        <w:jc w:val="both"/>
        <w:rPr>
          <w:sz w:val="24"/>
        </w:rPr>
      </w:pPr>
      <w:r>
        <w:rPr>
          <w:sz w:val="24"/>
        </w:rPr>
        <w:t>Au fost recoltate 4 probe de apă potabilă îmbuteliată si au fost trimise la CRSP Bucuresti, pentru determinarea concentraţiei</w:t>
      </w:r>
      <w:r>
        <w:rPr>
          <w:spacing w:val="-2"/>
          <w:sz w:val="24"/>
        </w:rPr>
        <w:t> </w:t>
      </w:r>
      <w:r>
        <w:rPr>
          <w:sz w:val="24"/>
        </w:rPr>
        <w:t>metalelor</w:t>
      </w:r>
    </w:p>
    <w:p>
      <w:pPr>
        <w:spacing w:after="0" w:line="240" w:lineRule="auto"/>
        <w:jc w:val="both"/>
        <w:rPr>
          <w:sz w:val="24"/>
        </w:rPr>
        <w:sectPr>
          <w:pgSz w:w="11910" w:h="16840"/>
          <w:pgMar w:header="0" w:footer="738" w:top="1440" w:bottom="920" w:left="900" w:right="0"/>
        </w:sectPr>
      </w:pPr>
    </w:p>
    <w:p>
      <w:pPr>
        <w:pStyle w:val="Heading1"/>
        <w:spacing w:before="117"/>
        <w:jc w:val="both"/>
        <w:rPr>
          <w:u w:val="none"/>
        </w:rPr>
      </w:pPr>
      <w:r>
        <w:rPr>
          <w:u w:val="thick"/>
        </w:rPr>
        <w:t>Suprevegherea produselor cosmetice</w:t>
      </w:r>
    </w:p>
    <w:p>
      <w:pPr>
        <w:pStyle w:val="BodyText"/>
        <w:spacing w:before="120"/>
        <w:ind w:left="233" w:right="829" w:firstLine="300"/>
        <w:jc w:val="both"/>
      </w:pPr>
      <w:r>
        <w:rPr/>
        <w:t>Scopul acţiunii: supravegherea pe piata a produselor in relatie cu riscul pentru sanatate.Au fost recoltate 10 probe de produse cosmetice pentru determinarea indicatorilor chimici şi microbiologici prevăzuţi in metodologie.Probele au fost transmise catre laboratoare acreditate, indicate in metodologie.</w:t>
      </w:r>
    </w:p>
    <w:p>
      <w:pPr>
        <w:pStyle w:val="Heading1"/>
        <w:spacing w:before="120"/>
        <w:jc w:val="both"/>
        <w:rPr>
          <w:u w:val="none"/>
        </w:rPr>
      </w:pPr>
      <w:r>
        <w:rPr>
          <w:u w:val="thick"/>
        </w:rPr>
        <w:t>Monitorizarea sistemului de gestionare a deseurilor rezultate din activitatea medicala</w:t>
      </w:r>
    </w:p>
    <w:p>
      <w:pPr>
        <w:pStyle w:val="BodyText"/>
        <w:spacing w:before="2"/>
        <w:ind w:left="0"/>
        <w:rPr>
          <w:b/>
          <w:sz w:val="16"/>
        </w:rPr>
      </w:pPr>
    </w:p>
    <w:p>
      <w:pPr>
        <w:pStyle w:val="BodyText"/>
        <w:spacing w:before="90"/>
        <w:ind w:left="233" w:right="830" w:firstLine="300"/>
        <w:jc w:val="both"/>
      </w:pPr>
      <w:r>
        <w:rPr/>
        <w:t>Scopul actiunii: prevenirea contaminarii mediului, protejarea sănătăţii populaţiei si personalului medico-sanitar este expus riscului de imbolnavire (hepatitele virale acute tip B si C, HIV/SIDA etc.).</w:t>
      </w:r>
    </w:p>
    <w:p>
      <w:pPr>
        <w:pStyle w:val="BodyText"/>
        <w:ind w:left="233" w:right="829" w:firstLine="240"/>
        <w:jc w:val="both"/>
      </w:pPr>
      <w:r>
        <w:rPr/>
        <w:t>Datele raportate date de unitatile sanitare cu paturi au fost centralizate si transmise Institutului de Sanatate Publica Bucuresti, pentru intocmirea sintezei nationale. Raportarea s-a realizat conform metodologiei de culegere a datelor pentru baza nationala de date, aprobata prin Ordinul MS nr. 1226/2012. Precizam faptul ca au raportat si spitalele private si unitati de asistenta medico-sociala.</w:t>
      </w:r>
    </w:p>
    <w:p>
      <w:pPr>
        <w:pStyle w:val="BodyText"/>
        <w:spacing w:before="1"/>
        <w:ind w:left="0"/>
      </w:pPr>
    </w:p>
    <w:p>
      <w:pPr>
        <w:pStyle w:val="BodyText"/>
        <w:ind w:left="233"/>
        <w:jc w:val="both"/>
      </w:pPr>
      <w:r>
        <w:rPr/>
        <w:t>Tabelul de mai jos prezinta situatia cantitatilor de deseuri raportate de unitatile sanitare cu paturi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3"/>
        <w:gridCol w:w="5118"/>
        <w:gridCol w:w="2790"/>
      </w:tblGrid>
      <w:tr>
        <w:trPr>
          <w:trHeight w:val="323" w:hRule="atLeast"/>
        </w:trPr>
        <w:tc>
          <w:tcPr>
            <w:tcW w:w="843" w:type="dxa"/>
          </w:tcPr>
          <w:p>
            <w:pPr>
              <w:pStyle w:val="TableParagraph"/>
              <w:spacing w:line="275" w:lineRule="exact"/>
              <w:ind w:left="108"/>
              <w:rPr>
                <w:sz w:val="24"/>
              </w:rPr>
            </w:pPr>
            <w:r>
              <w:rPr>
                <w:sz w:val="24"/>
              </w:rPr>
              <w:t>Nr.crt.</w:t>
            </w:r>
          </w:p>
        </w:tc>
        <w:tc>
          <w:tcPr>
            <w:tcW w:w="5118" w:type="dxa"/>
          </w:tcPr>
          <w:p>
            <w:pPr>
              <w:pStyle w:val="TableParagraph"/>
              <w:spacing w:line="275" w:lineRule="exact"/>
              <w:ind w:left="879" w:right="869"/>
              <w:jc w:val="center"/>
              <w:rPr>
                <w:sz w:val="24"/>
              </w:rPr>
            </w:pPr>
            <w:r>
              <w:rPr>
                <w:sz w:val="24"/>
              </w:rPr>
              <w:t>COD DESEURI</w:t>
            </w:r>
            <w:r>
              <w:rPr>
                <w:spacing w:val="52"/>
                <w:sz w:val="24"/>
              </w:rPr>
              <w:t> </w:t>
            </w:r>
            <w:r>
              <w:rPr>
                <w:sz w:val="24"/>
              </w:rPr>
              <w:t>PERICULOASE</w:t>
            </w:r>
          </w:p>
        </w:tc>
        <w:tc>
          <w:tcPr>
            <w:tcW w:w="2790" w:type="dxa"/>
          </w:tcPr>
          <w:p>
            <w:pPr>
              <w:pStyle w:val="TableParagraph"/>
              <w:spacing w:line="275" w:lineRule="exact"/>
              <w:ind w:left="697" w:right="695"/>
              <w:jc w:val="center"/>
              <w:rPr>
                <w:sz w:val="24"/>
              </w:rPr>
            </w:pPr>
            <w:r>
              <w:rPr>
                <w:sz w:val="24"/>
              </w:rPr>
              <w:t>CANTITATE</w:t>
            </w:r>
          </w:p>
        </w:tc>
      </w:tr>
      <w:tr>
        <w:trPr>
          <w:trHeight w:val="275" w:hRule="atLeast"/>
        </w:trPr>
        <w:tc>
          <w:tcPr>
            <w:tcW w:w="843" w:type="dxa"/>
          </w:tcPr>
          <w:p>
            <w:pPr>
              <w:pStyle w:val="TableParagraph"/>
              <w:spacing w:line="256" w:lineRule="exact"/>
              <w:ind w:left="228"/>
              <w:rPr>
                <w:sz w:val="24"/>
              </w:rPr>
            </w:pPr>
            <w:r>
              <w:rPr>
                <w:sz w:val="24"/>
              </w:rPr>
              <w:t>1</w:t>
            </w:r>
          </w:p>
        </w:tc>
        <w:tc>
          <w:tcPr>
            <w:tcW w:w="5118" w:type="dxa"/>
          </w:tcPr>
          <w:p>
            <w:pPr>
              <w:pStyle w:val="TableParagraph"/>
              <w:spacing w:line="256" w:lineRule="exact"/>
              <w:ind w:left="878" w:right="869"/>
              <w:jc w:val="center"/>
              <w:rPr>
                <w:sz w:val="24"/>
              </w:rPr>
            </w:pPr>
            <w:r>
              <w:rPr>
                <w:sz w:val="24"/>
              </w:rPr>
              <w:t>18 01 01</w:t>
            </w:r>
          </w:p>
        </w:tc>
        <w:tc>
          <w:tcPr>
            <w:tcW w:w="2790" w:type="dxa"/>
          </w:tcPr>
          <w:p>
            <w:pPr>
              <w:pStyle w:val="TableParagraph"/>
              <w:spacing w:line="256" w:lineRule="exact"/>
              <w:ind w:left="697" w:right="692"/>
              <w:jc w:val="center"/>
              <w:rPr>
                <w:sz w:val="24"/>
              </w:rPr>
            </w:pPr>
            <w:r>
              <w:rPr>
                <w:sz w:val="24"/>
              </w:rPr>
              <w:t>14 8104 kg</w:t>
            </w:r>
          </w:p>
        </w:tc>
      </w:tr>
      <w:tr>
        <w:trPr>
          <w:trHeight w:val="275" w:hRule="atLeast"/>
        </w:trPr>
        <w:tc>
          <w:tcPr>
            <w:tcW w:w="843" w:type="dxa"/>
          </w:tcPr>
          <w:p>
            <w:pPr>
              <w:pStyle w:val="TableParagraph"/>
              <w:spacing w:line="256" w:lineRule="exact"/>
              <w:ind w:right="134"/>
              <w:jc w:val="center"/>
              <w:rPr>
                <w:sz w:val="24"/>
              </w:rPr>
            </w:pPr>
            <w:r>
              <w:rPr>
                <w:sz w:val="24"/>
              </w:rPr>
              <w:t>2</w:t>
            </w:r>
          </w:p>
        </w:tc>
        <w:tc>
          <w:tcPr>
            <w:tcW w:w="5118" w:type="dxa"/>
          </w:tcPr>
          <w:p>
            <w:pPr>
              <w:pStyle w:val="TableParagraph"/>
              <w:spacing w:line="256" w:lineRule="exact"/>
              <w:ind w:left="878" w:right="869"/>
              <w:jc w:val="center"/>
              <w:rPr>
                <w:sz w:val="24"/>
              </w:rPr>
            </w:pPr>
            <w:r>
              <w:rPr>
                <w:sz w:val="24"/>
              </w:rPr>
              <w:t>18 01 02</w:t>
            </w:r>
          </w:p>
        </w:tc>
        <w:tc>
          <w:tcPr>
            <w:tcW w:w="2790" w:type="dxa"/>
          </w:tcPr>
          <w:p>
            <w:pPr>
              <w:pStyle w:val="TableParagraph"/>
              <w:spacing w:line="256" w:lineRule="exact"/>
              <w:ind w:left="697" w:right="692"/>
              <w:jc w:val="center"/>
              <w:rPr>
                <w:sz w:val="24"/>
              </w:rPr>
            </w:pPr>
            <w:r>
              <w:rPr>
                <w:sz w:val="24"/>
              </w:rPr>
              <w:t>74 370 kg</w:t>
            </w:r>
          </w:p>
        </w:tc>
      </w:tr>
      <w:tr>
        <w:trPr>
          <w:trHeight w:val="275" w:hRule="atLeast"/>
        </w:trPr>
        <w:tc>
          <w:tcPr>
            <w:tcW w:w="843" w:type="dxa"/>
          </w:tcPr>
          <w:p>
            <w:pPr>
              <w:pStyle w:val="TableParagraph"/>
              <w:spacing w:line="256" w:lineRule="exact"/>
              <w:ind w:right="134"/>
              <w:jc w:val="center"/>
              <w:rPr>
                <w:sz w:val="24"/>
              </w:rPr>
            </w:pPr>
            <w:r>
              <w:rPr>
                <w:sz w:val="24"/>
              </w:rPr>
              <w:t>3</w:t>
            </w:r>
          </w:p>
        </w:tc>
        <w:tc>
          <w:tcPr>
            <w:tcW w:w="5118" w:type="dxa"/>
          </w:tcPr>
          <w:p>
            <w:pPr>
              <w:pStyle w:val="TableParagraph"/>
              <w:spacing w:line="256" w:lineRule="exact"/>
              <w:ind w:left="878" w:right="869"/>
              <w:jc w:val="center"/>
              <w:rPr>
                <w:sz w:val="24"/>
              </w:rPr>
            </w:pPr>
            <w:r>
              <w:rPr>
                <w:sz w:val="24"/>
              </w:rPr>
              <w:t>18 01 03*</w:t>
            </w:r>
          </w:p>
        </w:tc>
        <w:tc>
          <w:tcPr>
            <w:tcW w:w="2790" w:type="dxa"/>
          </w:tcPr>
          <w:p>
            <w:pPr>
              <w:pStyle w:val="TableParagraph"/>
              <w:spacing w:line="256" w:lineRule="exact"/>
              <w:ind w:left="697" w:right="690"/>
              <w:jc w:val="center"/>
              <w:rPr>
                <w:sz w:val="24"/>
              </w:rPr>
            </w:pPr>
            <w:r>
              <w:rPr>
                <w:sz w:val="24"/>
              </w:rPr>
              <w:t>2 001 212 kg</w:t>
            </w:r>
          </w:p>
        </w:tc>
      </w:tr>
      <w:tr>
        <w:trPr>
          <w:trHeight w:val="275" w:hRule="atLeast"/>
        </w:trPr>
        <w:tc>
          <w:tcPr>
            <w:tcW w:w="843" w:type="dxa"/>
          </w:tcPr>
          <w:p>
            <w:pPr>
              <w:pStyle w:val="TableParagraph"/>
              <w:spacing w:line="256" w:lineRule="exact"/>
              <w:ind w:left="228"/>
              <w:rPr>
                <w:sz w:val="24"/>
              </w:rPr>
            </w:pPr>
            <w:r>
              <w:rPr>
                <w:sz w:val="24"/>
              </w:rPr>
              <w:t>4</w:t>
            </w:r>
          </w:p>
        </w:tc>
        <w:tc>
          <w:tcPr>
            <w:tcW w:w="5118" w:type="dxa"/>
          </w:tcPr>
          <w:p>
            <w:pPr>
              <w:pStyle w:val="TableParagraph"/>
              <w:spacing w:line="256" w:lineRule="exact"/>
              <w:ind w:left="878" w:right="869"/>
              <w:jc w:val="center"/>
              <w:rPr>
                <w:sz w:val="24"/>
              </w:rPr>
            </w:pPr>
            <w:r>
              <w:rPr>
                <w:sz w:val="24"/>
              </w:rPr>
              <w:t>18 01 04</w:t>
            </w:r>
          </w:p>
        </w:tc>
        <w:tc>
          <w:tcPr>
            <w:tcW w:w="2790" w:type="dxa"/>
          </w:tcPr>
          <w:p>
            <w:pPr>
              <w:pStyle w:val="TableParagraph"/>
              <w:spacing w:line="256" w:lineRule="exact"/>
              <w:ind w:left="697" w:right="692"/>
              <w:jc w:val="center"/>
              <w:rPr>
                <w:sz w:val="24"/>
              </w:rPr>
            </w:pPr>
            <w:r>
              <w:rPr>
                <w:sz w:val="24"/>
              </w:rPr>
              <w:t>364 308 kg</w:t>
            </w:r>
          </w:p>
        </w:tc>
      </w:tr>
      <w:tr>
        <w:trPr>
          <w:trHeight w:val="275" w:hRule="atLeast"/>
        </w:trPr>
        <w:tc>
          <w:tcPr>
            <w:tcW w:w="843" w:type="dxa"/>
          </w:tcPr>
          <w:p>
            <w:pPr>
              <w:pStyle w:val="TableParagraph"/>
              <w:spacing w:line="256" w:lineRule="exact"/>
              <w:ind w:left="228"/>
              <w:rPr>
                <w:sz w:val="24"/>
              </w:rPr>
            </w:pPr>
            <w:r>
              <w:rPr>
                <w:sz w:val="24"/>
              </w:rPr>
              <w:t>5</w:t>
            </w:r>
          </w:p>
        </w:tc>
        <w:tc>
          <w:tcPr>
            <w:tcW w:w="5118" w:type="dxa"/>
          </w:tcPr>
          <w:p>
            <w:pPr>
              <w:pStyle w:val="TableParagraph"/>
              <w:spacing w:line="256" w:lineRule="exact"/>
              <w:ind w:left="878" w:right="869"/>
              <w:jc w:val="center"/>
              <w:rPr>
                <w:sz w:val="24"/>
              </w:rPr>
            </w:pPr>
            <w:r>
              <w:rPr>
                <w:sz w:val="24"/>
              </w:rPr>
              <w:t>18 01 06*</w:t>
            </w:r>
          </w:p>
        </w:tc>
        <w:tc>
          <w:tcPr>
            <w:tcW w:w="2790" w:type="dxa"/>
          </w:tcPr>
          <w:p>
            <w:pPr>
              <w:pStyle w:val="TableParagraph"/>
              <w:spacing w:line="256" w:lineRule="exact"/>
              <w:ind w:left="697" w:right="692"/>
              <w:jc w:val="center"/>
              <w:rPr>
                <w:sz w:val="24"/>
              </w:rPr>
            </w:pPr>
            <w:r>
              <w:rPr>
                <w:sz w:val="24"/>
              </w:rPr>
              <w:t>91 681 kg</w:t>
            </w:r>
          </w:p>
        </w:tc>
      </w:tr>
      <w:tr>
        <w:trPr>
          <w:trHeight w:val="277" w:hRule="atLeast"/>
        </w:trPr>
        <w:tc>
          <w:tcPr>
            <w:tcW w:w="843" w:type="dxa"/>
          </w:tcPr>
          <w:p>
            <w:pPr>
              <w:pStyle w:val="TableParagraph"/>
              <w:spacing w:line="257" w:lineRule="exact" w:before="1"/>
              <w:ind w:left="228"/>
              <w:rPr>
                <w:sz w:val="24"/>
              </w:rPr>
            </w:pPr>
            <w:r>
              <w:rPr>
                <w:sz w:val="24"/>
              </w:rPr>
              <w:t>6</w:t>
            </w:r>
          </w:p>
        </w:tc>
        <w:tc>
          <w:tcPr>
            <w:tcW w:w="5118" w:type="dxa"/>
          </w:tcPr>
          <w:p>
            <w:pPr>
              <w:pStyle w:val="TableParagraph"/>
              <w:spacing w:line="257" w:lineRule="exact" w:before="1"/>
              <w:ind w:left="878" w:right="869"/>
              <w:jc w:val="center"/>
              <w:rPr>
                <w:sz w:val="24"/>
              </w:rPr>
            </w:pPr>
            <w:r>
              <w:rPr>
                <w:sz w:val="24"/>
              </w:rPr>
              <w:t>18 01 07</w:t>
            </w:r>
          </w:p>
        </w:tc>
        <w:tc>
          <w:tcPr>
            <w:tcW w:w="2790" w:type="dxa"/>
          </w:tcPr>
          <w:p>
            <w:pPr>
              <w:pStyle w:val="TableParagraph"/>
              <w:spacing w:line="257" w:lineRule="exact" w:before="1"/>
              <w:ind w:left="697" w:right="689"/>
              <w:jc w:val="center"/>
              <w:rPr>
                <w:sz w:val="24"/>
              </w:rPr>
            </w:pPr>
            <w:r>
              <w:rPr>
                <w:sz w:val="24"/>
              </w:rPr>
              <w:t>2001  kg</w:t>
            </w:r>
          </w:p>
        </w:tc>
      </w:tr>
      <w:tr>
        <w:trPr>
          <w:trHeight w:val="275" w:hRule="atLeast"/>
        </w:trPr>
        <w:tc>
          <w:tcPr>
            <w:tcW w:w="843" w:type="dxa"/>
          </w:tcPr>
          <w:p>
            <w:pPr>
              <w:pStyle w:val="TableParagraph"/>
              <w:spacing w:line="256" w:lineRule="exact"/>
              <w:ind w:left="228"/>
              <w:rPr>
                <w:sz w:val="24"/>
              </w:rPr>
            </w:pPr>
            <w:r>
              <w:rPr>
                <w:sz w:val="24"/>
              </w:rPr>
              <w:t>7</w:t>
            </w:r>
          </w:p>
        </w:tc>
        <w:tc>
          <w:tcPr>
            <w:tcW w:w="5118" w:type="dxa"/>
          </w:tcPr>
          <w:p>
            <w:pPr>
              <w:pStyle w:val="TableParagraph"/>
              <w:spacing w:line="256" w:lineRule="exact"/>
              <w:ind w:left="878" w:right="869"/>
              <w:jc w:val="center"/>
              <w:rPr>
                <w:sz w:val="24"/>
              </w:rPr>
            </w:pPr>
            <w:r>
              <w:rPr>
                <w:sz w:val="24"/>
              </w:rPr>
              <w:t>18 01 08*</w:t>
            </w:r>
          </w:p>
        </w:tc>
        <w:tc>
          <w:tcPr>
            <w:tcW w:w="2790" w:type="dxa"/>
          </w:tcPr>
          <w:p>
            <w:pPr>
              <w:pStyle w:val="TableParagraph"/>
              <w:spacing w:line="256" w:lineRule="exact"/>
              <w:ind w:left="697" w:right="692"/>
              <w:jc w:val="center"/>
              <w:rPr>
                <w:sz w:val="24"/>
              </w:rPr>
            </w:pPr>
            <w:r>
              <w:rPr>
                <w:sz w:val="24"/>
              </w:rPr>
              <w:t>13 502 kg</w:t>
            </w:r>
          </w:p>
        </w:tc>
      </w:tr>
      <w:tr>
        <w:trPr>
          <w:trHeight w:val="276" w:hRule="atLeast"/>
        </w:trPr>
        <w:tc>
          <w:tcPr>
            <w:tcW w:w="843" w:type="dxa"/>
          </w:tcPr>
          <w:p>
            <w:pPr>
              <w:pStyle w:val="TableParagraph"/>
              <w:spacing w:line="256" w:lineRule="exact"/>
              <w:ind w:left="228"/>
              <w:rPr>
                <w:sz w:val="24"/>
              </w:rPr>
            </w:pPr>
            <w:r>
              <w:rPr>
                <w:sz w:val="24"/>
              </w:rPr>
              <w:t>8</w:t>
            </w:r>
          </w:p>
        </w:tc>
        <w:tc>
          <w:tcPr>
            <w:tcW w:w="5118" w:type="dxa"/>
          </w:tcPr>
          <w:p>
            <w:pPr>
              <w:pStyle w:val="TableParagraph"/>
              <w:spacing w:line="256" w:lineRule="exact"/>
              <w:ind w:left="878" w:right="869"/>
              <w:jc w:val="center"/>
              <w:rPr>
                <w:sz w:val="24"/>
              </w:rPr>
            </w:pPr>
            <w:r>
              <w:rPr>
                <w:sz w:val="24"/>
              </w:rPr>
              <w:t>18 01 09</w:t>
            </w:r>
          </w:p>
        </w:tc>
        <w:tc>
          <w:tcPr>
            <w:tcW w:w="2790" w:type="dxa"/>
          </w:tcPr>
          <w:p>
            <w:pPr>
              <w:pStyle w:val="TableParagraph"/>
              <w:spacing w:line="256" w:lineRule="exact"/>
              <w:ind w:left="697" w:right="691"/>
              <w:jc w:val="center"/>
              <w:rPr>
                <w:sz w:val="24"/>
              </w:rPr>
            </w:pPr>
            <w:r>
              <w:rPr>
                <w:sz w:val="24"/>
              </w:rPr>
              <w:t>938 kg</w:t>
            </w:r>
          </w:p>
        </w:tc>
      </w:tr>
      <w:tr>
        <w:trPr>
          <w:trHeight w:val="395" w:hRule="atLeast"/>
        </w:trPr>
        <w:tc>
          <w:tcPr>
            <w:tcW w:w="843" w:type="dxa"/>
          </w:tcPr>
          <w:p>
            <w:pPr>
              <w:pStyle w:val="TableParagraph"/>
              <w:rPr>
                <w:sz w:val="24"/>
              </w:rPr>
            </w:pPr>
          </w:p>
        </w:tc>
        <w:tc>
          <w:tcPr>
            <w:tcW w:w="5118" w:type="dxa"/>
          </w:tcPr>
          <w:p>
            <w:pPr>
              <w:pStyle w:val="TableParagraph"/>
              <w:spacing w:line="275" w:lineRule="exact"/>
              <w:ind w:left="879" w:right="869"/>
              <w:jc w:val="center"/>
              <w:rPr>
                <w:b/>
                <w:sz w:val="24"/>
              </w:rPr>
            </w:pPr>
            <w:r>
              <w:rPr>
                <w:b/>
                <w:sz w:val="24"/>
              </w:rPr>
              <w:t>TOTAL</w:t>
            </w:r>
          </w:p>
        </w:tc>
        <w:tc>
          <w:tcPr>
            <w:tcW w:w="2790" w:type="dxa"/>
          </w:tcPr>
          <w:p>
            <w:pPr>
              <w:pStyle w:val="TableParagraph"/>
              <w:spacing w:line="275" w:lineRule="exact"/>
              <w:ind w:left="697" w:right="690"/>
              <w:jc w:val="center"/>
              <w:rPr>
                <w:b/>
                <w:sz w:val="24"/>
              </w:rPr>
            </w:pPr>
            <w:r>
              <w:rPr>
                <w:b/>
                <w:sz w:val="24"/>
              </w:rPr>
              <w:t>2 696 116</w:t>
            </w:r>
            <w:r>
              <w:rPr>
                <w:b/>
                <w:spacing w:val="60"/>
                <w:sz w:val="24"/>
              </w:rPr>
              <w:t> </w:t>
            </w:r>
            <w:r>
              <w:rPr>
                <w:b/>
                <w:sz w:val="24"/>
              </w:rPr>
              <w:t>kg</w:t>
            </w:r>
          </w:p>
        </w:tc>
      </w:tr>
    </w:tbl>
    <w:p>
      <w:pPr>
        <w:pStyle w:val="BodyText"/>
        <w:spacing w:before="10"/>
        <w:ind w:left="0"/>
        <w:rPr>
          <w:sz w:val="23"/>
        </w:rPr>
      </w:pPr>
    </w:p>
    <w:p>
      <w:pPr>
        <w:pStyle w:val="Heading1"/>
        <w:ind w:right="830"/>
        <w:jc w:val="both"/>
        <w:rPr>
          <w:u w:val="none"/>
        </w:rPr>
      </w:pPr>
      <w:r>
        <w:rPr>
          <w:u w:val="thick"/>
        </w:rPr>
        <w:t>Monitorizarea intoxicaţiilor acute cu monoxid de carbon, băuturi alcoolice, substanţe de abuz,</w:t>
      </w:r>
      <w:r>
        <w:rPr>
          <w:u w:val="none"/>
        </w:rPr>
        <w:t> </w:t>
      </w:r>
      <w:r>
        <w:rPr>
          <w:u w:val="thick"/>
        </w:rPr>
        <w:t>ciuperci, plante, alte produse toxice</w:t>
      </w:r>
    </w:p>
    <w:p>
      <w:pPr>
        <w:spacing w:before="0"/>
        <w:ind w:left="233" w:right="0" w:firstLine="0"/>
        <w:jc w:val="both"/>
        <w:rPr>
          <w:sz w:val="24"/>
        </w:rPr>
      </w:pPr>
      <w:r>
        <w:rPr>
          <w:i/>
          <w:sz w:val="24"/>
          <w:u w:val="single"/>
        </w:rPr>
        <w:t>Activitati desfasurate</w:t>
      </w:r>
      <w:r>
        <w:rPr>
          <w:sz w:val="24"/>
        </w:rPr>
        <w:t>:</w:t>
      </w:r>
    </w:p>
    <w:p>
      <w:pPr>
        <w:pStyle w:val="ListParagraph"/>
        <w:numPr>
          <w:ilvl w:val="0"/>
          <w:numId w:val="2"/>
        </w:numPr>
        <w:tabs>
          <w:tab w:pos="594" w:val="left" w:leader="none"/>
        </w:tabs>
        <w:spacing w:line="240" w:lineRule="auto" w:before="0" w:after="0"/>
        <w:ind w:left="593" w:right="837" w:hanging="360"/>
        <w:jc w:val="both"/>
        <w:rPr>
          <w:sz w:val="24"/>
        </w:rPr>
      </w:pPr>
      <w:r>
        <w:rPr>
          <w:sz w:val="24"/>
        </w:rPr>
        <w:t>Au fost transmise catre unitatile medicale (9 spitale de urgenta) si serviciul de medicina legala, adrese prin care am solicitat semnalarea cazurilor de intoxicatie acuta neprofesionala cu produse chimice la care s-a anexat si formatul “</w:t>
      </w:r>
      <w:r>
        <w:rPr>
          <w:i/>
          <w:sz w:val="24"/>
        </w:rPr>
        <w:t>Fisa de declarare a intoxicatiei acute cu CO, alcool, </w:t>
      </w:r>
      <w:r>
        <w:rPr>
          <w:i/>
          <w:sz w:val="24"/>
        </w:rPr>
        <w:t>droguri, ciuperci, alte substante / produse toxice ”</w:t>
      </w:r>
      <w:r>
        <w:rPr>
          <w:i/>
          <w:spacing w:val="-1"/>
          <w:sz w:val="24"/>
        </w:rPr>
        <w:t> </w:t>
      </w:r>
      <w:r>
        <w:rPr>
          <w:sz w:val="24"/>
        </w:rPr>
        <w:t>.</w:t>
      </w:r>
    </w:p>
    <w:p>
      <w:pPr>
        <w:pStyle w:val="ListParagraph"/>
        <w:numPr>
          <w:ilvl w:val="0"/>
          <w:numId w:val="2"/>
        </w:numPr>
        <w:tabs>
          <w:tab w:pos="594" w:val="left" w:leader="none"/>
        </w:tabs>
        <w:spacing w:line="240" w:lineRule="auto" w:before="1" w:after="0"/>
        <w:ind w:left="593" w:right="832" w:hanging="360"/>
        <w:jc w:val="both"/>
        <w:rPr>
          <w:sz w:val="24"/>
        </w:rPr>
      </w:pPr>
      <w:r>
        <w:rPr>
          <w:sz w:val="24"/>
        </w:rPr>
        <w:t>S-au inregistrat 395 cazuri de intoxicatie acuta neprofesionala cu produse chimice, pentru fiecare caz a fost completata, la nivelul unitatilor sanitare/serviciului de medicina legala, “</w:t>
      </w:r>
      <w:r>
        <w:rPr>
          <w:i/>
          <w:sz w:val="24"/>
        </w:rPr>
        <w:t>Fisa de </w:t>
      </w:r>
      <w:r>
        <w:rPr>
          <w:i/>
          <w:sz w:val="24"/>
        </w:rPr>
        <w:t>declarare a intoxicatiei acute cu CO, alcool, droguri, ciuperci, alte substante / produse toxice ”</w:t>
      </w:r>
      <w:r>
        <w:rPr>
          <w:i/>
          <w:spacing w:val="-5"/>
          <w:sz w:val="24"/>
        </w:rPr>
        <w:t> </w:t>
      </w:r>
      <w:r>
        <w:rPr>
          <w:sz w:val="24"/>
        </w:rPr>
        <w:t>.</w:t>
      </w:r>
    </w:p>
    <w:p>
      <w:pPr>
        <w:pStyle w:val="ListParagraph"/>
        <w:numPr>
          <w:ilvl w:val="0"/>
          <w:numId w:val="2"/>
        </w:numPr>
        <w:tabs>
          <w:tab w:pos="594" w:val="left" w:leader="none"/>
        </w:tabs>
        <w:spacing w:line="240" w:lineRule="auto" w:before="0" w:after="0"/>
        <w:ind w:left="593" w:right="839" w:hanging="360"/>
        <w:jc w:val="both"/>
        <w:rPr>
          <w:sz w:val="24"/>
        </w:rPr>
      </w:pPr>
      <w:r>
        <w:rPr>
          <w:sz w:val="24"/>
        </w:rPr>
        <w:t>s-au raportat catre INSP cazurile de intoxicatie acuta neprofestionala cu produse chimice, prin transmiterea fisei sus mentionate</w:t>
      </w:r>
    </w:p>
    <w:p>
      <w:pPr>
        <w:pStyle w:val="BodyText"/>
        <w:ind w:left="0"/>
      </w:pPr>
    </w:p>
    <w:p>
      <w:pPr>
        <w:pStyle w:val="Heading1"/>
        <w:tabs>
          <w:tab w:pos="1608" w:val="left" w:leader="none"/>
        </w:tabs>
        <w:ind w:right="880"/>
        <w:rPr>
          <w:u w:val="none"/>
        </w:rPr>
      </w:pPr>
      <w:r>
        <w:rPr>
          <w:u w:val="thick"/>
        </w:rPr>
        <w:t>Elaborarea</w:t>
        <w:tab/>
        <w:t>criteriilor de evaluare a riscurilor generate de obiective socio-economice asupra</w:t>
      </w:r>
      <w:r>
        <w:rPr>
          <w:u w:val="none"/>
        </w:rPr>
        <w:t> </w:t>
      </w:r>
      <w:r>
        <w:rPr>
          <w:u w:val="thick"/>
        </w:rPr>
        <w:t>starii de sanatate si confortului</w:t>
      </w:r>
      <w:r>
        <w:rPr>
          <w:spacing w:val="55"/>
          <w:u w:val="thick"/>
        </w:rPr>
        <w:t> </w:t>
      </w:r>
      <w:r>
        <w:rPr>
          <w:u w:val="thick"/>
        </w:rPr>
        <w:t>populatiei</w:t>
      </w:r>
    </w:p>
    <w:p>
      <w:pPr>
        <w:pStyle w:val="BodyText"/>
        <w:ind w:left="593"/>
      </w:pPr>
      <w:r>
        <w:rPr/>
        <w:t>Scopul activităţii: elaborarea Metodologiei unui studiu de impact asupra sanătăţii populaţiei.</w:t>
      </w:r>
    </w:p>
    <w:p>
      <w:pPr>
        <w:spacing w:before="0"/>
        <w:ind w:left="473" w:right="0" w:firstLine="0"/>
        <w:jc w:val="left"/>
        <w:rPr>
          <w:sz w:val="24"/>
        </w:rPr>
      </w:pPr>
      <w:r>
        <w:rPr>
          <w:i/>
          <w:sz w:val="24"/>
          <w:u w:val="single"/>
        </w:rPr>
        <w:t>Activitati desfasurate</w:t>
      </w:r>
      <w:r>
        <w:rPr>
          <w:sz w:val="24"/>
          <w:u w:val="single"/>
        </w:rPr>
        <w:t>:</w:t>
      </w:r>
    </w:p>
    <w:p>
      <w:pPr>
        <w:pStyle w:val="ListParagraph"/>
        <w:numPr>
          <w:ilvl w:val="0"/>
          <w:numId w:val="2"/>
        </w:numPr>
        <w:tabs>
          <w:tab w:pos="493" w:val="left" w:leader="none"/>
        </w:tabs>
        <w:spacing w:line="240" w:lineRule="auto" w:before="0" w:after="0"/>
        <w:ind w:left="492" w:right="0" w:hanging="200"/>
        <w:jc w:val="left"/>
        <w:rPr>
          <w:sz w:val="24"/>
        </w:rPr>
      </w:pPr>
      <w:r>
        <w:rPr>
          <w:sz w:val="24"/>
        </w:rPr>
        <w:t>furnizarea datelor solicitate pe baza chestionarului, la termenul prevazut in</w:t>
      </w:r>
      <w:r>
        <w:rPr>
          <w:spacing w:val="-7"/>
          <w:sz w:val="24"/>
        </w:rPr>
        <w:t> </w:t>
      </w:r>
      <w:r>
        <w:rPr>
          <w:sz w:val="24"/>
        </w:rPr>
        <w:t>metodologie.</w:t>
      </w:r>
    </w:p>
    <w:p>
      <w:pPr>
        <w:pStyle w:val="BodyText"/>
        <w:spacing w:before="10"/>
        <w:ind w:left="0"/>
        <w:rPr>
          <w:sz w:val="20"/>
        </w:rPr>
      </w:pPr>
    </w:p>
    <w:p>
      <w:pPr>
        <w:pStyle w:val="Heading1"/>
        <w:jc w:val="both"/>
        <w:rPr>
          <w:u w:val="none"/>
        </w:rPr>
      </w:pPr>
      <w:r>
        <w:rPr>
          <w:u w:val="thick"/>
        </w:rPr>
        <w:t>Supravegherea starii de nutritie si a alimentatiei populatiei</w:t>
      </w:r>
    </w:p>
    <w:p>
      <w:pPr>
        <w:pStyle w:val="BodyText"/>
        <w:ind w:left="233" w:right="835" w:firstLine="300"/>
        <w:jc w:val="both"/>
      </w:pPr>
      <w:r>
        <w:rPr/>
        <w:t>Anchetele alimentare la nivel naţional din ultimii ani au indicat un consum excesiv de grăsimi, în special de grăsimi saturate, aport crescut de colesterol, aport redus de legume şi fructe, aport scăzut de fibre alimentare, consum excesiv de sare, dezechilibre ce duc la tulburări ale metabolismului lipidic</w:t>
      </w:r>
    </w:p>
    <w:p>
      <w:pPr>
        <w:spacing w:after="0"/>
        <w:jc w:val="both"/>
        <w:sectPr>
          <w:pgSz w:w="11910" w:h="16840"/>
          <w:pgMar w:header="0" w:footer="738" w:top="1580" w:bottom="920" w:left="900" w:right="0"/>
        </w:sectPr>
      </w:pPr>
    </w:p>
    <w:p>
      <w:pPr>
        <w:pStyle w:val="BodyText"/>
        <w:spacing w:before="60"/>
        <w:ind w:left="233" w:right="828"/>
        <w:jc w:val="both"/>
      </w:pPr>
      <w:r>
        <w:rPr/>
        <w:t>respectiv, creşterea procentului de supraponderali şi obezi, care nu numai că scurtează speranţa de  viaţă ci afectează calitatea vieţii. Deasemenea ritmul anual de  creştere a prevalenţei obezităţii a  crescut constant la copii, acest lucru contribuind la cresterea ulterioara a numarului de adulti obezi şi crează o provocare pentru generaţiile</w:t>
      </w:r>
      <w:r>
        <w:rPr>
          <w:spacing w:val="-5"/>
        </w:rPr>
        <w:t> </w:t>
      </w:r>
      <w:r>
        <w:rPr/>
        <w:t>viitoare.</w:t>
      </w:r>
    </w:p>
    <w:p>
      <w:pPr>
        <w:pStyle w:val="BodyText"/>
        <w:spacing w:before="1"/>
        <w:ind w:left="233" w:right="830" w:firstLine="300"/>
        <w:jc w:val="both"/>
      </w:pPr>
      <w:r>
        <w:rPr/>
        <w:t>Studiile arată că un român din trei este supraponderal, unul din patru este obez. Obezitatea este responsabilă pentru creşterea morbidităţii şi mortalităţii, devenind după fumat, a doua cauză de deces potenţial prevenibilă.</w:t>
      </w:r>
    </w:p>
    <w:p>
      <w:pPr>
        <w:spacing w:before="0"/>
        <w:ind w:left="233" w:right="0" w:firstLine="0"/>
        <w:jc w:val="both"/>
        <w:rPr>
          <w:i/>
          <w:sz w:val="24"/>
        </w:rPr>
      </w:pPr>
      <w:r>
        <w:rPr>
          <w:i/>
          <w:sz w:val="24"/>
          <w:u w:val="single"/>
        </w:rPr>
        <w:t>Activitati desfasurate:</w:t>
      </w:r>
    </w:p>
    <w:p>
      <w:pPr>
        <w:pStyle w:val="ListParagraph"/>
        <w:numPr>
          <w:ilvl w:val="0"/>
          <w:numId w:val="2"/>
        </w:numPr>
        <w:tabs>
          <w:tab w:pos="411" w:val="left" w:leader="none"/>
        </w:tabs>
        <w:spacing w:line="240" w:lineRule="auto" w:before="0" w:after="0"/>
        <w:ind w:left="233" w:right="829" w:firstLine="0"/>
        <w:jc w:val="both"/>
        <w:rPr>
          <w:sz w:val="24"/>
        </w:rPr>
      </w:pPr>
      <w:r>
        <w:rPr>
          <w:sz w:val="24"/>
        </w:rPr>
        <w:t>pregatirea eşantionului pentru studiu în raport cu particularităţile reprezentative ( 50 subiecţi/ an/ judet) si au fost aplicate instrumentele de lucru: 50 chestionare privind dieta zilnică pe o zi şi 50 chestionare de frecvenţa</w:t>
      </w:r>
      <w:r>
        <w:rPr>
          <w:spacing w:val="-3"/>
          <w:sz w:val="24"/>
        </w:rPr>
        <w:t> </w:t>
      </w:r>
      <w:r>
        <w:rPr>
          <w:sz w:val="24"/>
        </w:rPr>
        <w:t>alimentară</w:t>
      </w:r>
    </w:p>
    <w:p>
      <w:pPr>
        <w:pStyle w:val="ListParagraph"/>
        <w:numPr>
          <w:ilvl w:val="0"/>
          <w:numId w:val="2"/>
        </w:numPr>
        <w:tabs>
          <w:tab w:pos="452" w:val="left" w:leader="none"/>
        </w:tabs>
        <w:spacing w:line="240" w:lineRule="auto" w:before="0" w:after="0"/>
        <w:ind w:left="233" w:right="832" w:firstLine="0"/>
        <w:jc w:val="both"/>
        <w:rPr>
          <w:sz w:val="24"/>
        </w:rPr>
      </w:pPr>
      <w:r>
        <w:rPr>
          <w:sz w:val="24"/>
        </w:rPr>
        <w:t>evaluarea starii de nutriţie prin examinări de laborator (glicemie, Hb, HDL-colesterol, LDL- colesterol, lipide serice, TG serice, electroliti serici : Ca, Mg, Fe) la 50 subiecţi</w:t>
      </w:r>
      <w:r>
        <w:rPr>
          <w:spacing w:val="-5"/>
          <w:sz w:val="24"/>
        </w:rPr>
        <w:t> </w:t>
      </w:r>
      <w:r>
        <w:rPr>
          <w:sz w:val="24"/>
        </w:rPr>
        <w:t>.</w:t>
      </w:r>
    </w:p>
    <w:p>
      <w:pPr>
        <w:pStyle w:val="ListParagraph"/>
        <w:numPr>
          <w:ilvl w:val="0"/>
          <w:numId w:val="2"/>
        </w:numPr>
        <w:tabs>
          <w:tab w:pos="431" w:val="left" w:leader="none"/>
        </w:tabs>
        <w:spacing w:line="240" w:lineRule="auto" w:before="1" w:after="0"/>
        <w:ind w:left="233" w:right="835" w:firstLine="0"/>
        <w:jc w:val="both"/>
        <w:rPr>
          <w:sz w:val="24"/>
        </w:rPr>
      </w:pPr>
      <w:r>
        <w:rPr>
          <w:sz w:val="24"/>
        </w:rPr>
        <w:t>evaluarea stilului de viaţă : activitate fizică, fumat, consum de alcool, consum de suplimente alimentare, prin aplicarea chestionarelor (50 chestionare stil de viaţă</w:t>
      </w:r>
      <w:r>
        <w:rPr>
          <w:spacing w:val="1"/>
          <w:sz w:val="24"/>
        </w:rPr>
        <w:t> </w:t>
      </w:r>
      <w:r>
        <w:rPr>
          <w:sz w:val="24"/>
        </w:rPr>
        <w:t>)</w:t>
      </w:r>
    </w:p>
    <w:p>
      <w:pPr>
        <w:pStyle w:val="ListParagraph"/>
        <w:numPr>
          <w:ilvl w:val="0"/>
          <w:numId w:val="2"/>
        </w:numPr>
        <w:tabs>
          <w:tab w:pos="399" w:val="left" w:leader="none"/>
        </w:tabs>
        <w:spacing w:line="240" w:lineRule="auto" w:before="1" w:after="0"/>
        <w:ind w:left="398" w:right="0" w:hanging="166"/>
        <w:jc w:val="both"/>
        <w:rPr>
          <w:sz w:val="20"/>
        </w:rPr>
      </w:pPr>
      <w:r>
        <w:rPr>
          <w:sz w:val="20"/>
        </w:rPr>
        <w:t>centralizarea datelor primare care au fost trimise la CRSP</w:t>
      </w:r>
      <w:r>
        <w:rPr>
          <w:spacing w:val="6"/>
          <w:sz w:val="20"/>
        </w:rPr>
        <w:t> </w:t>
      </w:r>
      <w:r>
        <w:rPr>
          <w:sz w:val="20"/>
        </w:rPr>
        <w:t>Cluj.</w:t>
      </w:r>
    </w:p>
    <w:p>
      <w:pPr>
        <w:pStyle w:val="BodyText"/>
        <w:spacing w:before="11"/>
        <w:ind w:left="0"/>
        <w:rPr>
          <w:sz w:val="23"/>
        </w:rPr>
      </w:pPr>
    </w:p>
    <w:p>
      <w:pPr>
        <w:pStyle w:val="Heading1"/>
        <w:rPr>
          <w:u w:val="none"/>
        </w:rPr>
      </w:pPr>
      <w:r>
        <w:rPr>
          <w:u w:val="thick"/>
        </w:rPr>
        <w:t>Monitorizarea calităţii suplimentelor alimentare</w:t>
      </w:r>
    </w:p>
    <w:p>
      <w:pPr>
        <w:pStyle w:val="BodyText"/>
        <w:ind w:left="233" w:right="880"/>
      </w:pPr>
      <w:r>
        <w:rPr>
          <w:spacing w:val="-60"/>
          <w:u w:val="single"/>
        </w:rPr>
        <w:t> </w:t>
      </w:r>
      <w:r>
        <w:rPr>
          <w:i/>
          <w:u w:val="single"/>
        </w:rPr>
        <w:t>Scopul activităţii</w:t>
      </w:r>
      <w:r>
        <w:rPr/>
        <w:t>: analiza Pb şi Cd din probele de suplimente alimentare prelevate, pentru a asigura consumatorilor produse sigure provenite atât din producţia autohtonă cât şi din import.</w:t>
      </w:r>
    </w:p>
    <w:p>
      <w:pPr>
        <w:spacing w:before="0"/>
        <w:ind w:left="233" w:right="0" w:firstLine="0"/>
        <w:jc w:val="left"/>
        <w:rPr>
          <w:i/>
          <w:sz w:val="24"/>
        </w:rPr>
      </w:pPr>
      <w:r>
        <w:rPr>
          <w:i/>
          <w:sz w:val="24"/>
          <w:u w:val="single"/>
        </w:rPr>
        <w:t>Activitati desfasurate:</w:t>
      </w:r>
    </w:p>
    <w:p>
      <w:pPr>
        <w:pStyle w:val="ListParagraph"/>
        <w:numPr>
          <w:ilvl w:val="0"/>
          <w:numId w:val="2"/>
        </w:numPr>
        <w:tabs>
          <w:tab w:pos="373" w:val="left" w:leader="none"/>
        </w:tabs>
        <w:spacing w:line="240" w:lineRule="auto" w:before="0" w:after="0"/>
        <w:ind w:left="233" w:right="1644" w:firstLine="0"/>
        <w:jc w:val="left"/>
        <w:rPr>
          <w:sz w:val="24"/>
        </w:rPr>
      </w:pPr>
      <w:r>
        <w:rPr>
          <w:sz w:val="24"/>
        </w:rPr>
        <w:t>au fost catalogate suplimente alimentare în funcţie de categoria de ingrediente din compoziţie vitamine şi/sau minerale; vitamine şi/sau minerale cu alte substanţe (ex. diverse extracte</w:t>
      </w:r>
      <w:r>
        <w:rPr>
          <w:spacing w:val="-17"/>
          <w:sz w:val="24"/>
        </w:rPr>
        <w:t> </w:t>
      </w:r>
      <w:r>
        <w:rPr>
          <w:sz w:val="24"/>
        </w:rPr>
        <w:t>de</w:t>
      </w:r>
    </w:p>
    <w:p>
      <w:pPr>
        <w:pStyle w:val="BodyText"/>
        <w:ind w:left="233" w:right="880"/>
      </w:pPr>
      <w:r>
        <w:rPr/>
        <w:t>plante, produse ale stupului, coenzima Q10, licopen, ş.a.m.d.); alte substanţe cu rol fiziologic sau nutriţional (ex. diverse extracte de plante, licopen, Q10, carnitină, aminoacizi etc.)</w:t>
      </w:r>
    </w:p>
    <w:p>
      <w:pPr>
        <w:pStyle w:val="BodyText"/>
        <w:ind w:left="233"/>
      </w:pPr>
      <w:r>
        <w:rPr/>
        <w:t>-datele au fost raportate la CRSPT</w:t>
      </w:r>
    </w:p>
    <w:p>
      <w:pPr>
        <w:pStyle w:val="BodyText"/>
        <w:ind w:left="233" w:right="880"/>
      </w:pPr>
      <w:r>
        <w:rPr/>
        <w:t>-au fost prelevate probe pentru analize - determinare Pb şi Cd, acestea au fost expediate la CRSP Timişoara</w:t>
      </w:r>
    </w:p>
    <w:p>
      <w:pPr>
        <w:pStyle w:val="BodyText"/>
        <w:ind w:left="0"/>
      </w:pPr>
    </w:p>
    <w:p>
      <w:pPr>
        <w:pStyle w:val="Heading1"/>
        <w:rPr>
          <w:u w:val="none"/>
        </w:rPr>
      </w:pPr>
      <w:r>
        <w:rPr>
          <w:b w:val="0"/>
          <w:spacing w:val="-60"/>
          <w:u w:val="thick"/>
        </w:rPr>
        <w:t> </w:t>
      </w:r>
      <w:r>
        <w:rPr>
          <w:u w:val="thick"/>
        </w:rPr>
        <w:t>Monitorizarea alimentelor cu adaos de vitamine, minerale şi alte substanţe</w:t>
      </w:r>
    </w:p>
    <w:p>
      <w:pPr>
        <w:pStyle w:val="BodyText"/>
        <w:ind w:left="233" w:right="880"/>
      </w:pPr>
      <w:r>
        <w:rPr>
          <w:spacing w:val="-60"/>
          <w:u w:val="single"/>
        </w:rPr>
        <w:t> </w:t>
      </w:r>
      <w:r>
        <w:rPr>
          <w:i/>
          <w:u w:val="single"/>
        </w:rPr>
        <w:t>Scopul activităţii</w:t>
      </w:r>
      <w:r>
        <w:rPr>
          <w:i/>
        </w:rPr>
        <w:t> </w:t>
      </w:r>
      <w:r>
        <w:rPr/>
        <w:t>: identificarea alimentelor cu adaos de vitamine, minerale şi alte substanţe neconforme aflate pe piaţa autohtonă– respectarea legislaţiei în</w:t>
      </w:r>
      <w:r>
        <w:rPr>
          <w:spacing w:val="-5"/>
        </w:rPr>
        <w:t> </w:t>
      </w:r>
      <w:r>
        <w:rPr/>
        <w:t>vigoare</w:t>
      </w:r>
    </w:p>
    <w:p>
      <w:pPr>
        <w:spacing w:before="0"/>
        <w:ind w:left="233" w:right="0" w:firstLine="0"/>
        <w:jc w:val="left"/>
        <w:rPr>
          <w:i/>
          <w:sz w:val="24"/>
        </w:rPr>
      </w:pPr>
      <w:r>
        <w:rPr>
          <w:i/>
          <w:sz w:val="24"/>
          <w:u w:val="single"/>
        </w:rPr>
        <w:t>Activitati desfasurate:</w:t>
      </w:r>
    </w:p>
    <w:p>
      <w:pPr>
        <w:pStyle w:val="ListParagraph"/>
        <w:numPr>
          <w:ilvl w:val="0"/>
          <w:numId w:val="2"/>
        </w:numPr>
        <w:tabs>
          <w:tab w:pos="373" w:val="left" w:leader="none"/>
        </w:tabs>
        <w:spacing w:line="275" w:lineRule="exact" w:before="1" w:after="0"/>
        <w:ind w:left="372" w:right="0" w:hanging="140"/>
        <w:jc w:val="left"/>
        <w:rPr>
          <w:sz w:val="24"/>
        </w:rPr>
      </w:pPr>
      <w:r>
        <w:rPr>
          <w:sz w:val="24"/>
        </w:rPr>
        <w:t>au fost identificate 10 alimente cu adaos de vitamine, minerale şi alte substanţe şi au</w:t>
      </w:r>
      <w:r>
        <w:rPr>
          <w:spacing w:val="-10"/>
          <w:sz w:val="24"/>
        </w:rPr>
        <w:t> </w:t>
      </w:r>
      <w:r>
        <w:rPr>
          <w:sz w:val="24"/>
        </w:rPr>
        <w:t>fost</w:t>
      </w:r>
    </w:p>
    <w:p>
      <w:pPr>
        <w:pStyle w:val="BodyText"/>
        <w:ind w:left="233" w:right="829"/>
        <w:jc w:val="both"/>
      </w:pPr>
      <w:r>
        <w:rPr/>
        <w:t>catalogate pe categorii; s-au consemnat cantităţile de vitamine, minerale şi alte substanţe adăugate; </w:t>
      </w:r>
      <w:r>
        <w:rPr>
          <w:spacing w:val="2"/>
        </w:rPr>
        <w:t>s-a </w:t>
      </w:r>
      <w:r>
        <w:rPr/>
        <w:t>verificat pe site-ul MS dacă alimentele identificate şi catalogate sunt notificate pentru a depista alimentele cu adaos</w:t>
      </w:r>
      <w:r>
        <w:rPr>
          <w:spacing w:val="59"/>
        </w:rPr>
        <w:t> </w:t>
      </w:r>
      <w:r>
        <w:rPr/>
        <w:t>non-conforme.</w:t>
      </w:r>
    </w:p>
    <w:p>
      <w:pPr>
        <w:pStyle w:val="BodyText"/>
        <w:spacing w:before="10"/>
        <w:ind w:left="0"/>
        <w:rPr>
          <w:sz w:val="23"/>
        </w:rPr>
      </w:pPr>
    </w:p>
    <w:p>
      <w:pPr>
        <w:pStyle w:val="Heading1"/>
        <w:spacing w:before="1"/>
        <w:rPr>
          <w:u w:val="none"/>
        </w:rPr>
      </w:pPr>
      <w:r>
        <w:rPr>
          <w:u w:val="thick"/>
        </w:rPr>
        <w:t>Monitorizarea nivelului de iod din sarea iodata pentru consumul uman</w:t>
      </w:r>
    </w:p>
    <w:p>
      <w:pPr>
        <w:spacing w:before="0"/>
        <w:ind w:left="233" w:right="0" w:firstLine="0"/>
        <w:jc w:val="left"/>
        <w:rPr>
          <w:sz w:val="24"/>
        </w:rPr>
      </w:pPr>
      <w:r>
        <w:rPr>
          <w:spacing w:val="-60"/>
          <w:sz w:val="24"/>
          <w:u w:val="single"/>
        </w:rPr>
        <w:t> </w:t>
      </w:r>
      <w:r>
        <w:rPr>
          <w:i/>
          <w:sz w:val="24"/>
          <w:u w:val="single"/>
        </w:rPr>
        <w:t>Scopul activităţii</w:t>
      </w:r>
      <w:r>
        <w:rPr>
          <w:sz w:val="24"/>
        </w:rPr>
        <w:t>: protejarea populatiei impotriva riscurilor legate de carenta iodata.</w:t>
      </w:r>
    </w:p>
    <w:p>
      <w:pPr>
        <w:spacing w:before="0"/>
        <w:ind w:left="233" w:right="0" w:firstLine="0"/>
        <w:jc w:val="left"/>
        <w:rPr>
          <w:i/>
          <w:sz w:val="24"/>
        </w:rPr>
      </w:pPr>
      <w:r>
        <w:rPr>
          <w:i/>
          <w:sz w:val="24"/>
          <w:u w:val="single"/>
        </w:rPr>
        <w:t>Activitati desfasurate:</w:t>
      </w:r>
    </w:p>
    <w:p>
      <w:pPr>
        <w:pStyle w:val="ListParagraph"/>
        <w:numPr>
          <w:ilvl w:val="0"/>
          <w:numId w:val="2"/>
        </w:numPr>
        <w:tabs>
          <w:tab w:pos="402" w:val="left" w:leader="none"/>
        </w:tabs>
        <w:spacing w:line="240" w:lineRule="auto" w:before="0" w:after="0"/>
        <w:ind w:left="233" w:right="837" w:firstLine="0"/>
        <w:jc w:val="left"/>
        <w:rPr>
          <w:i/>
          <w:sz w:val="24"/>
        </w:rPr>
      </w:pPr>
      <w:r>
        <w:rPr>
          <w:sz w:val="24"/>
        </w:rPr>
        <w:t>s-au prelevat 20 de probe de sare iodata din depozite de distributie, unitati comerciale, unitati de ambalare provenita numai din import si de la salina Slanic</w:t>
      </w:r>
      <w:r>
        <w:rPr>
          <w:spacing w:val="-6"/>
          <w:sz w:val="24"/>
        </w:rPr>
        <w:t> </w:t>
      </w:r>
      <w:r>
        <w:rPr>
          <w:sz w:val="24"/>
        </w:rPr>
        <w:t>Prahova</w:t>
      </w:r>
      <w:r>
        <w:rPr>
          <w:i/>
          <w:sz w:val="24"/>
        </w:rPr>
        <w:t>.</w:t>
      </w:r>
    </w:p>
    <w:p>
      <w:pPr>
        <w:pStyle w:val="BodyText"/>
        <w:spacing w:before="11"/>
        <w:ind w:left="0"/>
        <w:rPr>
          <w:i/>
          <w:sz w:val="23"/>
        </w:rPr>
      </w:pPr>
    </w:p>
    <w:p>
      <w:pPr>
        <w:pStyle w:val="Heading1"/>
        <w:jc w:val="both"/>
        <w:rPr>
          <w:u w:val="none"/>
        </w:rPr>
      </w:pPr>
      <w:r>
        <w:rPr>
          <w:u w:val="thick"/>
        </w:rPr>
        <w:t>Rolul alimentului in izbucnirile de toxiinfectii alimentare din Romania</w:t>
      </w:r>
    </w:p>
    <w:p>
      <w:pPr>
        <w:pStyle w:val="BodyText"/>
        <w:ind w:left="233" w:right="828" w:firstLine="360"/>
        <w:jc w:val="both"/>
      </w:pPr>
      <w:r>
        <w:rPr/>
        <w:t>Pe parcursul anului 2017 s-au inregistrat mai multe suspiciuni de TIA. In colaborare cu  Laboratorul de Diagnostic si Investigare in Sanatate Publica – Microbiologie, cazurile de TIA nu s-au confirmat. Operativ, s-au transmis informatiile pe verticala, catre Directia de Control in Sanatate Publica, si pe orizontala la Directia Sanitar-Veterinara si pentru Siguranta</w:t>
      </w:r>
      <w:r>
        <w:rPr>
          <w:spacing w:val="-5"/>
        </w:rPr>
        <w:t> </w:t>
      </w:r>
      <w:r>
        <w:rPr/>
        <w:t>Alimentului.</w:t>
      </w:r>
    </w:p>
    <w:p>
      <w:pPr>
        <w:pStyle w:val="BodyText"/>
        <w:ind w:left="0"/>
      </w:pPr>
    </w:p>
    <w:p>
      <w:pPr>
        <w:pStyle w:val="Heading1"/>
        <w:rPr>
          <w:u w:val="none"/>
        </w:rPr>
      </w:pPr>
      <w:r>
        <w:rPr>
          <w:u w:val="thick"/>
        </w:rPr>
        <w:t>Evaluarea nivelului de dezvoltare fizica la copiii si tinerii din colectivitatile scolare.</w:t>
      </w:r>
    </w:p>
    <w:p>
      <w:pPr>
        <w:spacing w:before="1"/>
        <w:ind w:left="233" w:right="0" w:firstLine="0"/>
        <w:jc w:val="left"/>
        <w:rPr>
          <w:i/>
          <w:sz w:val="24"/>
        </w:rPr>
      </w:pPr>
      <w:r>
        <w:rPr>
          <w:i/>
          <w:sz w:val="24"/>
          <w:u w:val="single"/>
        </w:rPr>
        <w:t>Activitati desfasurate:</w:t>
      </w:r>
    </w:p>
    <w:p>
      <w:pPr>
        <w:spacing w:after="0"/>
        <w:jc w:val="left"/>
        <w:rPr>
          <w:sz w:val="24"/>
        </w:rPr>
        <w:sectPr>
          <w:pgSz w:w="11910" w:h="16840"/>
          <w:pgMar w:header="0" w:footer="738" w:top="1360" w:bottom="920" w:left="900" w:right="0"/>
        </w:sectPr>
      </w:pPr>
    </w:p>
    <w:p>
      <w:pPr>
        <w:pStyle w:val="ListParagraph"/>
        <w:numPr>
          <w:ilvl w:val="0"/>
          <w:numId w:val="2"/>
        </w:numPr>
        <w:tabs>
          <w:tab w:pos="380" w:val="left" w:leader="none"/>
        </w:tabs>
        <w:spacing w:line="240" w:lineRule="auto" w:before="60" w:after="0"/>
        <w:ind w:left="233" w:right="833" w:firstLine="0"/>
        <w:jc w:val="both"/>
        <w:rPr>
          <w:sz w:val="24"/>
        </w:rPr>
      </w:pPr>
      <w:r>
        <w:rPr>
          <w:sz w:val="24"/>
        </w:rPr>
        <w:t>S-au colectat si verificat fisele de dezvoltare fizica, s-au centralizat datele si s-au raportat conform metodologiei specifice, la Institutul National de Sanatate</w:t>
      </w:r>
      <w:r>
        <w:rPr>
          <w:spacing w:val="-2"/>
          <w:sz w:val="24"/>
        </w:rPr>
        <w:t> </w:t>
      </w:r>
      <w:r>
        <w:rPr>
          <w:sz w:val="24"/>
        </w:rPr>
        <w:t>Publica.</w:t>
      </w:r>
    </w:p>
    <w:p>
      <w:pPr>
        <w:pStyle w:val="ListParagraph"/>
        <w:numPr>
          <w:ilvl w:val="0"/>
          <w:numId w:val="2"/>
        </w:numPr>
        <w:tabs>
          <w:tab w:pos="397" w:val="left" w:leader="none"/>
        </w:tabs>
        <w:spacing w:line="240" w:lineRule="auto" w:before="1" w:after="0"/>
        <w:ind w:left="233" w:right="841" w:firstLine="0"/>
        <w:jc w:val="both"/>
        <w:rPr>
          <w:sz w:val="24"/>
        </w:rPr>
      </w:pPr>
      <w:r>
        <w:rPr>
          <w:sz w:val="24"/>
        </w:rPr>
        <w:t>Dezvoltarea fizica a fost apreciata in anul scolar 2016/2017 prin examinarea unui numar de 30036 prescolari si 55582</w:t>
      </w:r>
      <w:r>
        <w:rPr>
          <w:spacing w:val="-1"/>
          <w:sz w:val="24"/>
        </w:rPr>
        <w:t> </w:t>
      </w:r>
      <w:r>
        <w:rPr>
          <w:sz w:val="24"/>
        </w:rPr>
        <w:t>elevi.</w:t>
      </w:r>
    </w:p>
    <w:p>
      <w:pPr>
        <w:pStyle w:val="ListParagraph"/>
        <w:numPr>
          <w:ilvl w:val="0"/>
          <w:numId w:val="2"/>
        </w:numPr>
        <w:tabs>
          <w:tab w:pos="390" w:val="left" w:leader="none"/>
        </w:tabs>
        <w:spacing w:line="240" w:lineRule="auto" w:before="0" w:after="0"/>
        <w:ind w:left="233" w:right="829" w:firstLine="0"/>
        <w:jc w:val="both"/>
        <w:rPr>
          <w:sz w:val="24"/>
        </w:rPr>
      </w:pPr>
      <w:r>
        <w:rPr>
          <w:sz w:val="24"/>
        </w:rPr>
        <w:t>Interpretarea somatometriei a aratat ca 18321 prescolari (61,19%) se incadreaza in limitele specifice unei dezvoltari fizice armonice, iar 11655 (38,81%) au o dezvoltare fizica dizarmonica, din care 4672 prescolari (40,08%) prezinta un plus de greutate, iar 6983 prescolari (59,92%) sunt dizarmonici prin minus de</w:t>
      </w:r>
      <w:r>
        <w:rPr>
          <w:spacing w:val="-2"/>
          <w:sz w:val="24"/>
        </w:rPr>
        <w:t> </w:t>
      </w:r>
      <w:r>
        <w:rPr>
          <w:sz w:val="24"/>
        </w:rPr>
        <w:t>greutate.</w:t>
      </w:r>
    </w:p>
    <w:p>
      <w:pPr>
        <w:pStyle w:val="BodyText"/>
        <w:ind w:left="233" w:right="829" w:firstLine="180"/>
        <w:jc w:val="both"/>
      </w:pPr>
      <w:r>
        <w:rPr/>
        <w:t>S-a constatat ca 9277( 60,69%) din prescolarii baieti au o dezvoltare armonica,  iar 6008 (39,31%)  se incadreaza in diagnosticul de dezvoltare dizarmonica, proportie mai mare a armonicilor fata de dizarmonici, comparativ cu anul scolar trecut. In cadrul dezvoltarii fizice dizarmonice, cea prin plus de greutate a crescut la 43,54% fata de 38,39% in anul scolar 2015/2016, mentinandu-se acelasi trend crescator, iar cea prin minus de greutate a scazut de la 61,40%, in 2015/2016 la 56,45%, in acest an scolar.</w:t>
      </w:r>
    </w:p>
    <w:p>
      <w:pPr>
        <w:pStyle w:val="BodyText"/>
        <w:spacing w:before="1"/>
        <w:ind w:left="233" w:right="828" w:firstLine="300"/>
        <w:jc w:val="both"/>
      </w:pPr>
      <w:r>
        <w:rPr/>
        <w:t>Procentual s-a constatat ca 61,72 % din prescolarii fetite au o dezvoltare armonica, iar 38,28 % se incadreaza in diagnosticul de dezvoltare dizarmonica. In cadrul dezvoltarii fizice dizarmonice, cea prin plus de greutate reprezinta 36,41% , iar cea prin minus de greutate 63,59%, in acest an scolar.</w:t>
      </w:r>
    </w:p>
    <w:p>
      <w:pPr>
        <w:pStyle w:val="BodyText"/>
        <w:ind w:left="233" w:right="828" w:firstLine="300"/>
        <w:jc w:val="both"/>
      </w:pPr>
      <w:r>
        <w:rPr/>
        <w:t>S-au efectuat exemene somatometrice la un numar de 55582 elevi, din care 28275 baieti si 27307 fete, 46,61% dintre elevi au o dezvoltare fizica armonica, dar 53,39% prezinta dezvoltare fizica dizarmonica (cu plus de greutate 57,59 % , cu minus de greutate</w:t>
      </w:r>
      <w:r>
        <w:rPr>
          <w:spacing w:val="57"/>
        </w:rPr>
        <w:t> </w:t>
      </w:r>
      <w:r>
        <w:rPr/>
        <w:t>43,41%).</w:t>
      </w:r>
    </w:p>
    <w:p>
      <w:pPr>
        <w:pStyle w:val="BodyText"/>
        <w:ind w:left="233"/>
        <w:jc w:val="both"/>
      </w:pPr>
      <w:r>
        <w:rPr>
          <w:u w:val="single"/>
        </w:rPr>
        <w:t>Indicatori pentru greutate</w:t>
      </w:r>
    </w:p>
    <w:p>
      <w:pPr>
        <w:pStyle w:val="BodyText"/>
        <w:ind w:left="233" w:right="831" w:firstLine="302"/>
        <w:jc w:val="both"/>
      </w:pPr>
      <w:r>
        <w:rPr/>
        <w:t>La indicatorii pentru greutate, se observa ca si in anii scolari precedenti, o pondere majora in cadrul tuturor grupelor de varsta a elevilor cu greutate normala ( mijlocii, cuprinsi intre media +1 sigma si media -1 sigma), existand o tendinta clara de abatere de la deviatia standard spre valori mari si foarte mari a greutatii , fata de cele mici si foarte mici.</w:t>
      </w:r>
    </w:p>
    <w:p>
      <w:pPr>
        <w:pStyle w:val="BodyText"/>
        <w:ind w:left="233"/>
        <w:jc w:val="both"/>
      </w:pPr>
      <w:r>
        <w:rPr>
          <w:u w:val="single"/>
        </w:rPr>
        <w:t>Indicatori pentru inaltime</w:t>
      </w:r>
    </w:p>
    <w:p>
      <w:pPr>
        <w:pStyle w:val="BodyText"/>
        <w:ind w:left="233" w:right="834" w:firstLine="362"/>
        <w:jc w:val="both"/>
      </w:pPr>
      <w:r>
        <w:rPr>
          <w:spacing w:val="-3"/>
        </w:rPr>
        <w:t>La </w:t>
      </w:r>
      <w:r>
        <w:rPr/>
        <w:t>indicatorii pentru inaltime, se observa aceeasi pondere majora in cadrul tuturor grupelor de varsta, a elevilor normostaturali , existand si aici o tendinta clara de abatere de la deviatia standard  spre valori ale inaltimii mari (hiperstaturali gr.I ) si foarte mari (hiperstaturali  gr.II), fata de cele mici si foarte mici (hipostaturali gr.I si</w:t>
      </w:r>
      <w:r>
        <w:rPr>
          <w:spacing w:val="-7"/>
        </w:rPr>
        <w:t> </w:t>
      </w:r>
      <w:r>
        <w:rPr/>
        <w:t>gr.II.)</w:t>
      </w:r>
    </w:p>
    <w:p>
      <w:pPr>
        <w:spacing w:before="1"/>
        <w:ind w:left="233" w:right="0" w:firstLine="0"/>
        <w:jc w:val="both"/>
        <w:rPr>
          <w:i/>
          <w:sz w:val="24"/>
        </w:rPr>
      </w:pPr>
      <w:r>
        <w:rPr>
          <w:i/>
          <w:sz w:val="24"/>
        </w:rPr>
        <w:t>Concluzie: dizarmonia prin plus de greutate continua sa fie superioara celei prin minus de greutate.</w:t>
      </w:r>
    </w:p>
    <w:p>
      <w:pPr>
        <w:pStyle w:val="BodyText"/>
        <w:spacing w:before="11"/>
        <w:ind w:left="0"/>
        <w:rPr>
          <w:i/>
          <w:sz w:val="23"/>
        </w:rPr>
      </w:pPr>
    </w:p>
    <w:p>
      <w:pPr>
        <w:pStyle w:val="Heading1"/>
        <w:jc w:val="both"/>
        <w:rPr>
          <w:u w:val="none"/>
        </w:rPr>
      </w:pPr>
      <w:r>
        <w:rPr>
          <w:u w:val="thick"/>
        </w:rPr>
        <w:t>Examenul medical de bilant al starii de sanatate a copiilor si tinerilor</w:t>
      </w:r>
    </w:p>
    <w:p>
      <w:pPr>
        <w:pStyle w:val="BodyText"/>
        <w:ind w:left="233" w:right="830"/>
        <w:jc w:val="both"/>
      </w:pPr>
      <w:r>
        <w:rPr>
          <w:i/>
          <w:u w:val="single"/>
        </w:rPr>
        <w:t>   Activitati desfasurate:</w:t>
      </w:r>
      <w:r>
        <w:rPr/>
        <w:t>.S-au colectat si verificat fisele de bilant, s-au centralizat datele  si  s-au raportat conform metodologiei specifice la Institutul National de Sanatate Publica.</w:t>
      </w:r>
    </w:p>
    <w:p>
      <w:pPr>
        <w:pStyle w:val="BodyText"/>
        <w:ind w:left="233" w:right="832" w:firstLine="240"/>
        <w:jc w:val="both"/>
      </w:pPr>
      <w:r>
        <w:rPr/>
        <w:t>Examenele medicale de bilant ale starii de sanatate se efectueaza prescolarilor si elevilor in vederea cunoasterii starii de sanatate, prevenirii aparitiei unor imbolnaviri, depistarii precoce a unor afectiuni sau deficiente, aplicarii tratamentului recuperator, orientarii scolare si profesionale in functie de starea de sanatate.</w:t>
      </w:r>
    </w:p>
    <w:p>
      <w:pPr>
        <w:pStyle w:val="BodyText"/>
        <w:spacing w:before="1"/>
        <w:ind w:left="473"/>
        <w:jc w:val="both"/>
      </w:pPr>
      <w:r>
        <w:rPr/>
        <w:t>Au fost supusi examenului medical de bilant al starii de sanatate 91.031 subiecti, din care:</w:t>
      </w:r>
    </w:p>
    <w:p>
      <w:pPr>
        <w:pStyle w:val="ListParagraph"/>
        <w:numPr>
          <w:ilvl w:val="0"/>
          <w:numId w:val="2"/>
        </w:numPr>
        <w:tabs>
          <w:tab w:pos="373" w:val="left" w:leader="none"/>
        </w:tabs>
        <w:spacing w:line="240" w:lineRule="auto" w:before="0" w:after="0"/>
        <w:ind w:left="372" w:right="0" w:hanging="140"/>
        <w:jc w:val="left"/>
        <w:rPr>
          <w:sz w:val="24"/>
        </w:rPr>
      </w:pPr>
      <w:r>
        <w:rPr>
          <w:sz w:val="24"/>
        </w:rPr>
        <w:t>24877 copii prescolari din gradinitele cu program prelungit (12195 fete si 12682</w:t>
      </w:r>
      <w:r>
        <w:rPr>
          <w:spacing w:val="-2"/>
          <w:sz w:val="24"/>
        </w:rPr>
        <w:t> </w:t>
      </w:r>
      <w:r>
        <w:rPr>
          <w:sz w:val="24"/>
        </w:rPr>
        <w:t>baieti)</w:t>
      </w:r>
    </w:p>
    <w:p>
      <w:pPr>
        <w:pStyle w:val="ListParagraph"/>
        <w:numPr>
          <w:ilvl w:val="0"/>
          <w:numId w:val="2"/>
        </w:numPr>
        <w:tabs>
          <w:tab w:pos="373" w:val="left" w:leader="none"/>
        </w:tabs>
        <w:spacing w:line="240" w:lineRule="auto" w:before="0" w:after="0"/>
        <w:ind w:left="372" w:right="0" w:hanging="140"/>
        <w:jc w:val="left"/>
        <w:rPr>
          <w:sz w:val="24"/>
        </w:rPr>
      </w:pPr>
      <w:r>
        <w:rPr>
          <w:sz w:val="24"/>
        </w:rPr>
        <w:t>13893 elevi din clasele O- I, (6742 fete si 9201</w:t>
      </w:r>
      <w:r>
        <w:rPr>
          <w:spacing w:val="1"/>
          <w:sz w:val="24"/>
        </w:rPr>
        <w:t> </w:t>
      </w:r>
      <w:r>
        <w:rPr>
          <w:sz w:val="24"/>
        </w:rPr>
        <w:t>baieti)</w:t>
      </w:r>
    </w:p>
    <w:p>
      <w:pPr>
        <w:pStyle w:val="ListParagraph"/>
        <w:numPr>
          <w:ilvl w:val="0"/>
          <w:numId w:val="2"/>
        </w:numPr>
        <w:tabs>
          <w:tab w:pos="373" w:val="left" w:leader="none"/>
        </w:tabs>
        <w:spacing w:line="240" w:lineRule="auto" w:before="0" w:after="0"/>
        <w:ind w:left="372" w:right="0" w:hanging="140"/>
        <w:jc w:val="left"/>
        <w:rPr>
          <w:sz w:val="24"/>
        </w:rPr>
      </w:pPr>
      <w:r>
        <w:rPr>
          <w:sz w:val="24"/>
        </w:rPr>
        <w:t>8605 elevi din clasa a-IV-a (4113 fete si 4492</w:t>
      </w:r>
      <w:r>
        <w:rPr>
          <w:spacing w:val="1"/>
          <w:sz w:val="24"/>
        </w:rPr>
        <w:t> </w:t>
      </w:r>
      <w:r>
        <w:rPr>
          <w:sz w:val="24"/>
        </w:rPr>
        <w:t>baieti)</w:t>
      </w:r>
    </w:p>
    <w:p>
      <w:pPr>
        <w:pStyle w:val="ListParagraph"/>
        <w:numPr>
          <w:ilvl w:val="0"/>
          <w:numId w:val="2"/>
        </w:numPr>
        <w:tabs>
          <w:tab w:pos="373" w:val="left" w:leader="none"/>
        </w:tabs>
        <w:spacing w:line="240" w:lineRule="auto" w:before="0" w:after="0"/>
        <w:ind w:left="372" w:right="0" w:hanging="140"/>
        <w:jc w:val="left"/>
        <w:rPr>
          <w:sz w:val="24"/>
        </w:rPr>
      </w:pPr>
      <w:r>
        <w:rPr>
          <w:sz w:val="24"/>
        </w:rPr>
        <w:t>8657 elevi din clasa a-VIII-a (4281 fete si 4376</w:t>
      </w:r>
      <w:r>
        <w:rPr>
          <w:spacing w:val="-5"/>
          <w:sz w:val="24"/>
        </w:rPr>
        <w:t> </w:t>
      </w:r>
      <w:r>
        <w:rPr>
          <w:sz w:val="24"/>
        </w:rPr>
        <w:t>baieti)</w:t>
      </w:r>
    </w:p>
    <w:p>
      <w:pPr>
        <w:pStyle w:val="ListParagraph"/>
        <w:numPr>
          <w:ilvl w:val="0"/>
          <w:numId w:val="2"/>
        </w:numPr>
        <w:tabs>
          <w:tab w:pos="373" w:val="left" w:leader="none"/>
        </w:tabs>
        <w:spacing w:line="240" w:lineRule="auto" w:before="0" w:after="0"/>
        <w:ind w:left="372" w:right="0" w:hanging="140"/>
        <w:jc w:val="left"/>
        <w:rPr>
          <w:sz w:val="24"/>
        </w:rPr>
      </w:pPr>
      <w:r>
        <w:rPr>
          <w:sz w:val="24"/>
        </w:rPr>
        <w:t>10187 elevi din clasa a-XII-a (5253 fete si 4934</w:t>
      </w:r>
      <w:r>
        <w:rPr>
          <w:spacing w:val="-7"/>
          <w:sz w:val="24"/>
        </w:rPr>
        <w:t> </w:t>
      </w:r>
      <w:r>
        <w:rPr>
          <w:sz w:val="24"/>
        </w:rPr>
        <w:t>baieti)</w:t>
      </w:r>
    </w:p>
    <w:p>
      <w:pPr>
        <w:pStyle w:val="ListParagraph"/>
        <w:numPr>
          <w:ilvl w:val="0"/>
          <w:numId w:val="2"/>
        </w:numPr>
        <w:tabs>
          <w:tab w:pos="373" w:val="left" w:leader="none"/>
        </w:tabs>
        <w:spacing w:line="240" w:lineRule="auto" w:before="0" w:after="0"/>
        <w:ind w:left="372" w:right="0" w:hanging="140"/>
        <w:jc w:val="left"/>
        <w:rPr>
          <w:sz w:val="24"/>
        </w:rPr>
      </w:pPr>
      <w:r>
        <w:rPr>
          <w:sz w:val="24"/>
        </w:rPr>
        <w:t>508 elevi din anul II profesionala (28 fete si 480</w:t>
      </w:r>
      <w:r>
        <w:rPr>
          <w:spacing w:val="-3"/>
          <w:sz w:val="24"/>
        </w:rPr>
        <w:t> </w:t>
      </w:r>
      <w:r>
        <w:rPr>
          <w:sz w:val="24"/>
        </w:rPr>
        <w:t>baieti)</w:t>
      </w:r>
    </w:p>
    <w:p>
      <w:pPr>
        <w:pStyle w:val="BodyText"/>
        <w:ind w:left="233" w:right="830" w:firstLine="240"/>
        <w:jc w:val="both"/>
      </w:pPr>
      <w:r>
        <w:rPr>
          <w:i/>
        </w:rPr>
        <w:t>Prevalenta generala </w:t>
      </w:r>
      <w:r>
        <w:rPr/>
        <w:t>a tuturor afectiunilor cronice si cronicizabile, evidentiaza o crestere a numarului acestora odata cu varsta si gradul scolarizarii, de la prescolari, la elevii din anul II profesionala, situatie redata de urmatoarele</w:t>
      </w:r>
      <w:r>
        <w:rPr>
          <w:spacing w:val="-4"/>
        </w:rPr>
        <w:t> </w:t>
      </w:r>
      <w:r>
        <w:rPr/>
        <w:t>valori:</w:t>
      </w:r>
    </w:p>
    <w:p>
      <w:pPr>
        <w:pStyle w:val="ListParagraph"/>
        <w:numPr>
          <w:ilvl w:val="0"/>
          <w:numId w:val="6"/>
        </w:numPr>
        <w:tabs>
          <w:tab w:pos="433" w:val="left" w:leader="none"/>
          <w:tab w:pos="3533" w:val="left" w:leader="none"/>
        </w:tabs>
        <w:spacing w:line="240" w:lineRule="auto" w:before="0" w:after="0"/>
        <w:ind w:left="432" w:right="0" w:hanging="200"/>
        <w:jc w:val="both"/>
        <w:rPr>
          <w:sz w:val="24"/>
        </w:rPr>
      </w:pPr>
      <w:r>
        <w:rPr>
          <w:i/>
          <w:sz w:val="24"/>
        </w:rPr>
        <w:t>prescolari</w:t>
        <w:tab/>
      </w:r>
      <w:r>
        <w:rPr>
          <w:sz w:val="24"/>
        </w:rPr>
        <w:t>18,29%</w:t>
      </w:r>
    </w:p>
    <w:p>
      <w:pPr>
        <w:pStyle w:val="ListParagraph"/>
        <w:numPr>
          <w:ilvl w:val="0"/>
          <w:numId w:val="6"/>
        </w:numPr>
        <w:tabs>
          <w:tab w:pos="433" w:val="left" w:leader="none"/>
          <w:tab w:pos="3533" w:val="left" w:leader="none"/>
        </w:tabs>
        <w:spacing w:line="240" w:lineRule="auto" w:before="0" w:after="0"/>
        <w:ind w:left="432" w:right="0" w:hanging="200"/>
        <w:jc w:val="both"/>
        <w:rPr>
          <w:sz w:val="24"/>
        </w:rPr>
      </w:pPr>
      <w:r>
        <w:rPr>
          <w:i/>
          <w:sz w:val="24"/>
        </w:rPr>
        <w:t>elevii din</w:t>
      </w:r>
      <w:r>
        <w:rPr>
          <w:i/>
          <w:spacing w:val="-2"/>
          <w:sz w:val="24"/>
        </w:rPr>
        <w:t> </w:t>
      </w:r>
      <w:r>
        <w:rPr>
          <w:i/>
          <w:sz w:val="24"/>
        </w:rPr>
        <w:t>clasa</w:t>
      </w:r>
      <w:r>
        <w:rPr>
          <w:i/>
          <w:spacing w:val="-1"/>
          <w:sz w:val="24"/>
        </w:rPr>
        <w:t> </w:t>
      </w:r>
      <w:r>
        <w:rPr>
          <w:i/>
          <w:sz w:val="24"/>
        </w:rPr>
        <w:t>0-I-a</w:t>
        <w:tab/>
      </w:r>
      <w:r>
        <w:rPr>
          <w:sz w:val="24"/>
        </w:rPr>
        <w:t>28,75%</w:t>
      </w:r>
    </w:p>
    <w:p>
      <w:pPr>
        <w:spacing w:after="0" w:line="240" w:lineRule="auto"/>
        <w:jc w:val="both"/>
        <w:rPr>
          <w:sz w:val="24"/>
        </w:rPr>
        <w:sectPr>
          <w:pgSz w:w="11910" w:h="16840"/>
          <w:pgMar w:header="0" w:footer="738" w:top="1360" w:bottom="920" w:left="900" w:right="0"/>
        </w:sectPr>
      </w:pPr>
    </w:p>
    <w:p>
      <w:pPr>
        <w:pStyle w:val="ListParagraph"/>
        <w:numPr>
          <w:ilvl w:val="0"/>
          <w:numId w:val="6"/>
        </w:numPr>
        <w:tabs>
          <w:tab w:pos="433" w:val="left" w:leader="none"/>
          <w:tab w:pos="3533" w:val="left" w:leader="none"/>
        </w:tabs>
        <w:spacing w:line="240" w:lineRule="auto" w:before="60" w:after="0"/>
        <w:ind w:left="432" w:right="0" w:hanging="200"/>
        <w:jc w:val="left"/>
        <w:rPr>
          <w:sz w:val="24"/>
        </w:rPr>
      </w:pPr>
      <w:r>
        <w:rPr>
          <w:i/>
          <w:sz w:val="24"/>
        </w:rPr>
        <w:t>elevii din clasa</w:t>
      </w:r>
      <w:r>
        <w:rPr>
          <w:i/>
          <w:spacing w:val="-3"/>
          <w:sz w:val="24"/>
        </w:rPr>
        <w:t> </w:t>
      </w:r>
      <w:r>
        <w:rPr>
          <w:i/>
          <w:sz w:val="24"/>
        </w:rPr>
        <w:t>a</w:t>
      </w:r>
      <w:r>
        <w:rPr>
          <w:i/>
          <w:spacing w:val="-1"/>
          <w:sz w:val="24"/>
        </w:rPr>
        <w:t> </w:t>
      </w:r>
      <w:r>
        <w:rPr>
          <w:i/>
          <w:sz w:val="24"/>
        </w:rPr>
        <w:t>IV-a</w:t>
        <w:tab/>
      </w:r>
      <w:r>
        <w:rPr>
          <w:sz w:val="24"/>
        </w:rPr>
        <w:t>38,56%</w:t>
      </w:r>
    </w:p>
    <w:p>
      <w:pPr>
        <w:pStyle w:val="ListParagraph"/>
        <w:numPr>
          <w:ilvl w:val="0"/>
          <w:numId w:val="6"/>
        </w:numPr>
        <w:tabs>
          <w:tab w:pos="433" w:val="left" w:leader="none"/>
          <w:tab w:pos="3392" w:val="left" w:leader="none"/>
        </w:tabs>
        <w:spacing w:line="240" w:lineRule="auto" w:before="1" w:after="0"/>
        <w:ind w:left="432" w:right="0" w:hanging="200"/>
        <w:jc w:val="left"/>
        <w:rPr>
          <w:sz w:val="24"/>
        </w:rPr>
      </w:pPr>
      <w:r>
        <w:rPr>
          <w:i/>
          <w:sz w:val="24"/>
        </w:rPr>
        <w:t>elevii din clasa a</w:t>
      </w:r>
      <w:r>
        <w:rPr>
          <w:i/>
          <w:spacing w:val="-2"/>
          <w:sz w:val="24"/>
        </w:rPr>
        <w:t> </w:t>
      </w:r>
      <w:r>
        <w:rPr>
          <w:i/>
          <w:sz w:val="24"/>
        </w:rPr>
        <w:t>VIII- </w:t>
      </w:r>
      <w:r>
        <w:rPr>
          <w:sz w:val="24"/>
        </w:rPr>
        <w:t>%</w:t>
        <w:tab/>
        <w:t>55,07%</w:t>
      </w:r>
    </w:p>
    <w:p>
      <w:pPr>
        <w:pStyle w:val="ListParagraph"/>
        <w:numPr>
          <w:ilvl w:val="0"/>
          <w:numId w:val="6"/>
        </w:numPr>
        <w:tabs>
          <w:tab w:pos="373" w:val="left" w:leader="none"/>
          <w:tab w:pos="3353" w:val="left" w:leader="none"/>
        </w:tabs>
        <w:spacing w:line="240" w:lineRule="auto" w:before="0" w:after="0"/>
        <w:ind w:left="372" w:right="0" w:hanging="140"/>
        <w:jc w:val="left"/>
        <w:rPr>
          <w:sz w:val="24"/>
        </w:rPr>
      </w:pPr>
      <w:r>
        <w:rPr>
          <w:i/>
          <w:sz w:val="24"/>
        </w:rPr>
        <w:t>elevii din clasa</w:t>
      </w:r>
      <w:r>
        <w:rPr>
          <w:i/>
          <w:spacing w:val="-2"/>
          <w:sz w:val="24"/>
        </w:rPr>
        <w:t> </w:t>
      </w:r>
      <w:r>
        <w:rPr>
          <w:i/>
          <w:sz w:val="24"/>
        </w:rPr>
        <w:t>a</w:t>
      </w:r>
      <w:r>
        <w:rPr>
          <w:i/>
          <w:spacing w:val="-1"/>
          <w:sz w:val="24"/>
        </w:rPr>
        <w:t> </w:t>
      </w:r>
      <w:r>
        <w:rPr>
          <w:i/>
          <w:sz w:val="24"/>
        </w:rPr>
        <w:t>XII-a</w:t>
        <w:tab/>
      </w:r>
      <w:r>
        <w:rPr>
          <w:sz w:val="24"/>
        </w:rPr>
        <w:t>42,21%</w:t>
      </w:r>
    </w:p>
    <w:p>
      <w:pPr>
        <w:pStyle w:val="ListParagraph"/>
        <w:numPr>
          <w:ilvl w:val="0"/>
          <w:numId w:val="6"/>
        </w:numPr>
        <w:tabs>
          <w:tab w:pos="373" w:val="left" w:leader="none"/>
        </w:tabs>
        <w:spacing w:line="240" w:lineRule="auto" w:before="0" w:after="0"/>
        <w:ind w:left="372" w:right="0" w:hanging="140"/>
        <w:jc w:val="left"/>
        <w:rPr>
          <w:i/>
          <w:sz w:val="24"/>
        </w:rPr>
      </w:pPr>
      <w:r>
        <w:rPr>
          <w:i/>
          <w:sz w:val="24"/>
        </w:rPr>
        <w:t>elevii din anul II profesionala</w:t>
      </w:r>
      <w:r>
        <w:rPr>
          <w:i/>
          <w:spacing w:val="-3"/>
          <w:sz w:val="24"/>
        </w:rPr>
        <w:t> </w:t>
      </w:r>
      <w:r>
        <w:rPr>
          <w:i/>
          <w:sz w:val="24"/>
        </w:rPr>
        <w:t>187,6%</w:t>
      </w:r>
    </w:p>
    <w:p>
      <w:pPr>
        <w:pStyle w:val="BodyText"/>
        <w:ind w:left="533"/>
        <w:rPr>
          <w:i/>
        </w:rPr>
      </w:pPr>
      <w:r>
        <w:rPr/>
        <w:t>Descrierea prevalentei mai sus mentionate este determinata de urmatoarele </w:t>
      </w:r>
      <w:r>
        <w:rPr>
          <w:i/>
        </w:rPr>
        <w:t>afectiuni cronice:</w:t>
      </w:r>
    </w:p>
    <w:p>
      <w:pPr>
        <w:pStyle w:val="ListParagraph"/>
        <w:numPr>
          <w:ilvl w:val="1"/>
          <w:numId w:val="6"/>
        </w:numPr>
        <w:tabs>
          <w:tab w:pos="522" w:val="left" w:leader="none"/>
        </w:tabs>
        <w:spacing w:line="240" w:lineRule="auto" w:before="0" w:after="0"/>
        <w:ind w:left="233" w:right="839" w:firstLine="120"/>
        <w:jc w:val="both"/>
        <w:rPr>
          <w:i/>
          <w:sz w:val="24"/>
        </w:rPr>
      </w:pPr>
      <w:r>
        <w:rPr>
          <w:sz w:val="24"/>
        </w:rPr>
        <w:t>endocrine-metabolice si de nutritie, tulburari de vedere (vicii de refractie in special), tulburari de vorbire, neuropsihice, respiratorii cronice si locomotorii, in</w:t>
      </w:r>
      <w:r>
        <w:rPr>
          <w:spacing w:val="-2"/>
          <w:sz w:val="24"/>
        </w:rPr>
        <w:t> </w:t>
      </w:r>
      <w:r>
        <w:rPr>
          <w:i/>
          <w:sz w:val="24"/>
        </w:rPr>
        <w:t>gradinite;</w:t>
      </w:r>
    </w:p>
    <w:p>
      <w:pPr>
        <w:pStyle w:val="ListParagraph"/>
        <w:numPr>
          <w:ilvl w:val="1"/>
          <w:numId w:val="6"/>
        </w:numPr>
        <w:tabs>
          <w:tab w:pos="587" w:val="left" w:leader="none"/>
        </w:tabs>
        <w:spacing w:line="240" w:lineRule="auto" w:before="0" w:after="0"/>
        <w:ind w:left="233" w:right="833" w:firstLine="180"/>
        <w:jc w:val="both"/>
        <w:rPr>
          <w:i/>
          <w:sz w:val="24"/>
        </w:rPr>
      </w:pPr>
      <w:r>
        <w:rPr>
          <w:sz w:val="24"/>
        </w:rPr>
        <w:t>vizuale (vicii de refractie in special), endocrino-metabolice si de nutritie (obezitate neendocrina, sechele de rahitism, hipotrofie staturo-ponderala), neuropsihice, respiratorii cronice (hipertrofii amigdaliene si vegetatii adenoide, astm bronsic), tulburari de vorbire, locomotorii mai ales prin vicii de postura vertebrala la </w:t>
      </w:r>
      <w:r>
        <w:rPr>
          <w:i/>
          <w:sz w:val="24"/>
        </w:rPr>
        <w:t>elevii din clasele 0-</w:t>
      </w:r>
      <w:r>
        <w:rPr>
          <w:i/>
          <w:spacing w:val="-2"/>
          <w:sz w:val="24"/>
        </w:rPr>
        <w:t> </w:t>
      </w:r>
      <w:r>
        <w:rPr>
          <w:i/>
          <w:sz w:val="24"/>
        </w:rPr>
        <w:t>I;</w:t>
      </w:r>
    </w:p>
    <w:p>
      <w:pPr>
        <w:pStyle w:val="ListParagraph"/>
        <w:numPr>
          <w:ilvl w:val="1"/>
          <w:numId w:val="6"/>
        </w:numPr>
        <w:tabs>
          <w:tab w:pos="647" w:val="left" w:leader="none"/>
        </w:tabs>
        <w:spacing w:line="240" w:lineRule="auto" w:before="0" w:after="0"/>
        <w:ind w:left="233" w:right="838" w:firstLine="240"/>
        <w:jc w:val="both"/>
        <w:rPr>
          <w:i/>
          <w:sz w:val="24"/>
        </w:rPr>
      </w:pPr>
      <w:r>
        <w:rPr>
          <w:sz w:val="24"/>
        </w:rPr>
        <w:t>vizuale, endocrine-metabolice si de nutritie in care predomina obezitate de cauza neendocrina, neuropsihice, locomotorii ( mai ales prin deformari castigate de coloana vertebrala), respiratorii cronice si tulburari de vorbire, la </w:t>
      </w:r>
      <w:r>
        <w:rPr>
          <w:i/>
          <w:sz w:val="24"/>
        </w:rPr>
        <w:t>clasele</w:t>
      </w:r>
      <w:r>
        <w:rPr>
          <w:i/>
          <w:spacing w:val="-4"/>
          <w:sz w:val="24"/>
        </w:rPr>
        <w:t> </w:t>
      </w:r>
      <w:r>
        <w:rPr>
          <w:i/>
          <w:sz w:val="24"/>
        </w:rPr>
        <w:t>a-IV-a.</w:t>
      </w:r>
    </w:p>
    <w:p>
      <w:pPr>
        <w:pStyle w:val="ListParagraph"/>
        <w:numPr>
          <w:ilvl w:val="1"/>
          <w:numId w:val="6"/>
        </w:numPr>
        <w:tabs>
          <w:tab w:pos="795" w:val="left" w:leader="none"/>
        </w:tabs>
        <w:spacing w:line="240" w:lineRule="auto" w:before="1" w:after="0"/>
        <w:ind w:left="233" w:right="838" w:firstLine="300"/>
        <w:jc w:val="both"/>
        <w:rPr>
          <w:i/>
          <w:sz w:val="24"/>
        </w:rPr>
      </w:pPr>
      <w:r>
        <w:rPr>
          <w:sz w:val="24"/>
        </w:rPr>
        <w:t>endocrine-metabolice si de nutritie in care predomina obezitatea neendocrina, vizuale, locomotorii, neuropsihice, respiratorii cronice si cardiocirculatorii la </w:t>
      </w:r>
      <w:r>
        <w:rPr>
          <w:i/>
          <w:sz w:val="24"/>
        </w:rPr>
        <w:t>clasele</w:t>
      </w:r>
      <w:r>
        <w:rPr>
          <w:i/>
          <w:spacing w:val="-2"/>
          <w:sz w:val="24"/>
        </w:rPr>
        <w:t> </w:t>
      </w:r>
      <w:r>
        <w:rPr>
          <w:i/>
          <w:sz w:val="24"/>
        </w:rPr>
        <w:t>a-VIII-a;</w:t>
      </w:r>
    </w:p>
    <w:p>
      <w:pPr>
        <w:pStyle w:val="ListParagraph"/>
        <w:numPr>
          <w:ilvl w:val="1"/>
          <w:numId w:val="6"/>
        </w:numPr>
        <w:tabs>
          <w:tab w:pos="690" w:val="left" w:leader="none"/>
        </w:tabs>
        <w:spacing w:line="240" w:lineRule="auto" w:before="0" w:after="0"/>
        <w:ind w:left="233" w:right="837" w:firstLine="300"/>
        <w:jc w:val="both"/>
        <w:rPr>
          <w:sz w:val="24"/>
        </w:rPr>
      </w:pPr>
      <w:r>
        <w:rPr>
          <w:sz w:val="24"/>
        </w:rPr>
        <w:t>vizuale, endocrine-metabolice si de nutritie, locomotorii, cardiocirculatorii, respiratorii cronice si neuropsihice la clasele a-XII-a;</w:t>
      </w:r>
    </w:p>
    <w:p>
      <w:pPr>
        <w:pStyle w:val="ListParagraph"/>
        <w:numPr>
          <w:ilvl w:val="1"/>
          <w:numId w:val="6"/>
        </w:numPr>
        <w:tabs>
          <w:tab w:pos="776" w:val="left" w:leader="none"/>
        </w:tabs>
        <w:spacing w:line="240" w:lineRule="auto" w:before="0" w:after="0"/>
        <w:ind w:left="233" w:right="836" w:firstLine="360"/>
        <w:jc w:val="both"/>
        <w:rPr>
          <w:sz w:val="24"/>
        </w:rPr>
      </w:pPr>
      <w:r>
        <w:rPr>
          <w:sz w:val="24"/>
        </w:rPr>
        <w:t>vizuale, locomotorii, endocrine-metabolice si de nutritie, neuropsihice, respiratorii cronice si tulburari de vorbire la anul II</w:t>
      </w:r>
      <w:r>
        <w:rPr>
          <w:spacing w:val="-6"/>
          <w:sz w:val="24"/>
        </w:rPr>
        <w:t> </w:t>
      </w:r>
      <w:r>
        <w:rPr>
          <w:sz w:val="24"/>
        </w:rPr>
        <w:t>profesionala;</w:t>
      </w:r>
    </w:p>
    <w:p>
      <w:pPr>
        <w:pStyle w:val="BodyText"/>
        <w:ind w:left="233" w:right="836" w:firstLine="300"/>
        <w:jc w:val="both"/>
      </w:pPr>
      <w:r>
        <w:rPr/>
        <w:t>De semnalat faptul ca la elevii claselor a VIII-a si a XII-a, hipertensiunea arteriala juvenila a prezentat valori crescute, avand ca factori incriminati stressul, oboseala si factori endocrini.</w:t>
      </w:r>
    </w:p>
    <w:p>
      <w:pPr>
        <w:pStyle w:val="BodyText"/>
        <w:ind w:left="233" w:right="829" w:firstLine="300"/>
        <w:jc w:val="both"/>
      </w:pPr>
      <w:r>
        <w:rPr/>
        <w:t>S-a constatat o crestere a obezitatii neendocrina in cadrul tulburarilor endocrine-metabolice si de nutritie (valori crescute progresiv la elevii claselor 0-I pana la XII-a), aparitia fiind determinata si favorizata de greseli in alimentatie, nerespectarea orelor de masa si chiar a lipsei meselor calde, a stressului, oboselii scolare si a unui regim de viata dezordonat.</w:t>
      </w:r>
    </w:p>
    <w:p>
      <w:pPr>
        <w:pStyle w:val="BodyText"/>
        <w:ind w:left="233" w:right="830" w:firstLine="180"/>
        <w:jc w:val="both"/>
      </w:pPr>
      <w:r>
        <w:rPr/>
        <w:t>Atat prescolarii cat si scolarii sunt urmariti de personalul medical din unitatile de invatamant si de medicul de familie, avandu-se in vedere remedierea abaterilor de la starea de sanatate.</w:t>
      </w:r>
    </w:p>
    <w:p>
      <w:pPr>
        <w:pStyle w:val="BodyText"/>
        <w:ind w:left="0"/>
      </w:pPr>
    </w:p>
    <w:p>
      <w:pPr>
        <w:pStyle w:val="Heading1"/>
        <w:spacing w:before="1"/>
        <w:jc w:val="both"/>
        <w:rPr>
          <w:u w:val="none"/>
        </w:rPr>
      </w:pPr>
      <w:r>
        <w:rPr>
          <w:u w:val="thick"/>
        </w:rPr>
        <w:t>Evaluarea morbiditatii cronice prin dispensarizare in colectivitatile de copii si tineri</w:t>
      </w:r>
    </w:p>
    <w:p>
      <w:pPr>
        <w:pStyle w:val="BodyText"/>
        <w:ind w:left="233" w:right="830"/>
        <w:jc w:val="both"/>
      </w:pPr>
      <w:r>
        <w:rPr>
          <w:i/>
          <w:u w:val="single"/>
        </w:rPr>
        <w:t>   Activitati desfasurate:</w:t>
      </w:r>
      <w:r>
        <w:rPr/>
        <w:t>.S-au colectat si verificat fisele de dispensarizare, s-au centralizat datele si s-  au raportat conform metodologiei specifice la Institutul National de Sanatate</w:t>
      </w:r>
      <w:r>
        <w:rPr>
          <w:spacing w:val="-2"/>
        </w:rPr>
        <w:t> </w:t>
      </w:r>
      <w:r>
        <w:rPr/>
        <w:t>Publica.</w:t>
      </w:r>
    </w:p>
    <w:p>
      <w:pPr>
        <w:pStyle w:val="BodyText"/>
        <w:ind w:left="233" w:right="837" w:firstLine="180"/>
        <w:jc w:val="both"/>
      </w:pPr>
      <w:r>
        <w:rPr/>
        <w:t>Scopul analizei morbiditatii in colectivitatile de copii si tineri este de a cunoaste cat mai exact frecventa imbolnavirilor in acest segment al populatiei, starea de sanatate a copilului reprezentand o conditie importanta pentru desfasurarea normala a procesului de crestere si dezvoltare.</w:t>
      </w:r>
    </w:p>
    <w:p>
      <w:pPr>
        <w:pStyle w:val="BodyText"/>
        <w:ind w:left="233" w:right="831" w:firstLine="240"/>
        <w:jc w:val="both"/>
      </w:pPr>
      <w:r>
        <w:rPr/>
        <w:t>Analizand datele raportate pentru anul scolar 2016-2017 de cabinetele medicale, au rezultat urmatoarele aspecte:</w:t>
      </w:r>
    </w:p>
    <w:p>
      <w:pPr>
        <w:pStyle w:val="ListParagraph"/>
        <w:numPr>
          <w:ilvl w:val="0"/>
          <w:numId w:val="7"/>
        </w:numPr>
        <w:tabs>
          <w:tab w:pos="414" w:val="left" w:leader="none"/>
        </w:tabs>
        <w:spacing w:line="276" w:lineRule="auto" w:before="0" w:after="0"/>
        <w:ind w:left="233" w:right="833" w:firstLine="0"/>
        <w:jc w:val="both"/>
        <w:rPr>
          <w:sz w:val="24"/>
        </w:rPr>
      </w:pPr>
      <w:r>
        <w:rPr>
          <w:sz w:val="24"/>
        </w:rPr>
        <w:t>la cei 214.056 subiecti examinati in crese si unitati de invatamant, au fost dispensarizate 53.226 afectiuni, rata prevalentei fiind de</w:t>
      </w:r>
      <w:r>
        <w:rPr>
          <w:spacing w:val="-2"/>
          <w:sz w:val="24"/>
        </w:rPr>
        <w:t> </w:t>
      </w:r>
      <w:r>
        <w:rPr>
          <w:sz w:val="24"/>
        </w:rPr>
        <w:t>24,87%.</w:t>
      </w: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1889"/>
        <w:gridCol w:w="2071"/>
        <w:gridCol w:w="3600"/>
      </w:tblGrid>
      <w:tr>
        <w:trPr>
          <w:trHeight w:val="1043" w:hRule="atLeast"/>
        </w:trPr>
        <w:tc>
          <w:tcPr>
            <w:tcW w:w="1620" w:type="dxa"/>
          </w:tcPr>
          <w:p>
            <w:pPr>
              <w:pStyle w:val="TableParagraph"/>
              <w:ind w:left="379" w:right="351" w:firstLine="129"/>
              <w:rPr>
                <w:sz w:val="24"/>
              </w:rPr>
            </w:pPr>
            <w:r>
              <w:rPr>
                <w:sz w:val="24"/>
              </w:rPr>
              <w:t>Grupa de varsta</w:t>
            </w:r>
          </w:p>
        </w:tc>
        <w:tc>
          <w:tcPr>
            <w:tcW w:w="1889" w:type="dxa"/>
          </w:tcPr>
          <w:p>
            <w:pPr>
              <w:pStyle w:val="TableParagraph"/>
              <w:ind w:left="470" w:right="356" w:hanging="87"/>
              <w:rPr>
                <w:sz w:val="24"/>
              </w:rPr>
            </w:pPr>
            <w:r>
              <w:rPr>
                <w:sz w:val="24"/>
              </w:rPr>
              <w:t>Nr. subiecti examinati</w:t>
            </w:r>
          </w:p>
        </w:tc>
        <w:tc>
          <w:tcPr>
            <w:tcW w:w="2071" w:type="dxa"/>
          </w:tcPr>
          <w:p>
            <w:pPr>
              <w:pStyle w:val="TableParagraph"/>
              <w:ind w:left="355" w:right="326" w:firstLine="103"/>
              <w:rPr>
                <w:sz w:val="24"/>
              </w:rPr>
            </w:pPr>
            <w:r>
              <w:rPr>
                <w:sz w:val="24"/>
              </w:rPr>
              <w:t>Nr.afectiuni dispensarizate</w:t>
            </w:r>
          </w:p>
        </w:tc>
        <w:tc>
          <w:tcPr>
            <w:tcW w:w="3600" w:type="dxa"/>
          </w:tcPr>
          <w:p>
            <w:pPr>
              <w:pStyle w:val="TableParagraph"/>
              <w:ind w:left="538" w:right="506" w:firstLine="756"/>
              <w:rPr>
                <w:sz w:val="24"/>
              </w:rPr>
            </w:pPr>
            <w:r>
              <w:rPr>
                <w:sz w:val="24"/>
              </w:rPr>
              <w:t>Prevalenta afectiunilor dispensarizate</w:t>
            </w:r>
          </w:p>
        </w:tc>
      </w:tr>
      <w:tr>
        <w:trPr>
          <w:trHeight w:val="275" w:hRule="atLeast"/>
        </w:trPr>
        <w:tc>
          <w:tcPr>
            <w:tcW w:w="1620" w:type="dxa"/>
          </w:tcPr>
          <w:p>
            <w:pPr>
              <w:pStyle w:val="TableParagraph"/>
              <w:spacing w:line="256" w:lineRule="exact"/>
              <w:ind w:left="331" w:right="325"/>
              <w:jc w:val="center"/>
              <w:rPr>
                <w:sz w:val="24"/>
              </w:rPr>
            </w:pPr>
            <w:r>
              <w:rPr>
                <w:sz w:val="24"/>
              </w:rPr>
              <w:t>0-4 ani</w:t>
            </w:r>
          </w:p>
        </w:tc>
        <w:tc>
          <w:tcPr>
            <w:tcW w:w="1889" w:type="dxa"/>
          </w:tcPr>
          <w:p>
            <w:pPr>
              <w:pStyle w:val="TableParagraph"/>
              <w:spacing w:line="256" w:lineRule="exact"/>
              <w:ind w:left="674"/>
              <w:rPr>
                <w:sz w:val="24"/>
              </w:rPr>
            </w:pPr>
            <w:r>
              <w:rPr>
                <w:sz w:val="24"/>
              </w:rPr>
              <w:t>2.251</w:t>
            </w:r>
          </w:p>
        </w:tc>
        <w:tc>
          <w:tcPr>
            <w:tcW w:w="2071" w:type="dxa"/>
          </w:tcPr>
          <w:p>
            <w:pPr>
              <w:pStyle w:val="TableParagraph"/>
              <w:spacing w:line="256" w:lineRule="exact"/>
              <w:ind w:left="683" w:right="675"/>
              <w:jc w:val="center"/>
              <w:rPr>
                <w:sz w:val="24"/>
              </w:rPr>
            </w:pPr>
            <w:r>
              <w:rPr>
                <w:sz w:val="24"/>
              </w:rPr>
              <w:t>313</w:t>
            </w:r>
          </w:p>
        </w:tc>
        <w:tc>
          <w:tcPr>
            <w:tcW w:w="3600" w:type="dxa"/>
          </w:tcPr>
          <w:p>
            <w:pPr>
              <w:pStyle w:val="TableParagraph"/>
              <w:spacing w:line="256" w:lineRule="exact"/>
              <w:ind w:left="1400"/>
              <w:rPr>
                <w:sz w:val="24"/>
              </w:rPr>
            </w:pPr>
            <w:r>
              <w:rPr>
                <w:sz w:val="24"/>
              </w:rPr>
              <w:t>14,55 %</w:t>
            </w:r>
          </w:p>
        </w:tc>
      </w:tr>
      <w:tr>
        <w:trPr>
          <w:trHeight w:val="275" w:hRule="atLeast"/>
        </w:trPr>
        <w:tc>
          <w:tcPr>
            <w:tcW w:w="1620" w:type="dxa"/>
          </w:tcPr>
          <w:p>
            <w:pPr>
              <w:pStyle w:val="TableParagraph"/>
              <w:spacing w:line="256" w:lineRule="exact"/>
              <w:ind w:left="331" w:right="325"/>
              <w:jc w:val="center"/>
              <w:rPr>
                <w:sz w:val="24"/>
              </w:rPr>
            </w:pPr>
            <w:r>
              <w:rPr>
                <w:sz w:val="24"/>
              </w:rPr>
              <w:t>4-7 ani</w:t>
            </w:r>
          </w:p>
        </w:tc>
        <w:tc>
          <w:tcPr>
            <w:tcW w:w="1889" w:type="dxa"/>
          </w:tcPr>
          <w:p>
            <w:pPr>
              <w:pStyle w:val="TableParagraph"/>
              <w:spacing w:line="256" w:lineRule="exact"/>
              <w:ind w:left="614"/>
              <w:rPr>
                <w:sz w:val="24"/>
              </w:rPr>
            </w:pPr>
            <w:r>
              <w:rPr>
                <w:sz w:val="24"/>
              </w:rPr>
              <w:t>32.860</w:t>
            </w:r>
          </w:p>
        </w:tc>
        <w:tc>
          <w:tcPr>
            <w:tcW w:w="2071" w:type="dxa"/>
          </w:tcPr>
          <w:p>
            <w:pPr>
              <w:pStyle w:val="TableParagraph"/>
              <w:spacing w:line="256" w:lineRule="exact"/>
              <w:ind w:left="683" w:right="677"/>
              <w:jc w:val="center"/>
              <w:rPr>
                <w:sz w:val="24"/>
              </w:rPr>
            </w:pPr>
            <w:r>
              <w:rPr>
                <w:sz w:val="24"/>
              </w:rPr>
              <w:t>5.202</w:t>
            </w:r>
          </w:p>
        </w:tc>
        <w:tc>
          <w:tcPr>
            <w:tcW w:w="3600" w:type="dxa"/>
          </w:tcPr>
          <w:p>
            <w:pPr>
              <w:pStyle w:val="TableParagraph"/>
              <w:spacing w:line="256" w:lineRule="exact"/>
              <w:ind w:left="1400"/>
              <w:rPr>
                <w:sz w:val="24"/>
              </w:rPr>
            </w:pPr>
            <w:r>
              <w:rPr>
                <w:sz w:val="24"/>
              </w:rPr>
              <w:t>15,74 %</w:t>
            </w:r>
          </w:p>
        </w:tc>
      </w:tr>
      <w:tr>
        <w:trPr>
          <w:trHeight w:val="275" w:hRule="atLeast"/>
        </w:trPr>
        <w:tc>
          <w:tcPr>
            <w:tcW w:w="1620" w:type="dxa"/>
          </w:tcPr>
          <w:p>
            <w:pPr>
              <w:pStyle w:val="TableParagraph"/>
              <w:spacing w:line="256" w:lineRule="exact"/>
              <w:ind w:left="331" w:right="325"/>
              <w:jc w:val="center"/>
              <w:rPr>
                <w:sz w:val="24"/>
              </w:rPr>
            </w:pPr>
            <w:r>
              <w:rPr>
                <w:sz w:val="24"/>
              </w:rPr>
              <w:t>7-11 ani</w:t>
            </w:r>
          </w:p>
        </w:tc>
        <w:tc>
          <w:tcPr>
            <w:tcW w:w="1889" w:type="dxa"/>
          </w:tcPr>
          <w:p>
            <w:pPr>
              <w:pStyle w:val="TableParagraph"/>
              <w:spacing w:line="256" w:lineRule="exact"/>
              <w:ind w:left="614"/>
              <w:rPr>
                <w:sz w:val="24"/>
              </w:rPr>
            </w:pPr>
            <w:r>
              <w:rPr>
                <w:sz w:val="24"/>
              </w:rPr>
              <w:t>59.465</w:t>
            </w:r>
          </w:p>
        </w:tc>
        <w:tc>
          <w:tcPr>
            <w:tcW w:w="2071" w:type="dxa"/>
          </w:tcPr>
          <w:p>
            <w:pPr>
              <w:pStyle w:val="TableParagraph"/>
              <w:spacing w:line="256" w:lineRule="exact"/>
              <w:ind w:left="683" w:right="677"/>
              <w:jc w:val="center"/>
              <w:rPr>
                <w:sz w:val="24"/>
              </w:rPr>
            </w:pPr>
            <w:r>
              <w:rPr>
                <w:sz w:val="24"/>
              </w:rPr>
              <w:t>14.583</w:t>
            </w:r>
          </w:p>
        </w:tc>
        <w:tc>
          <w:tcPr>
            <w:tcW w:w="3600" w:type="dxa"/>
          </w:tcPr>
          <w:p>
            <w:pPr>
              <w:pStyle w:val="TableParagraph"/>
              <w:spacing w:line="256" w:lineRule="exact"/>
              <w:ind w:left="1400"/>
              <w:rPr>
                <w:sz w:val="24"/>
              </w:rPr>
            </w:pPr>
            <w:r>
              <w:rPr>
                <w:sz w:val="24"/>
              </w:rPr>
              <w:t>24,52 %</w:t>
            </w:r>
          </w:p>
        </w:tc>
      </w:tr>
      <w:tr>
        <w:trPr>
          <w:trHeight w:val="275" w:hRule="atLeast"/>
        </w:trPr>
        <w:tc>
          <w:tcPr>
            <w:tcW w:w="1620" w:type="dxa"/>
          </w:tcPr>
          <w:p>
            <w:pPr>
              <w:pStyle w:val="TableParagraph"/>
              <w:spacing w:line="256" w:lineRule="exact"/>
              <w:ind w:left="331" w:right="325"/>
              <w:jc w:val="center"/>
              <w:rPr>
                <w:sz w:val="24"/>
              </w:rPr>
            </w:pPr>
            <w:r>
              <w:rPr>
                <w:sz w:val="24"/>
              </w:rPr>
              <w:t>11-15 ani</w:t>
            </w:r>
          </w:p>
        </w:tc>
        <w:tc>
          <w:tcPr>
            <w:tcW w:w="1889" w:type="dxa"/>
          </w:tcPr>
          <w:p>
            <w:pPr>
              <w:pStyle w:val="TableParagraph"/>
              <w:spacing w:line="256" w:lineRule="exact"/>
              <w:ind w:left="614"/>
              <w:rPr>
                <w:sz w:val="24"/>
              </w:rPr>
            </w:pPr>
            <w:r>
              <w:rPr>
                <w:sz w:val="24"/>
              </w:rPr>
              <w:t>56.599</w:t>
            </w:r>
          </w:p>
        </w:tc>
        <w:tc>
          <w:tcPr>
            <w:tcW w:w="2071" w:type="dxa"/>
          </w:tcPr>
          <w:p>
            <w:pPr>
              <w:pStyle w:val="TableParagraph"/>
              <w:spacing w:line="256" w:lineRule="exact"/>
              <w:ind w:left="683" w:right="677"/>
              <w:jc w:val="center"/>
              <w:rPr>
                <w:sz w:val="24"/>
              </w:rPr>
            </w:pPr>
            <w:r>
              <w:rPr>
                <w:sz w:val="24"/>
              </w:rPr>
              <w:t>16.907</w:t>
            </w:r>
          </w:p>
        </w:tc>
        <w:tc>
          <w:tcPr>
            <w:tcW w:w="3600" w:type="dxa"/>
          </w:tcPr>
          <w:p>
            <w:pPr>
              <w:pStyle w:val="TableParagraph"/>
              <w:spacing w:line="256" w:lineRule="exact"/>
              <w:ind w:left="1371"/>
              <w:rPr>
                <w:sz w:val="24"/>
              </w:rPr>
            </w:pPr>
            <w:r>
              <w:rPr>
                <w:sz w:val="24"/>
              </w:rPr>
              <w:t>29, 87 %</w:t>
            </w:r>
          </w:p>
        </w:tc>
      </w:tr>
      <w:tr>
        <w:trPr>
          <w:trHeight w:val="277" w:hRule="atLeast"/>
        </w:trPr>
        <w:tc>
          <w:tcPr>
            <w:tcW w:w="1620" w:type="dxa"/>
          </w:tcPr>
          <w:p>
            <w:pPr>
              <w:pStyle w:val="TableParagraph"/>
              <w:spacing w:line="257" w:lineRule="exact" w:before="1"/>
              <w:ind w:left="331" w:right="325"/>
              <w:jc w:val="center"/>
              <w:rPr>
                <w:sz w:val="24"/>
              </w:rPr>
            </w:pPr>
            <w:r>
              <w:rPr>
                <w:sz w:val="24"/>
              </w:rPr>
              <w:t>15-19 ani</w:t>
            </w:r>
          </w:p>
        </w:tc>
        <w:tc>
          <w:tcPr>
            <w:tcW w:w="1889" w:type="dxa"/>
          </w:tcPr>
          <w:p>
            <w:pPr>
              <w:pStyle w:val="TableParagraph"/>
              <w:spacing w:line="257" w:lineRule="exact" w:before="1"/>
              <w:ind w:left="614"/>
              <w:rPr>
                <w:sz w:val="24"/>
              </w:rPr>
            </w:pPr>
            <w:r>
              <w:rPr>
                <w:sz w:val="24"/>
              </w:rPr>
              <w:t>62.881</w:t>
            </w:r>
          </w:p>
        </w:tc>
        <w:tc>
          <w:tcPr>
            <w:tcW w:w="2071" w:type="dxa"/>
          </w:tcPr>
          <w:p>
            <w:pPr>
              <w:pStyle w:val="TableParagraph"/>
              <w:spacing w:line="257" w:lineRule="exact" w:before="1"/>
              <w:ind w:left="683" w:right="677"/>
              <w:jc w:val="center"/>
              <w:rPr>
                <w:sz w:val="24"/>
              </w:rPr>
            </w:pPr>
            <w:r>
              <w:rPr>
                <w:sz w:val="24"/>
              </w:rPr>
              <w:t>16.221</w:t>
            </w:r>
          </w:p>
        </w:tc>
        <w:tc>
          <w:tcPr>
            <w:tcW w:w="3600" w:type="dxa"/>
          </w:tcPr>
          <w:p>
            <w:pPr>
              <w:pStyle w:val="TableParagraph"/>
              <w:spacing w:line="257" w:lineRule="exact" w:before="1"/>
              <w:ind w:left="1400"/>
              <w:rPr>
                <w:sz w:val="24"/>
              </w:rPr>
            </w:pPr>
            <w:r>
              <w:rPr>
                <w:sz w:val="24"/>
              </w:rPr>
              <w:t>25,79 %</w:t>
            </w:r>
          </w:p>
        </w:tc>
      </w:tr>
    </w:tbl>
    <w:p>
      <w:pPr>
        <w:pStyle w:val="ListParagraph"/>
        <w:numPr>
          <w:ilvl w:val="0"/>
          <w:numId w:val="7"/>
        </w:numPr>
        <w:tabs>
          <w:tab w:pos="385" w:val="left" w:leader="none"/>
        </w:tabs>
        <w:spacing w:line="240" w:lineRule="auto" w:before="0" w:after="0"/>
        <w:ind w:left="233" w:right="829" w:firstLine="0"/>
        <w:jc w:val="both"/>
        <w:rPr>
          <w:sz w:val="24"/>
        </w:rPr>
      </w:pPr>
      <w:r>
        <w:rPr>
          <w:sz w:val="24"/>
        </w:rPr>
        <w:t>valorile de mai sus arata ca proportia subiectilor bolnavi este mai mare la grupa de varsta 11-15 ani, comparativ cu celelalte categorii de</w:t>
      </w:r>
      <w:r>
        <w:rPr>
          <w:spacing w:val="1"/>
          <w:sz w:val="24"/>
        </w:rPr>
        <w:t> </w:t>
      </w:r>
      <w:r>
        <w:rPr>
          <w:sz w:val="24"/>
        </w:rPr>
        <w:t>varsta.</w:t>
      </w:r>
    </w:p>
    <w:p>
      <w:pPr>
        <w:spacing w:after="0" w:line="240" w:lineRule="auto"/>
        <w:jc w:val="both"/>
        <w:rPr>
          <w:sz w:val="24"/>
        </w:rPr>
        <w:sectPr>
          <w:pgSz w:w="11910" w:h="16840"/>
          <w:pgMar w:header="0" w:footer="738" w:top="1360" w:bottom="920" w:left="900" w:right="0"/>
        </w:sectPr>
      </w:pPr>
    </w:p>
    <w:p>
      <w:pPr>
        <w:pStyle w:val="ListParagraph"/>
        <w:numPr>
          <w:ilvl w:val="0"/>
          <w:numId w:val="7"/>
        </w:numPr>
        <w:tabs>
          <w:tab w:pos="378" w:val="left" w:leader="none"/>
        </w:tabs>
        <w:spacing w:line="240" w:lineRule="auto" w:before="60" w:after="0"/>
        <w:ind w:left="233" w:right="831" w:firstLine="0"/>
        <w:jc w:val="left"/>
        <w:rPr>
          <w:sz w:val="24"/>
        </w:rPr>
      </w:pPr>
      <w:r>
        <w:rPr>
          <w:sz w:val="24"/>
        </w:rPr>
        <w:t>prevalenta bolilor dispensarizate se inscrie pe o curba descendenta pana la grupa de varsta 11-15 ani, inregistrandu-se o usoara crestere la 15-19 ani fata de anul scolar</w:t>
      </w:r>
      <w:r>
        <w:rPr>
          <w:spacing w:val="-2"/>
          <w:sz w:val="24"/>
        </w:rPr>
        <w:t> </w:t>
      </w:r>
      <w:r>
        <w:rPr>
          <w:sz w:val="24"/>
        </w:rPr>
        <w:t>2015-2016.</w:t>
      </w:r>
    </w:p>
    <w:p>
      <w:pPr>
        <w:pStyle w:val="ListParagraph"/>
        <w:numPr>
          <w:ilvl w:val="0"/>
          <w:numId w:val="7"/>
        </w:numPr>
        <w:tabs>
          <w:tab w:pos="378" w:val="left" w:leader="none"/>
        </w:tabs>
        <w:spacing w:line="240" w:lineRule="auto" w:before="1" w:after="0"/>
        <w:ind w:left="233" w:right="834" w:firstLine="0"/>
        <w:jc w:val="left"/>
        <w:rPr>
          <w:sz w:val="24"/>
        </w:rPr>
      </w:pPr>
      <w:r>
        <w:rPr>
          <w:sz w:val="24"/>
        </w:rPr>
        <w:t>din analiza datelor a reiesit prezenta co-morbiditatii, prin combinarea a doua sau mai multor afectiuni la acelasi</w:t>
      </w:r>
      <w:r>
        <w:rPr>
          <w:spacing w:val="-1"/>
          <w:sz w:val="24"/>
        </w:rPr>
        <w:t> </w:t>
      </w:r>
      <w:r>
        <w:rPr>
          <w:sz w:val="24"/>
        </w:rPr>
        <w:t>subiect.</w:t>
      </w:r>
    </w:p>
    <w:p>
      <w:pPr>
        <w:pStyle w:val="ListParagraph"/>
        <w:numPr>
          <w:ilvl w:val="0"/>
          <w:numId w:val="7"/>
        </w:numPr>
        <w:tabs>
          <w:tab w:pos="383" w:val="left" w:leader="none"/>
        </w:tabs>
        <w:spacing w:line="240" w:lineRule="auto" w:before="0" w:after="0"/>
        <w:ind w:left="233" w:right="836" w:firstLine="0"/>
        <w:jc w:val="left"/>
        <w:rPr>
          <w:sz w:val="24"/>
        </w:rPr>
      </w:pPr>
      <w:r>
        <w:rPr>
          <w:sz w:val="24"/>
        </w:rPr>
        <w:t>fata de anul scolar 2015-2016, se observa o scadere a prevalentei bolilor dispensarizate la grupele de varsta 0-4 ani, 4-7 ani, 7-11 ani, 11-15 ani si o crestere la grupa de varsta 15-19</w:t>
      </w:r>
      <w:r>
        <w:rPr>
          <w:spacing w:val="-6"/>
          <w:sz w:val="24"/>
        </w:rPr>
        <w:t> </w:t>
      </w:r>
      <w:r>
        <w:rPr>
          <w:sz w:val="24"/>
        </w:rPr>
        <w:t>ani.</w:t>
      </w:r>
    </w:p>
    <w:p>
      <w:pPr>
        <w:pStyle w:val="ListParagraph"/>
        <w:numPr>
          <w:ilvl w:val="0"/>
          <w:numId w:val="7"/>
        </w:numPr>
        <w:tabs>
          <w:tab w:pos="380" w:val="left" w:leader="none"/>
        </w:tabs>
        <w:spacing w:line="240" w:lineRule="auto" w:before="0" w:after="0"/>
        <w:ind w:left="233" w:right="837" w:firstLine="0"/>
        <w:jc w:val="left"/>
        <w:rPr>
          <w:sz w:val="24"/>
        </w:rPr>
      </w:pPr>
      <w:r>
        <w:rPr>
          <w:sz w:val="24"/>
        </w:rPr>
        <w:t>preponderenta principalelor grupe de afectiuni dispensarizate care au determinat aceste prevalente, in functie de grupa de varsta examinata, a</w:t>
      </w:r>
      <w:r>
        <w:rPr>
          <w:spacing w:val="-6"/>
          <w:sz w:val="24"/>
        </w:rPr>
        <w:t> </w:t>
      </w:r>
      <w:r>
        <w:rPr>
          <w:sz w:val="24"/>
        </w:rPr>
        <w:t>fost:</w:t>
      </w: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801"/>
        <w:gridCol w:w="1621"/>
        <w:gridCol w:w="1801"/>
        <w:gridCol w:w="1802"/>
        <w:gridCol w:w="1802"/>
      </w:tblGrid>
      <w:tr>
        <w:trPr>
          <w:trHeight w:val="827" w:hRule="atLeast"/>
        </w:trPr>
        <w:tc>
          <w:tcPr>
            <w:tcW w:w="1260" w:type="dxa"/>
          </w:tcPr>
          <w:p>
            <w:pPr>
              <w:pStyle w:val="TableParagraph"/>
              <w:spacing w:line="275" w:lineRule="exact"/>
              <w:ind w:left="107"/>
              <w:rPr>
                <w:sz w:val="24"/>
              </w:rPr>
            </w:pPr>
            <w:r>
              <w:rPr>
                <w:sz w:val="24"/>
              </w:rPr>
              <w:t>Pozitia</w:t>
            </w:r>
          </w:p>
        </w:tc>
        <w:tc>
          <w:tcPr>
            <w:tcW w:w="1801" w:type="dxa"/>
          </w:tcPr>
          <w:p>
            <w:pPr>
              <w:pStyle w:val="TableParagraph"/>
              <w:ind w:left="107" w:right="163"/>
              <w:rPr>
                <w:sz w:val="24"/>
              </w:rPr>
            </w:pPr>
            <w:r>
              <w:rPr>
                <w:sz w:val="24"/>
              </w:rPr>
              <w:t>Grupa de varsta (0-4 ani)</w:t>
            </w:r>
          </w:p>
        </w:tc>
        <w:tc>
          <w:tcPr>
            <w:tcW w:w="1621" w:type="dxa"/>
          </w:tcPr>
          <w:p>
            <w:pPr>
              <w:pStyle w:val="TableParagraph"/>
              <w:ind w:left="107" w:right="597"/>
              <w:rPr>
                <w:sz w:val="24"/>
              </w:rPr>
            </w:pPr>
            <w:r>
              <w:rPr>
                <w:sz w:val="24"/>
              </w:rPr>
              <w:t>Grupa de varsta</w:t>
            </w:r>
          </w:p>
          <w:p>
            <w:pPr>
              <w:pStyle w:val="TableParagraph"/>
              <w:spacing w:line="257" w:lineRule="exact"/>
              <w:ind w:left="107"/>
              <w:rPr>
                <w:sz w:val="24"/>
              </w:rPr>
            </w:pPr>
            <w:r>
              <w:rPr>
                <w:sz w:val="24"/>
              </w:rPr>
              <w:t>(4-7 ani)</w:t>
            </w:r>
          </w:p>
        </w:tc>
        <w:tc>
          <w:tcPr>
            <w:tcW w:w="1801" w:type="dxa"/>
          </w:tcPr>
          <w:p>
            <w:pPr>
              <w:pStyle w:val="TableParagraph"/>
              <w:ind w:left="106" w:right="164"/>
              <w:rPr>
                <w:sz w:val="24"/>
              </w:rPr>
            </w:pPr>
            <w:r>
              <w:rPr>
                <w:sz w:val="24"/>
              </w:rPr>
              <w:t>Grupa de varsta (7-11 ani)</w:t>
            </w:r>
          </w:p>
        </w:tc>
        <w:tc>
          <w:tcPr>
            <w:tcW w:w="1802" w:type="dxa"/>
          </w:tcPr>
          <w:p>
            <w:pPr>
              <w:pStyle w:val="TableParagraph"/>
              <w:ind w:left="105" w:right="166"/>
              <w:rPr>
                <w:sz w:val="24"/>
              </w:rPr>
            </w:pPr>
            <w:r>
              <w:rPr>
                <w:sz w:val="24"/>
              </w:rPr>
              <w:t>Grupa de varsta (11-15 ani)</w:t>
            </w:r>
          </w:p>
        </w:tc>
        <w:tc>
          <w:tcPr>
            <w:tcW w:w="1802" w:type="dxa"/>
          </w:tcPr>
          <w:p>
            <w:pPr>
              <w:pStyle w:val="TableParagraph"/>
              <w:ind w:left="104" w:right="168"/>
              <w:rPr>
                <w:sz w:val="24"/>
              </w:rPr>
            </w:pPr>
            <w:r>
              <w:rPr>
                <w:sz w:val="24"/>
              </w:rPr>
              <w:t>Grupa de varsta (15-19 ani)</w:t>
            </w:r>
          </w:p>
        </w:tc>
      </w:tr>
      <w:tr>
        <w:trPr>
          <w:trHeight w:val="828" w:hRule="atLeast"/>
        </w:trPr>
        <w:tc>
          <w:tcPr>
            <w:tcW w:w="1260" w:type="dxa"/>
          </w:tcPr>
          <w:p>
            <w:pPr>
              <w:pStyle w:val="TableParagraph"/>
              <w:spacing w:line="275" w:lineRule="exact"/>
              <w:ind w:left="107"/>
              <w:rPr>
                <w:sz w:val="24"/>
              </w:rPr>
            </w:pPr>
            <w:r>
              <w:rPr>
                <w:w w:val="99"/>
                <w:sz w:val="24"/>
              </w:rPr>
              <w:t>I</w:t>
            </w:r>
          </w:p>
        </w:tc>
        <w:tc>
          <w:tcPr>
            <w:tcW w:w="1801" w:type="dxa"/>
          </w:tcPr>
          <w:p>
            <w:pPr>
              <w:pStyle w:val="TableParagraph"/>
              <w:ind w:left="107" w:right="137"/>
              <w:rPr>
                <w:sz w:val="24"/>
              </w:rPr>
            </w:pPr>
            <w:r>
              <w:rPr>
                <w:sz w:val="24"/>
              </w:rPr>
              <w:t>Boli metabolice si de nutritie</w:t>
            </w:r>
          </w:p>
        </w:tc>
        <w:tc>
          <w:tcPr>
            <w:tcW w:w="1621" w:type="dxa"/>
          </w:tcPr>
          <w:p>
            <w:pPr>
              <w:pStyle w:val="TableParagraph"/>
              <w:ind w:left="107" w:right="257"/>
              <w:rPr>
                <w:sz w:val="24"/>
              </w:rPr>
            </w:pPr>
            <w:r>
              <w:rPr>
                <w:sz w:val="24"/>
              </w:rPr>
              <w:t>Boli neuropsihice</w:t>
            </w:r>
          </w:p>
        </w:tc>
        <w:tc>
          <w:tcPr>
            <w:tcW w:w="1801" w:type="dxa"/>
          </w:tcPr>
          <w:p>
            <w:pPr>
              <w:pStyle w:val="TableParagraph"/>
              <w:spacing w:line="275" w:lineRule="exact"/>
              <w:ind w:left="106"/>
              <w:rPr>
                <w:sz w:val="24"/>
              </w:rPr>
            </w:pPr>
            <w:r>
              <w:rPr>
                <w:sz w:val="24"/>
              </w:rPr>
              <w:t>Boli senzoriale</w:t>
            </w:r>
          </w:p>
        </w:tc>
        <w:tc>
          <w:tcPr>
            <w:tcW w:w="1802" w:type="dxa"/>
          </w:tcPr>
          <w:p>
            <w:pPr>
              <w:pStyle w:val="TableParagraph"/>
              <w:spacing w:line="275" w:lineRule="exact"/>
              <w:ind w:left="6" w:right="140"/>
              <w:jc w:val="center"/>
              <w:rPr>
                <w:sz w:val="24"/>
              </w:rPr>
            </w:pPr>
            <w:r>
              <w:rPr>
                <w:sz w:val="24"/>
              </w:rPr>
              <w:t>Boli senzoriale</w:t>
            </w:r>
          </w:p>
        </w:tc>
        <w:tc>
          <w:tcPr>
            <w:tcW w:w="1802" w:type="dxa"/>
          </w:tcPr>
          <w:p>
            <w:pPr>
              <w:pStyle w:val="TableParagraph"/>
              <w:spacing w:line="275" w:lineRule="exact"/>
              <w:ind w:left="104"/>
              <w:rPr>
                <w:sz w:val="24"/>
              </w:rPr>
            </w:pPr>
            <w:r>
              <w:rPr>
                <w:sz w:val="24"/>
              </w:rPr>
              <w:t>Boli senzoriale</w:t>
            </w:r>
          </w:p>
        </w:tc>
      </w:tr>
      <w:tr>
        <w:trPr>
          <w:trHeight w:val="909" w:hRule="atLeast"/>
        </w:trPr>
        <w:tc>
          <w:tcPr>
            <w:tcW w:w="1260" w:type="dxa"/>
          </w:tcPr>
          <w:p>
            <w:pPr>
              <w:pStyle w:val="TableParagraph"/>
              <w:spacing w:line="275" w:lineRule="exact"/>
              <w:ind w:left="107"/>
              <w:rPr>
                <w:sz w:val="24"/>
              </w:rPr>
            </w:pPr>
            <w:r>
              <w:rPr>
                <w:sz w:val="24"/>
              </w:rPr>
              <w:t>II</w:t>
            </w:r>
          </w:p>
        </w:tc>
        <w:tc>
          <w:tcPr>
            <w:tcW w:w="1801" w:type="dxa"/>
          </w:tcPr>
          <w:p>
            <w:pPr>
              <w:pStyle w:val="TableParagraph"/>
              <w:ind w:left="107" w:right="437"/>
              <w:rPr>
                <w:sz w:val="24"/>
              </w:rPr>
            </w:pPr>
            <w:r>
              <w:rPr>
                <w:sz w:val="24"/>
              </w:rPr>
              <w:t>Boli neuropsihice</w:t>
            </w:r>
          </w:p>
        </w:tc>
        <w:tc>
          <w:tcPr>
            <w:tcW w:w="1621" w:type="dxa"/>
          </w:tcPr>
          <w:p>
            <w:pPr>
              <w:pStyle w:val="TableParagraph"/>
              <w:ind w:left="107" w:right="511"/>
              <w:rPr>
                <w:sz w:val="24"/>
              </w:rPr>
            </w:pPr>
            <w:r>
              <w:rPr>
                <w:sz w:val="24"/>
              </w:rPr>
              <w:t>Boli senzoriale</w:t>
            </w:r>
          </w:p>
        </w:tc>
        <w:tc>
          <w:tcPr>
            <w:tcW w:w="1801" w:type="dxa"/>
          </w:tcPr>
          <w:p>
            <w:pPr>
              <w:pStyle w:val="TableParagraph"/>
              <w:ind w:left="106" w:right="438"/>
              <w:rPr>
                <w:sz w:val="24"/>
              </w:rPr>
            </w:pPr>
            <w:r>
              <w:rPr>
                <w:sz w:val="24"/>
              </w:rPr>
              <w:t>Boli neuropsihice</w:t>
            </w:r>
          </w:p>
        </w:tc>
        <w:tc>
          <w:tcPr>
            <w:tcW w:w="1802" w:type="dxa"/>
          </w:tcPr>
          <w:p>
            <w:pPr>
              <w:pStyle w:val="TableParagraph"/>
              <w:ind w:left="105" w:right="440"/>
              <w:rPr>
                <w:sz w:val="24"/>
              </w:rPr>
            </w:pPr>
            <w:r>
              <w:rPr>
                <w:sz w:val="24"/>
              </w:rPr>
              <w:t>Boli neuropsihice</w:t>
            </w:r>
          </w:p>
        </w:tc>
        <w:tc>
          <w:tcPr>
            <w:tcW w:w="1802" w:type="dxa"/>
          </w:tcPr>
          <w:p>
            <w:pPr>
              <w:pStyle w:val="TableParagraph"/>
              <w:ind w:left="104" w:right="681"/>
              <w:rPr>
                <w:sz w:val="24"/>
              </w:rPr>
            </w:pPr>
            <w:r>
              <w:rPr>
                <w:sz w:val="24"/>
              </w:rPr>
              <w:t>Boli ale aparatului locomotor</w:t>
            </w:r>
          </w:p>
        </w:tc>
      </w:tr>
      <w:tr>
        <w:trPr>
          <w:trHeight w:val="827" w:hRule="atLeast"/>
        </w:trPr>
        <w:tc>
          <w:tcPr>
            <w:tcW w:w="1260" w:type="dxa"/>
          </w:tcPr>
          <w:p>
            <w:pPr>
              <w:pStyle w:val="TableParagraph"/>
              <w:spacing w:line="275" w:lineRule="exact"/>
              <w:ind w:left="107"/>
              <w:rPr>
                <w:sz w:val="24"/>
              </w:rPr>
            </w:pPr>
            <w:r>
              <w:rPr>
                <w:sz w:val="24"/>
              </w:rPr>
              <w:t>III</w:t>
            </w:r>
          </w:p>
        </w:tc>
        <w:tc>
          <w:tcPr>
            <w:tcW w:w="1801" w:type="dxa"/>
          </w:tcPr>
          <w:p>
            <w:pPr>
              <w:pStyle w:val="TableParagraph"/>
              <w:spacing w:line="275" w:lineRule="exact"/>
              <w:ind w:left="107"/>
              <w:rPr>
                <w:sz w:val="24"/>
              </w:rPr>
            </w:pPr>
            <w:r>
              <w:rPr>
                <w:sz w:val="24"/>
              </w:rPr>
              <w:t>Boli</w:t>
            </w:r>
            <w:r>
              <w:rPr>
                <w:spacing w:val="58"/>
                <w:sz w:val="24"/>
              </w:rPr>
              <w:t> </w:t>
            </w:r>
            <w:r>
              <w:rPr>
                <w:sz w:val="24"/>
              </w:rPr>
              <w:t>senzoriale</w:t>
            </w:r>
          </w:p>
        </w:tc>
        <w:tc>
          <w:tcPr>
            <w:tcW w:w="1621" w:type="dxa"/>
          </w:tcPr>
          <w:p>
            <w:pPr>
              <w:pStyle w:val="TableParagraph"/>
              <w:spacing w:line="276" w:lineRule="exact" w:before="2"/>
              <w:ind w:left="107" w:right="211"/>
              <w:rPr>
                <w:sz w:val="24"/>
              </w:rPr>
            </w:pPr>
            <w:r>
              <w:rPr>
                <w:sz w:val="24"/>
              </w:rPr>
              <w:t>Boli metabolice si de nutritie</w:t>
            </w:r>
          </w:p>
        </w:tc>
        <w:tc>
          <w:tcPr>
            <w:tcW w:w="1801" w:type="dxa"/>
          </w:tcPr>
          <w:p>
            <w:pPr>
              <w:pStyle w:val="TableParagraph"/>
              <w:ind w:left="106" w:right="138"/>
              <w:rPr>
                <w:sz w:val="24"/>
              </w:rPr>
            </w:pPr>
            <w:r>
              <w:rPr>
                <w:sz w:val="24"/>
              </w:rPr>
              <w:t>Boli metabolice si de nutritie</w:t>
            </w:r>
          </w:p>
        </w:tc>
        <w:tc>
          <w:tcPr>
            <w:tcW w:w="1802" w:type="dxa"/>
          </w:tcPr>
          <w:p>
            <w:pPr>
              <w:pStyle w:val="TableParagraph"/>
              <w:ind w:left="105" w:right="140"/>
              <w:rPr>
                <w:sz w:val="24"/>
              </w:rPr>
            </w:pPr>
            <w:r>
              <w:rPr>
                <w:sz w:val="24"/>
              </w:rPr>
              <w:t>Boli metabolice si de nutritie</w:t>
            </w:r>
          </w:p>
        </w:tc>
        <w:tc>
          <w:tcPr>
            <w:tcW w:w="1802" w:type="dxa"/>
          </w:tcPr>
          <w:p>
            <w:pPr>
              <w:pStyle w:val="TableParagraph"/>
              <w:ind w:left="104" w:right="141"/>
              <w:rPr>
                <w:sz w:val="24"/>
              </w:rPr>
            </w:pPr>
            <w:r>
              <w:rPr>
                <w:sz w:val="24"/>
              </w:rPr>
              <w:t>Boli metabolice si de nutritie</w:t>
            </w:r>
          </w:p>
        </w:tc>
      </w:tr>
      <w:tr>
        <w:trPr>
          <w:trHeight w:val="825" w:hRule="atLeast"/>
        </w:trPr>
        <w:tc>
          <w:tcPr>
            <w:tcW w:w="1260" w:type="dxa"/>
          </w:tcPr>
          <w:p>
            <w:pPr>
              <w:pStyle w:val="TableParagraph"/>
              <w:spacing w:line="273" w:lineRule="exact"/>
              <w:ind w:left="107"/>
              <w:rPr>
                <w:sz w:val="24"/>
              </w:rPr>
            </w:pPr>
            <w:r>
              <w:rPr>
                <w:sz w:val="24"/>
              </w:rPr>
              <w:t>IV</w:t>
            </w:r>
          </w:p>
        </w:tc>
        <w:tc>
          <w:tcPr>
            <w:tcW w:w="1801" w:type="dxa"/>
          </w:tcPr>
          <w:p>
            <w:pPr>
              <w:pStyle w:val="TableParagraph"/>
              <w:spacing w:line="273" w:lineRule="exact"/>
              <w:ind w:left="107"/>
              <w:rPr>
                <w:sz w:val="24"/>
              </w:rPr>
            </w:pPr>
            <w:r>
              <w:rPr>
                <w:sz w:val="24"/>
              </w:rPr>
              <w:t>Boli respiratorii</w:t>
            </w:r>
          </w:p>
        </w:tc>
        <w:tc>
          <w:tcPr>
            <w:tcW w:w="1621" w:type="dxa"/>
          </w:tcPr>
          <w:p>
            <w:pPr>
              <w:pStyle w:val="TableParagraph"/>
              <w:spacing w:line="273" w:lineRule="exact"/>
              <w:ind w:left="107"/>
              <w:rPr>
                <w:sz w:val="24"/>
              </w:rPr>
            </w:pPr>
            <w:r>
              <w:rPr>
                <w:sz w:val="24"/>
              </w:rPr>
              <w:t>Boli ale</w:t>
            </w:r>
          </w:p>
          <w:p>
            <w:pPr>
              <w:pStyle w:val="TableParagraph"/>
              <w:spacing w:line="270" w:lineRule="atLeast"/>
              <w:ind w:left="107" w:right="497"/>
              <w:rPr>
                <w:sz w:val="24"/>
              </w:rPr>
            </w:pPr>
            <w:r>
              <w:rPr>
                <w:sz w:val="24"/>
              </w:rPr>
              <w:t>aparatului locomotor</w:t>
            </w:r>
          </w:p>
        </w:tc>
        <w:tc>
          <w:tcPr>
            <w:tcW w:w="1801" w:type="dxa"/>
          </w:tcPr>
          <w:p>
            <w:pPr>
              <w:pStyle w:val="TableParagraph"/>
              <w:spacing w:line="273" w:lineRule="exact"/>
              <w:ind w:left="106"/>
              <w:rPr>
                <w:sz w:val="24"/>
              </w:rPr>
            </w:pPr>
            <w:r>
              <w:rPr>
                <w:sz w:val="24"/>
              </w:rPr>
              <w:t>Boli ale</w:t>
            </w:r>
          </w:p>
          <w:p>
            <w:pPr>
              <w:pStyle w:val="TableParagraph"/>
              <w:spacing w:line="270" w:lineRule="atLeast"/>
              <w:ind w:left="106" w:right="678"/>
              <w:rPr>
                <w:sz w:val="24"/>
              </w:rPr>
            </w:pPr>
            <w:r>
              <w:rPr>
                <w:sz w:val="24"/>
              </w:rPr>
              <w:t>aparatului locomotor</w:t>
            </w:r>
          </w:p>
        </w:tc>
        <w:tc>
          <w:tcPr>
            <w:tcW w:w="1802" w:type="dxa"/>
          </w:tcPr>
          <w:p>
            <w:pPr>
              <w:pStyle w:val="TableParagraph"/>
              <w:spacing w:line="273" w:lineRule="exact"/>
              <w:ind w:left="105"/>
              <w:rPr>
                <w:sz w:val="24"/>
              </w:rPr>
            </w:pPr>
            <w:r>
              <w:rPr>
                <w:sz w:val="24"/>
              </w:rPr>
              <w:t>Boli ale</w:t>
            </w:r>
          </w:p>
          <w:p>
            <w:pPr>
              <w:pStyle w:val="TableParagraph"/>
              <w:spacing w:line="270" w:lineRule="atLeast"/>
              <w:ind w:left="105" w:right="680"/>
              <w:rPr>
                <w:sz w:val="24"/>
              </w:rPr>
            </w:pPr>
            <w:r>
              <w:rPr>
                <w:sz w:val="24"/>
              </w:rPr>
              <w:t>aparatului locomotor</w:t>
            </w:r>
          </w:p>
        </w:tc>
        <w:tc>
          <w:tcPr>
            <w:tcW w:w="1802" w:type="dxa"/>
          </w:tcPr>
          <w:p>
            <w:pPr>
              <w:pStyle w:val="TableParagraph"/>
              <w:ind w:left="104" w:right="441"/>
              <w:rPr>
                <w:sz w:val="24"/>
              </w:rPr>
            </w:pPr>
            <w:r>
              <w:rPr>
                <w:sz w:val="24"/>
              </w:rPr>
              <w:t>Boli neuropsihice</w:t>
            </w:r>
          </w:p>
        </w:tc>
      </w:tr>
      <w:tr>
        <w:trPr>
          <w:trHeight w:val="827" w:hRule="atLeast"/>
        </w:trPr>
        <w:tc>
          <w:tcPr>
            <w:tcW w:w="1260" w:type="dxa"/>
          </w:tcPr>
          <w:p>
            <w:pPr>
              <w:pStyle w:val="TableParagraph"/>
              <w:spacing w:line="275" w:lineRule="exact"/>
              <w:ind w:left="107"/>
              <w:rPr>
                <w:sz w:val="24"/>
              </w:rPr>
            </w:pPr>
            <w:r>
              <w:rPr>
                <w:w w:val="99"/>
                <w:sz w:val="24"/>
              </w:rPr>
              <w:t>V</w:t>
            </w:r>
          </w:p>
        </w:tc>
        <w:tc>
          <w:tcPr>
            <w:tcW w:w="1801" w:type="dxa"/>
          </w:tcPr>
          <w:p>
            <w:pPr>
              <w:pStyle w:val="TableParagraph"/>
              <w:spacing w:line="276" w:lineRule="exact" w:before="2"/>
              <w:ind w:left="107" w:right="677"/>
              <w:rPr>
                <w:sz w:val="24"/>
              </w:rPr>
            </w:pPr>
            <w:r>
              <w:rPr>
                <w:sz w:val="24"/>
              </w:rPr>
              <w:t>Boli ale aparatului locomotor</w:t>
            </w:r>
          </w:p>
        </w:tc>
        <w:tc>
          <w:tcPr>
            <w:tcW w:w="1621" w:type="dxa"/>
          </w:tcPr>
          <w:p>
            <w:pPr>
              <w:pStyle w:val="TableParagraph"/>
              <w:ind w:left="107" w:right="431"/>
              <w:rPr>
                <w:sz w:val="24"/>
              </w:rPr>
            </w:pPr>
            <w:r>
              <w:rPr>
                <w:sz w:val="24"/>
              </w:rPr>
              <w:t>Boli respiratorii</w:t>
            </w:r>
          </w:p>
        </w:tc>
        <w:tc>
          <w:tcPr>
            <w:tcW w:w="1801" w:type="dxa"/>
          </w:tcPr>
          <w:p>
            <w:pPr>
              <w:pStyle w:val="TableParagraph"/>
              <w:spacing w:line="275" w:lineRule="exact"/>
              <w:ind w:left="106"/>
              <w:rPr>
                <w:sz w:val="24"/>
              </w:rPr>
            </w:pPr>
            <w:r>
              <w:rPr>
                <w:sz w:val="24"/>
              </w:rPr>
              <w:t>Boli respiratorii</w:t>
            </w:r>
          </w:p>
        </w:tc>
        <w:tc>
          <w:tcPr>
            <w:tcW w:w="1802" w:type="dxa"/>
          </w:tcPr>
          <w:p>
            <w:pPr>
              <w:pStyle w:val="TableParagraph"/>
              <w:spacing w:line="275" w:lineRule="exact"/>
              <w:ind w:left="85" w:right="140"/>
              <w:jc w:val="center"/>
              <w:rPr>
                <w:sz w:val="24"/>
              </w:rPr>
            </w:pPr>
            <w:r>
              <w:rPr>
                <w:sz w:val="24"/>
              </w:rPr>
              <w:t>Boli respiratorii</w:t>
            </w:r>
          </w:p>
        </w:tc>
        <w:tc>
          <w:tcPr>
            <w:tcW w:w="1802" w:type="dxa"/>
          </w:tcPr>
          <w:p>
            <w:pPr>
              <w:pStyle w:val="TableParagraph"/>
              <w:spacing w:line="275" w:lineRule="exact"/>
              <w:ind w:left="104"/>
              <w:rPr>
                <w:sz w:val="24"/>
              </w:rPr>
            </w:pPr>
            <w:r>
              <w:rPr>
                <w:sz w:val="24"/>
              </w:rPr>
              <w:t>Boli respiratorii</w:t>
            </w:r>
          </w:p>
        </w:tc>
      </w:tr>
    </w:tbl>
    <w:p>
      <w:pPr>
        <w:pStyle w:val="BodyText"/>
        <w:spacing w:before="10"/>
        <w:ind w:left="0"/>
        <w:rPr>
          <w:sz w:val="23"/>
        </w:rPr>
      </w:pPr>
    </w:p>
    <w:p>
      <w:pPr>
        <w:pStyle w:val="BodyText"/>
        <w:ind w:left="233" w:right="829"/>
        <w:jc w:val="both"/>
      </w:pPr>
      <w:r>
        <w:rPr/>
        <w:t>Tabelul evidentiaza faptul ca, pe primul loc s-au situat afectiunile senzoriale (predominant vizuale), pe locul II bolile neuropsihice (in special, intelect la limita si tulburari de vorbire), pe locul III bolile metabolice si de nutritie (reprezentate preponderant prin obezitate neendocrina, hipotrofie ponderala manifesta), pe locul IV afectiunile aparatului locomotor, pe locul V bolile respiratorii (astm bronsic, alte boli respiratorii cronice).</w:t>
      </w:r>
    </w:p>
    <w:p>
      <w:pPr>
        <w:pStyle w:val="BodyText"/>
        <w:ind w:left="233"/>
        <w:jc w:val="both"/>
      </w:pPr>
      <w:r>
        <w:rPr/>
        <w:t>De interes sunt unele afectiuni legate de statutul de elev:</w:t>
      </w:r>
    </w:p>
    <w:p>
      <w:pPr>
        <w:pStyle w:val="BodyText"/>
        <w:spacing w:before="7"/>
        <w:ind w:left="0"/>
        <w:rPr>
          <w:sz w:val="17"/>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701"/>
        <w:gridCol w:w="2881"/>
      </w:tblGrid>
      <w:tr>
        <w:trPr>
          <w:trHeight w:val="551" w:hRule="atLeast"/>
        </w:trPr>
        <w:tc>
          <w:tcPr>
            <w:tcW w:w="1980" w:type="dxa"/>
          </w:tcPr>
          <w:p>
            <w:pPr>
              <w:pStyle w:val="TableParagraph"/>
              <w:spacing w:line="275" w:lineRule="exact"/>
              <w:ind w:left="108"/>
              <w:rPr>
                <w:sz w:val="24"/>
              </w:rPr>
            </w:pPr>
            <w:r>
              <w:rPr>
                <w:sz w:val="24"/>
              </w:rPr>
              <w:t>Grupa de varsta</w:t>
            </w:r>
          </w:p>
        </w:tc>
        <w:tc>
          <w:tcPr>
            <w:tcW w:w="2701" w:type="dxa"/>
          </w:tcPr>
          <w:p>
            <w:pPr>
              <w:pStyle w:val="TableParagraph"/>
              <w:spacing w:line="275" w:lineRule="exact"/>
              <w:ind w:left="108"/>
              <w:rPr>
                <w:sz w:val="24"/>
              </w:rPr>
            </w:pPr>
            <w:r>
              <w:rPr>
                <w:sz w:val="24"/>
              </w:rPr>
              <w:t>Rata de prevalenta</w:t>
            </w:r>
          </w:p>
          <w:p>
            <w:pPr>
              <w:pStyle w:val="TableParagraph"/>
              <w:spacing w:line="257" w:lineRule="exact"/>
              <w:ind w:left="108"/>
              <w:rPr>
                <w:sz w:val="24"/>
              </w:rPr>
            </w:pPr>
            <w:r>
              <w:rPr>
                <w:sz w:val="24"/>
              </w:rPr>
              <w:t>a viciilor de refractie</w:t>
            </w:r>
          </w:p>
        </w:tc>
        <w:tc>
          <w:tcPr>
            <w:tcW w:w="2881" w:type="dxa"/>
          </w:tcPr>
          <w:p>
            <w:pPr>
              <w:pStyle w:val="TableParagraph"/>
              <w:spacing w:line="276" w:lineRule="exact" w:before="2"/>
              <w:ind w:left="108" w:right="849"/>
              <w:rPr>
                <w:sz w:val="24"/>
              </w:rPr>
            </w:pPr>
            <w:r>
              <w:rPr>
                <w:sz w:val="24"/>
              </w:rPr>
              <w:t>Rata de prevalenta a viciilor de</w:t>
            </w:r>
            <w:r>
              <w:rPr>
                <w:spacing w:val="1"/>
                <w:sz w:val="24"/>
              </w:rPr>
              <w:t> </w:t>
            </w:r>
            <w:r>
              <w:rPr>
                <w:spacing w:val="-3"/>
                <w:sz w:val="24"/>
              </w:rPr>
              <w:t>postura</w:t>
            </w:r>
          </w:p>
        </w:tc>
      </w:tr>
      <w:tr>
        <w:trPr>
          <w:trHeight w:val="273" w:hRule="atLeast"/>
        </w:trPr>
        <w:tc>
          <w:tcPr>
            <w:tcW w:w="1980" w:type="dxa"/>
          </w:tcPr>
          <w:p>
            <w:pPr>
              <w:pStyle w:val="TableParagraph"/>
              <w:spacing w:line="253" w:lineRule="exact"/>
              <w:ind w:left="653"/>
              <w:rPr>
                <w:sz w:val="24"/>
              </w:rPr>
            </w:pPr>
            <w:r>
              <w:rPr>
                <w:sz w:val="24"/>
              </w:rPr>
              <w:t>0-4 ani</w:t>
            </w:r>
          </w:p>
        </w:tc>
        <w:tc>
          <w:tcPr>
            <w:tcW w:w="2701" w:type="dxa"/>
          </w:tcPr>
          <w:p>
            <w:pPr>
              <w:pStyle w:val="TableParagraph"/>
              <w:spacing w:line="253" w:lineRule="exact"/>
              <w:ind w:left="870" w:right="860"/>
              <w:jc w:val="center"/>
              <w:rPr>
                <w:sz w:val="24"/>
              </w:rPr>
            </w:pPr>
            <w:r>
              <w:rPr>
                <w:sz w:val="24"/>
              </w:rPr>
              <w:t>7,55 %0</w:t>
            </w:r>
          </w:p>
        </w:tc>
        <w:tc>
          <w:tcPr>
            <w:tcW w:w="2881" w:type="dxa"/>
          </w:tcPr>
          <w:p>
            <w:pPr>
              <w:pStyle w:val="TableParagraph"/>
              <w:spacing w:line="253" w:lineRule="exact"/>
              <w:ind w:left="1068"/>
              <w:rPr>
                <w:sz w:val="24"/>
              </w:rPr>
            </w:pPr>
            <w:r>
              <w:rPr>
                <w:sz w:val="24"/>
              </w:rPr>
              <w:t>0,44 %0</w:t>
            </w:r>
          </w:p>
        </w:tc>
      </w:tr>
      <w:tr>
        <w:trPr>
          <w:trHeight w:val="275" w:hRule="atLeast"/>
        </w:trPr>
        <w:tc>
          <w:tcPr>
            <w:tcW w:w="1980" w:type="dxa"/>
          </w:tcPr>
          <w:p>
            <w:pPr>
              <w:pStyle w:val="TableParagraph"/>
              <w:spacing w:line="256" w:lineRule="exact"/>
              <w:ind w:left="653"/>
              <w:rPr>
                <w:sz w:val="24"/>
              </w:rPr>
            </w:pPr>
            <w:r>
              <w:rPr>
                <w:sz w:val="24"/>
              </w:rPr>
              <w:t>4-7 ani</w:t>
            </w:r>
          </w:p>
        </w:tc>
        <w:tc>
          <w:tcPr>
            <w:tcW w:w="2701" w:type="dxa"/>
          </w:tcPr>
          <w:p>
            <w:pPr>
              <w:pStyle w:val="TableParagraph"/>
              <w:spacing w:line="256" w:lineRule="exact"/>
              <w:ind w:left="870" w:right="861"/>
              <w:jc w:val="center"/>
              <w:rPr>
                <w:sz w:val="24"/>
              </w:rPr>
            </w:pPr>
            <w:r>
              <w:rPr>
                <w:sz w:val="24"/>
              </w:rPr>
              <w:t>36,30 %0</w:t>
            </w:r>
          </w:p>
        </w:tc>
        <w:tc>
          <w:tcPr>
            <w:tcW w:w="2881" w:type="dxa"/>
          </w:tcPr>
          <w:p>
            <w:pPr>
              <w:pStyle w:val="TableParagraph"/>
              <w:spacing w:line="256" w:lineRule="exact"/>
              <w:ind w:left="1039"/>
              <w:rPr>
                <w:sz w:val="24"/>
              </w:rPr>
            </w:pPr>
            <w:r>
              <w:rPr>
                <w:sz w:val="24"/>
              </w:rPr>
              <w:t>5,90 %0</w:t>
            </w:r>
          </w:p>
        </w:tc>
      </w:tr>
      <w:tr>
        <w:trPr>
          <w:trHeight w:val="276" w:hRule="atLeast"/>
        </w:trPr>
        <w:tc>
          <w:tcPr>
            <w:tcW w:w="1980" w:type="dxa"/>
          </w:tcPr>
          <w:p>
            <w:pPr>
              <w:pStyle w:val="TableParagraph"/>
              <w:spacing w:line="256" w:lineRule="exact"/>
              <w:ind w:left="593"/>
              <w:rPr>
                <w:sz w:val="24"/>
              </w:rPr>
            </w:pPr>
            <w:r>
              <w:rPr>
                <w:sz w:val="24"/>
              </w:rPr>
              <w:t>7-11 ani</w:t>
            </w:r>
          </w:p>
        </w:tc>
        <w:tc>
          <w:tcPr>
            <w:tcW w:w="2701" w:type="dxa"/>
          </w:tcPr>
          <w:p>
            <w:pPr>
              <w:pStyle w:val="TableParagraph"/>
              <w:spacing w:line="256" w:lineRule="exact"/>
              <w:ind w:left="870" w:right="861"/>
              <w:jc w:val="center"/>
              <w:rPr>
                <w:sz w:val="24"/>
              </w:rPr>
            </w:pPr>
            <w:r>
              <w:rPr>
                <w:sz w:val="24"/>
              </w:rPr>
              <w:t>93,65 %0</w:t>
            </w:r>
          </w:p>
        </w:tc>
        <w:tc>
          <w:tcPr>
            <w:tcW w:w="2881" w:type="dxa"/>
          </w:tcPr>
          <w:p>
            <w:pPr>
              <w:pStyle w:val="TableParagraph"/>
              <w:spacing w:line="256" w:lineRule="exact"/>
              <w:ind w:left="979"/>
              <w:rPr>
                <w:sz w:val="24"/>
              </w:rPr>
            </w:pPr>
            <w:r>
              <w:rPr>
                <w:sz w:val="24"/>
              </w:rPr>
              <w:t>12,28 %0</w:t>
            </w:r>
          </w:p>
        </w:tc>
      </w:tr>
      <w:tr>
        <w:trPr>
          <w:trHeight w:val="275" w:hRule="atLeast"/>
        </w:trPr>
        <w:tc>
          <w:tcPr>
            <w:tcW w:w="1980" w:type="dxa"/>
          </w:tcPr>
          <w:p>
            <w:pPr>
              <w:pStyle w:val="TableParagraph"/>
              <w:spacing w:line="256" w:lineRule="exact"/>
              <w:ind w:left="533"/>
              <w:rPr>
                <w:sz w:val="24"/>
              </w:rPr>
            </w:pPr>
            <w:r>
              <w:rPr>
                <w:sz w:val="24"/>
              </w:rPr>
              <w:t>11-15 ani</w:t>
            </w:r>
          </w:p>
        </w:tc>
        <w:tc>
          <w:tcPr>
            <w:tcW w:w="2701" w:type="dxa"/>
          </w:tcPr>
          <w:p>
            <w:pPr>
              <w:pStyle w:val="TableParagraph"/>
              <w:spacing w:line="256" w:lineRule="exact"/>
              <w:ind w:left="870" w:right="861"/>
              <w:jc w:val="center"/>
              <w:rPr>
                <w:sz w:val="24"/>
              </w:rPr>
            </w:pPr>
            <w:r>
              <w:rPr>
                <w:sz w:val="24"/>
              </w:rPr>
              <w:t>111,7 %0</w:t>
            </w:r>
          </w:p>
        </w:tc>
        <w:tc>
          <w:tcPr>
            <w:tcW w:w="2881" w:type="dxa"/>
          </w:tcPr>
          <w:p>
            <w:pPr>
              <w:pStyle w:val="TableParagraph"/>
              <w:spacing w:line="256" w:lineRule="exact"/>
              <w:ind w:left="979"/>
              <w:rPr>
                <w:sz w:val="24"/>
              </w:rPr>
            </w:pPr>
            <w:r>
              <w:rPr>
                <w:sz w:val="24"/>
              </w:rPr>
              <w:t>24,47 %0</w:t>
            </w:r>
          </w:p>
        </w:tc>
      </w:tr>
      <w:tr>
        <w:trPr>
          <w:trHeight w:val="278" w:hRule="atLeast"/>
        </w:trPr>
        <w:tc>
          <w:tcPr>
            <w:tcW w:w="1980" w:type="dxa"/>
          </w:tcPr>
          <w:p>
            <w:pPr>
              <w:pStyle w:val="TableParagraph"/>
              <w:spacing w:line="258" w:lineRule="exact"/>
              <w:ind w:left="533"/>
              <w:rPr>
                <w:sz w:val="24"/>
              </w:rPr>
            </w:pPr>
            <w:r>
              <w:rPr>
                <w:sz w:val="24"/>
              </w:rPr>
              <w:t>15-19 ani</w:t>
            </w:r>
          </w:p>
        </w:tc>
        <w:tc>
          <w:tcPr>
            <w:tcW w:w="2701" w:type="dxa"/>
          </w:tcPr>
          <w:p>
            <w:pPr>
              <w:pStyle w:val="TableParagraph"/>
              <w:spacing w:line="258" w:lineRule="exact"/>
              <w:ind w:left="870" w:right="861"/>
              <w:jc w:val="center"/>
              <w:rPr>
                <w:sz w:val="24"/>
              </w:rPr>
            </w:pPr>
            <w:r>
              <w:rPr>
                <w:sz w:val="24"/>
              </w:rPr>
              <w:t>87,00 %0</w:t>
            </w:r>
          </w:p>
        </w:tc>
        <w:tc>
          <w:tcPr>
            <w:tcW w:w="2881" w:type="dxa"/>
          </w:tcPr>
          <w:p>
            <w:pPr>
              <w:pStyle w:val="TableParagraph"/>
              <w:spacing w:line="258" w:lineRule="exact"/>
              <w:ind w:left="979"/>
              <w:rPr>
                <w:sz w:val="24"/>
              </w:rPr>
            </w:pPr>
            <w:r>
              <w:rPr>
                <w:sz w:val="24"/>
              </w:rPr>
              <w:t>32,68 %0</w:t>
            </w:r>
          </w:p>
        </w:tc>
      </w:tr>
    </w:tbl>
    <w:p>
      <w:pPr>
        <w:pStyle w:val="BodyText"/>
        <w:spacing w:before="10"/>
        <w:ind w:left="0"/>
        <w:rPr>
          <w:sz w:val="23"/>
        </w:rPr>
      </w:pPr>
    </w:p>
    <w:p>
      <w:pPr>
        <w:pStyle w:val="BodyText"/>
        <w:ind w:left="233" w:right="830"/>
        <w:jc w:val="both"/>
      </w:pPr>
      <w:r>
        <w:rPr/>
        <w:t>Bolile senzoriale (preponderant vizuale), au fost reprezentate de viciile de refractie (miopii, hipermetropii, astigmatism), ratele de prevalenta specifica crescand odata cu varsta, dar si cu procesul de scolarizare, prin accentuarea efortului vizual la elevi, cu moderata scadere la grupa de varsta 15-19 ani.</w:t>
      </w:r>
    </w:p>
    <w:p>
      <w:pPr>
        <w:pStyle w:val="BodyText"/>
        <w:ind w:left="233" w:right="836" w:firstLine="180"/>
        <w:jc w:val="both"/>
      </w:pPr>
      <w:r>
        <w:rPr/>
        <w:t>Afectiunile aparatului locomotor au fost constituite in special din viciile de postura ale coloanei vertebrale, in producerea acestora putand fi incriminati pe langa factorul predispozant genetic, mobilierul scolar ne-ergonomic, neadaptat taliei copilului si regimul de viata sedentar.</w:t>
      </w:r>
    </w:p>
    <w:p>
      <w:pPr>
        <w:pStyle w:val="BodyText"/>
        <w:ind w:left="233" w:right="831" w:firstLine="120"/>
        <w:jc w:val="both"/>
      </w:pPr>
      <w:r>
        <w:rPr/>
        <w:t>Tulburarile neuropsihice cele mai frecvente la copiii din crese, gradinite si ciclul primar au fost: tulburarile de vorbire, tulburarile nevrotice si retardul psihic. La copii din ciclul gimnazial si liceal, au</w:t>
      </w:r>
    </w:p>
    <w:p>
      <w:pPr>
        <w:spacing w:after="0"/>
        <w:jc w:val="both"/>
        <w:sectPr>
          <w:pgSz w:w="11910" w:h="16840"/>
          <w:pgMar w:header="0" w:footer="738" w:top="1360" w:bottom="920" w:left="900" w:right="0"/>
        </w:sectPr>
      </w:pPr>
    </w:p>
    <w:p>
      <w:pPr>
        <w:pStyle w:val="BodyText"/>
        <w:spacing w:before="60"/>
        <w:ind w:left="233" w:right="837"/>
        <w:jc w:val="both"/>
      </w:pPr>
      <w:r>
        <w:rPr/>
        <w:t>fost importante cantitativ tulburarile nevrotice si de comportament, precum si retardul psihic si intelectul de limita.</w:t>
      </w:r>
    </w:p>
    <w:p>
      <w:pPr>
        <w:pStyle w:val="BodyText"/>
        <w:spacing w:before="1"/>
        <w:ind w:left="233" w:right="829" w:firstLine="180"/>
        <w:jc w:val="both"/>
      </w:pPr>
      <w:r>
        <w:rPr/>
        <w:t>Prevalenta HTA juvenila, a ulcerului gastro-duodenal, diabetului zaharat si a spasmofiliilor, afectiuni in a caror etiopatogenie sunt implicate si stresul si suprasolicitarea nervoasa, este superioara la grupa de varsta 15-19 ani (ciclul liceal si</w:t>
      </w:r>
      <w:r>
        <w:rPr>
          <w:spacing w:val="-3"/>
        </w:rPr>
        <w:t> </w:t>
      </w:r>
      <w:r>
        <w:rPr/>
        <w:t>profesional).</w:t>
      </w:r>
    </w:p>
    <w:p>
      <w:pPr>
        <w:pStyle w:val="BodyText"/>
        <w:ind w:left="233" w:right="829" w:firstLine="240"/>
        <w:jc w:val="both"/>
      </w:pPr>
      <w:r>
        <w:rPr/>
        <w:t>Conform datelor de morbiditate, cuprinse in centralizatorul dispensarizarii pentru anul de invatamant 2016-2017, constatam o scadere a prevalentei afectunilor cronice la grupele de copii si tineri cuprinsi in unitatile de</w:t>
      </w:r>
      <w:r>
        <w:rPr>
          <w:spacing w:val="-3"/>
        </w:rPr>
        <w:t> </w:t>
      </w:r>
      <w:r>
        <w:rPr/>
        <w:t>invatamant.</w:t>
      </w:r>
    </w:p>
    <w:p>
      <w:pPr>
        <w:pStyle w:val="BodyText"/>
        <w:ind w:left="0"/>
      </w:pPr>
    </w:p>
    <w:p>
      <w:pPr>
        <w:pStyle w:val="Heading1"/>
        <w:ind w:right="839"/>
        <w:jc w:val="both"/>
        <w:rPr>
          <w:u w:val="none"/>
        </w:rPr>
      </w:pPr>
      <w:r>
        <w:rPr>
          <w:u w:val="thick"/>
        </w:rPr>
        <w:t>Verificarea respectarii legislatiei specifice cu privire la alimentatia in colectivitatile de copii si</w:t>
      </w:r>
      <w:r>
        <w:rPr>
          <w:u w:val="none"/>
        </w:rPr>
        <w:t> </w:t>
      </w:r>
      <w:r>
        <w:rPr>
          <w:u w:val="thick"/>
        </w:rPr>
        <w:t>tineri</w:t>
      </w:r>
    </w:p>
    <w:p>
      <w:pPr>
        <w:pStyle w:val="BodyText"/>
        <w:ind w:left="233" w:right="834"/>
        <w:jc w:val="both"/>
      </w:pPr>
      <w:r>
        <w:rPr>
          <w:i/>
          <w:u w:val="single"/>
        </w:rPr>
        <w:t>Activitate desfasurata </w:t>
      </w:r>
      <w:r>
        <w:rPr>
          <w:b/>
          <w:i/>
          <w:u w:val="single"/>
        </w:rPr>
        <w:t>: </w:t>
      </w:r>
      <w:r>
        <w:rPr/>
        <w:t>centralizarea rezultatelor anchetelor alimentare statistice efectuate de 3 ori pe an, in lunile februarie, mai si octombrie in gradinitele cu program prelungit</w:t>
      </w:r>
    </w:p>
    <w:p>
      <w:pPr>
        <w:pStyle w:val="ListParagraph"/>
        <w:numPr>
          <w:ilvl w:val="0"/>
          <w:numId w:val="8"/>
        </w:numPr>
        <w:tabs>
          <w:tab w:pos="954" w:val="left" w:leader="none"/>
        </w:tabs>
        <w:spacing w:line="240" w:lineRule="auto" w:before="1" w:after="0"/>
        <w:ind w:left="953" w:right="0" w:hanging="361"/>
        <w:jc w:val="both"/>
        <w:rPr>
          <w:sz w:val="24"/>
        </w:rPr>
      </w:pPr>
      <w:r>
        <w:rPr>
          <w:sz w:val="24"/>
          <w:u w:val="single"/>
        </w:rPr>
        <w:t>ancheta alimentara – februarie</w:t>
      </w:r>
      <w:r>
        <w:rPr>
          <w:spacing w:val="-1"/>
          <w:sz w:val="24"/>
          <w:u w:val="single"/>
        </w:rPr>
        <w:t> </w:t>
      </w:r>
      <w:r>
        <w:rPr>
          <w:sz w:val="24"/>
          <w:u w:val="single"/>
        </w:rPr>
        <w:t>2017</w:t>
      </w:r>
    </w:p>
    <w:p>
      <w:pPr>
        <w:pStyle w:val="BodyText"/>
        <w:ind w:left="233" w:right="828"/>
        <w:jc w:val="both"/>
      </w:pPr>
      <w:r>
        <w:rPr/>
        <w:t>A fost luat in calcul un numar de 167 gradinite cu program prelungit pentru ancheta alimentara statistica, totalizand un numar mediu/zi de 22929 prescolari. Meniurile intocmite zilnic au fost variate, cuprinzind alimente din toate categoriile de produse permise, respectandu-se astfel principiile piramidei alimentare, asigurandu-se un echilibru al principiilor nutritive adecvate varstei cat si al activitatilor     prescolarilor.     Legislatia     in     vigoare     a     fost     in     general      respectata.  Ratia hiperglucidica realizata in 6 unitati din cele 167 , a fost depasita prin consum crescut de fructe, zahar rafinat si produse zaharoase, legume, cartofi, produse cerealiere. S-au semnalat in 4 gradinite ratii hipoglucidica ca urmare a unui aport scazut de zahar si produse zaharoase. O gradinita a fost semnalata cu ratie hipocalorica si intr-o gradinita s-a semnalat ratie hipercalorica, fapt explicat prin aportul crescut nu numai al carbohidratilor ci si a grupei de produse lactate, grasimi vegetate si animale. Cresterea aportului proteic s-a realizat printr-un consum crescut de proteine atat de origine animala ( produse lactate, carne si preparate din carne), dar si prin proteine vegetale (fructe si leguminoase proaspete de sezon ). In urma unui consum crescut de lipide animale si chiar vegetale, se explica si ratia hiperlipidica realizata in 11</w:t>
      </w:r>
      <w:r>
        <w:rPr>
          <w:spacing w:val="-1"/>
        </w:rPr>
        <w:t> </w:t>
      </w:r>
      <w:r>
        <w:rPr/>
        <w:t>gradinite.</w:t>
      </w:r>
    </w:p>
    <w:p>
      <w:pPr>
        <w:pStyle w:val="ListParagraph"/>
        <w:numPr>
          <w:ilvl w:val="0"/>
          <w:numId w:val="8"/>
        </w:numPr>
        <w:tabs>
          <w:tab w:pos="954" w:val="left" w:leader="none"/>
        </w:tabs>
        <w:spacing w:line="240" w:lineRule="auto" w:before="0" w:after="0"/>
        <w:ind w:left="953" w:right="0" w:hanging="361"/>
        <w:jc w:val="both"/>
        <w:rPr>
          <w:sz w:val="24"/>
        </w:rPr>
      </w:pPr>
      <w:r>
        <w:rPr>
          <w:sz w:val="24"/>
          <w:u w:val="single"/>
        </w:rPr>
        <w:t>ancheta alimentara – mai</w:t>
      </w:r>
      <w:r>
        <w:rPr>
          <w:spacing w:val="-1"/>
          <w:sz w:val="24"/>
          <w:u w:val="single"/>
        </w:rPr>
        <w:t> </w:t>
      </w:r>
      <w:r>
        <w:rPr>
          <w:sz w:val="24"/>
          <w:u w:val="single"/>
        </w:rPr>
        <w:t>2017</w:t>
      </w:r>
    </w:p>
    <w:p>
      <w:pPr>
        <w:pStyle w:val="BodyText"/>
        <w:spacing w:before="1"/>
        <w:ind w:left="233" w:right="829" w:firstLine="120"/>
        <w:jc w:val="both"/>
      </w:pPr>
      <w:r>
        <w:rPr/>
        <w:t>Ancheta s-a realizat pentru 165 gradinite cu program prelungit, rezultand un numar total mediu/zi de 22450 prescolari.</w:t>
      </w:r>
    </w:p>
    <w:p>
      <w:pPr>
        <w:pStyle w:val="BodyText"/>
        <w:ind w:left="233" w:right="827" w:firstLine="180"/>
        <w:jc w:val="both"/>
      </w:pPr>
      <w:r>
        <w:rPr/>
        <w:t>Ratia hiperglucidica obtinuta in 4 unitati din 165, a fost determinata de consumul usor crescut de cereale, aportul moderat de zahar rafinat si produse zaharoase dar si prin combinatii de fructe. Nu s-a semnalat nici o gradinita cu ratie hipocalorica. Ratia hipercalorica se explica prin aportul crescut atat al carbohidratilor ci si al grupei de produse lactate, grasimi vegetate si animale. Cresterea aportului proteic s-a realizat printr-un consum crescut de proteine atat de origine animala ( produse lactate, carne si preparate din carne), dar si prin proteine vegetale (fructe si leguminoase proaspete de sezon). In urma unui consum relativ crescut de lipide animale si vegetale, se explica si ratia hiperlipidica realizata in 10 gradinite din totalul de 165 unitati prescolare luate in calcul; totodata cele 7 unitati prescolare cu o ratie scazuta de lipide se explica prin consumul scazut de lipide vegetale si animale la gradinitele de stat luate in</w:t>
      </w:r>
      <w:r>
        <w:rPr>
          <w:spacing w:val="-2"/>
        </w:rPr>
        <w:t> </w:t>
      </w:r>
      <w:r>
        <w:rPr/>
        <w:t>calcul.</w:t>
      </w:r>
    </w:p>
    <w:p>
      <w:pPr>
        <w:pStyle w:val="ListParagraph"/>
        <w:numPr>
          <w:ilvl w:val="0"/>
          <w:numId w:val="8"/>
        </w:numPr>
        <w:tabs>
          <w:tab w:pos="954" w:val="left" w:leader="none"/>
        </w:tabs>
        <w:spacing w:line="240" w:lineRule="auto" w:before="0" w:after="0"/>
        <w:ind w:left="953" w:right="0" w:hanging="361"/>
        <w:jc w:val="both"/>
        <w:rPr>
          <w:sz w:val="24"/>
        </w:rPr>
      </w:pPr>
      <w:r>
        <w:rPr>
          <w:sz w:val="24"/>
          <w:u w:val="single"/>
        </w:rPr>
        <w:t>ancheta alimentara – octombrie</w:t>
      </w:r>
      <w:r>
        <w:rPr>
          <w:spacing w:val="-2"/>
          <w:sz w:val="24"/>
          <w:u w:val="single"/>
        </w:rPr>
        <w:t> </w:t>
      </w:r>
      <w:r>
        <w:rPr>
          <w:sz w:val="24"/>
          <w:u w:val="single"/>
        </w:rPr>
        <w:t>2017</w:t>
      </w:r>
    </w:p>
    <w:p>
      <w:pPr>
        <w:pStyle w:val="BodyText"/>
        <w:ind w:left="233" w:right="828" w:firstLine="201"/>
        <w:jc w:val="both"/>
      </w:pPr>
      <w:r>
        <w:rPr/>
        <w:t>Au fost luate in calcul 164 gradinite in program prelungit, numar total mediu/zi de 21.295 prescolari. Ratia hiperglucidica realizata in 4 unitati din 164, procentual 2,43% a fost depasita prin consum usor crescut de cereale, aport moderat de zahar rafinat si produse zaharoase dar si prin combinatii de fructe. Intr-o gradinita s-a semnalat ratie hipocalorica prin aport scazut de lipide de origine vegetala si de cereale. Ratia hipercalorica se explica prin aportul crescut al carbohidratilor si a grupelor de produse lactate, grasimi vegetate si animale. Cresterea aportului proteic s-a realizat printr-un consum crescut  de proteine atat de origine animala ( produse lactate, carne si preparate din carne), dar si prin proteine vegetale (fructe si leguminoase proaspete de sezon ). </w:t>
      </w:r>
      <w:r>
        <w:rPr>
          <w:spacing w:val="-3"/>
        </w:rPr>
        <w:t>In </w:t>
      </w:r>
      <w:r>
        <w:rPr/>
        <w:t>urma unui consum crescut, in limitele intervalului admis de lipide animale si vegetale, se explica si ratia hiperlipidica realizata in 8</w:t>
      </w:r>
      <w:r>
        <w:rPr>
          <w:spacing w:val="4"/>
        </w:rPr>
        <w:t> </w:t>
      </w:r>
      <w:r>
        <w:rPr/>
        <w:t>gradinite</w:t>
      </w:r>
    </w:p>
    <w:p>
      <w:pPr>
        <w:spacing w:after="0"/>
        <w:jc w:val="both"/>
        <w:sectPr>
          <w:pgSz w:w="11910" w:h="16840"/>
          <w:pgMar w:header="0" w:footer="738" w:top="1360" w:bottom="920" w:left="900" w:right="0"/>
        </w:sectPr>
      </w:pPr>
    </w:p>
    <w:p>
      <w:pPr>
        <w:pStyle w:val="BodyText"/>
        <w:spacing w:before="60"/>
        <w:ind w:left="233" w:right="830"/>
        <w:jc w:val="both"/>
      </w:pPr>
      <w:r>
        <w:rPr/>
        <w:t>(4,87%). In cele 4 unitati prescolare cu o ratie scazuta de grasimi, faptul se explica prin consumul scazut de lipide vegetale si animale.</w:t>
      </w:r>
    </w:p>
    <w:p>
      <w:pPr>
        <w:pStyle w:val="BodyText"/>
        <w:spacing w:before="1"/>
        <w:ind w:left="0"/>
      </w:pPr>
    </w:p>
    <w:p>
      <w:pPr>
        <w:pStyle w:val="Heading1"/>
        <w:jc w:val="both"/>
        <w:rPr>
          <w:u w:val="none"/>
        </w:rPr>
      </w:pPr>
      <w:r>
        <w:rPr>
          <w:u w:val="thick"/>
        </w:rPr>
        <w:t>Activitatea comisiei medicale municipale de orientare scolar-profesionala</w:t>
      </w:r>
    </w:p>
    <w:p>
      <w:pPr>
        <w:pStyle w:val="BodyText"/>
        <w:ind w:left="233" w:right="831" w:firstLine="240"/>
        <w:jc w:val="both"/>
      </w:pPr>
      <w:r>
        <w:rPr/>
        <w:t>Comisia medicala municipala de orientare scolar – profesionala, a desfasurat activitati specifice in acest sens, eliberand (in conformitate cu prevederile Regulamentului de organizare si functionare a invatamantului preuniversitar, aprobat prin ordinul ministrului educatiei si cercetarii nr. 5079/19.09.2016 precum si cu cele ale ordinului M.S.F.nr.197/12.03.2003 privind organizarea si functionarea comisiilor medicale de orientare scolar –profesionale), la solicitare urmatoarele documente:</w:t>
      </w:r>
    </w:p>
    <w:p>
      <w:pPr>
        <w:pStyle w:val="ListParagraph"/>
        <w:numPr>
          <w:ilvl w:val="0"/>
          <w:numId w:val="7"/>
        </w:numPr>
        <w:tabs>
          <w:tab w:pos="373" w:val="left" w:leader="none"/>
        </w:tabs>
        <w:spacing w:line="240" w:lineRule="auto" w:before="0" w:after="0"/>
        <w:ind w:left="372" w:right="0" w:hanging="140"/>
        <w:jc w:val="both"/>
        <w:rPr>
          <w:sz w:val="24"/>
        </w:rPr>
      </w:pPr>
      <w:r>
        <w:rPr>
          <w:sz w:val="24"/>
        </w:rPr>
        <w:t>Documente medico-pedagogice de recomandare de transfer:</w:t>
      </w:r>
      <w:r>
        <w:rPr>
          <w:spacing w:val="-2"/>
          <w:sz w:val="24"/>
        </w:rPr>
        <w:t> </w:t>
      </w:r>
      <w:r>
        <w:rPr>
          <w:sz w:val="24"/>
        </w:rPr>
        <w:t>331</w:t>
      </w:r>
    </w:p>
    <w:p>
      <w:pPr>
        <w:pStyle w:val="ListParagraph"/>
        <w:numPr>
          <w:ilvl w:val="0"/>
          <w:numId w:val="7"/>
        </w:numPr>
        <w:tabs>
          <w:tab w:pos="443" w:val="left" w:leader="none"/>
        </w:tabs>
        <w:spacing w:line="240" w:lineRule="auto" w:before="0" w:after="0"/>
        <w:ind w:left="233" w:right="836" w:firstLine="0"/>
        <w:jc w:val="both"/>
        <w:rPr>
          <w:sz w:val="24"/>
        </w:rPr>
      </w:pPr>
      <w:r>
        <w:rPr>
          <w:sz w:val="24"/>
        </w:rPr>
        <w:t>Documente medico-pedagogice de recomandare de scutire, din motive medicale (la elevii din invatamantul obligatoriu cu afectiuni extrem de grave), de frecventa de la cursurile scolare, cu pregatire la domiciliu, sub indrumarea scolii: totala la 19</w:t>
      </w:r>
      <w:r>
        <w:rPr>
          <w:spacing w:val="-6"/>
          <w:sz w:val="24"/>
        </w:rPr>
        <w:t> </w:t>
      </w:r>
      <w:r>
        <w:rPr>
          <w:sz w:val="24"/>
        </w:rPr>
        <w:t>elevi</w:t>
      </w:r>
    </w:p>
    <w:p>
      <w:pPr>
        <w:pStyle w:val="ListParagraph"/>
        <w:numPr>
          <w:ilvl w:val="0"/>
          <w:numId w:val="7"/>
        </w:numPr>
        <w:tabs>
          <w:tab w:pos="373" w:val="left" w:leader="none"/>
        </w:tabs>
        <w:spacing w:line="240" w:lineRule="auto" w:before="1" w:after="0"/>
        <w:ind w:left="372" w:right="0" w:hanging="140"/>
        <w:jc w:val="both"/>
        <w:rPr>
          <w:sz w:val="24"/>
        </w:rPr>
      </w:pPr>
      <w:r>
        <w:rPr>
          <w:sz w:val="24"/>
        </w:rPr>
        <w:t>Documente medico-pedagogice pentru egalizare sanse :</w:t>
      </w:r>
      <w:r>
        <w:rPr>
          <w:spacing w:val="-3"/>
          <w:sz w:val="24"/>
        </w:rPr>
        <w:t> </w:t>
      </w:r>
      <w:r>
        <w:rPr>
          <w:sz w:val="24"/>
        </w:rPr>
        <w:t>164</w:t>
      </w:r>
    </w:p>
    <w:p>
      <w:pPr>
        <w:pStyle w:val="BodyText"/>
        <w:ind w:left="0"/>
      </w:pPr>
    </w:p>
    <w:p>
      <w:pPr>
        <w:pStyle w:val="Heading1"/>
        <w:ind w:right="838"/>
        <w:jc w:val="both"/>
        <w:rPr>
          <w:u w:val="none"/>
        </w:rPr>
      </w:pPr>
      <w:r>
        <w:rPr>
          <w:u w:val="thick"/>
        </w:rPr>
        <w:t>Supravegherea starii de sanatate a copiilor si adolescentilor din colectivitati prin efectuarea</w:t>
      </w:r>
      <w:r>
        <w:rPr>
          <w:u w:val="none"/>
        </w:rPr>
        <w:t> </w:t>
      </w:r>
      <w:r>
        <w:rPr>
          <w:u w:val="thick"/>
        </w:rPr>
        <w:t>triajului epidemiologic dupa vacante.</w:t>
      </w:r>
    </w:p>
    <w:p>
      <w:pPr>
        <w:pStyle w:val="BodyText"/>
        <w:ind w:left="233" w:right="831"/>
        <w:jc w:val="both"/>
      </w:pPr>
      <w:r>
        <w:rPr>
          <w:i/>
          <w:u w:val="single"/>
        </w:rPr>
        <w:t>Activitati desfasurate : </w:t>
      </w:r>
      <w:r>
        <w:rPr/>
        <w:t>organizarea si coordonarea triajului epidemiologic dupa vacantele de iarna (ianuarie 2017), primavara (aprilie 2017) si vara (septembrie 2017), in colectivitatile de copii si tineri din invatamantul de masa si special.</w:t>
      </w:r>
    </w:p>
    <w:p>
      <w:pPr>
        <w:pStyle w:val="BodyText"/>
        <w:ind w:left="324" w:right="3120" w:firstLine="148"/>
        <w:jc w:val="both"/>
      </w:pPr>
      <w:r>
        <w:rPr/>
        <w:t>S-au colectat, verificat, centralizat fisele de triaj epidemiologic din teritoriu. </w:t>
      </w:r>
      <w:r>
        <w:rPr>
          <w:u w:val="single"/>
        </w:rPr>
        <w:t>Ianuarie 2017</w:t>
      </w:r>
      <w:r>
        <w:rPr/>
        <w:t> – au fost examinati 203 112 subiecti, s-au pus in evidenta:</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pediculoza -</w:t>
      </w:r>
      <w:r>
        <w:rPr>
          <w:spacing w:val="-3"/>
          <w:sz w:val="24"/>
        </w:rPr>
        <w:t> </w:t>
      </w:r>
      <w:r>
        <w:rPr>
          <w:sz w:val="24"/>
        </w:rPr>
        <w:t>221</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angine -</w:t>
      </w:r>
      <w:r>
        <w:rPr>
          <w:spacing w:val="-2"/>
          <w:sz w:val="24"/>
        </w:rPr>
        <w:t> </w:t>
      </w:r>
      <w:r>
        <w:rPr>
          <w:sz w:val="24"/>
        </w:rPr>
        <w:t>2212</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varicela -</w:t>
      </w:r>
      <w:r>
        <w:rPr>
          <w:spacing w:val="-2"/>
          <w:sz w:val="24"/>
        </w:rPr>
        <w:t> </w:t>
      </w:r>
      <w:r>
        <w:rPr>
          <w:sz w:val="24"/>
        </w:rPr>
        <w:t>18</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micoza -</w:t>
      </w:r>
      <w:r>
        <w:rPr>
          <w:spacing w:val="-3"/>
          <w:sz w:val="24"/>
        </w:rPr>
        <w:t> </w:t>
      </w:r>
      <w:r>
        <w:rPr>
          <w:sz w:val="24"/>
        </w:rPr>
        <w:t>2</w:t>
      </w:r>
    </w:p>
    <w:p>
      <w:pPr>
        <w:pStyle w:val="BodyText"/>
        <w:ind w:left="324"/>
      </w:pPr>
      <w:r>
        <w:rPr>
          <w:u w:val="single"/>
        </w:rPr>
        <w:t>Aprilie 2017</w:t>
      </w:r>
      <w:r>
        <w:rPr/>
        <w:t> - au fost examinati 210 472 subiecti, s-au pus in evidenta:</w:t>
      </w:r>
    </w:p>
    <w:p>
      <w:pPr>
        <w:pStyle w:val="BodyText"/>
        <w:ind w:left="324"/>
      </w:pPr>
      <w:r>
        <w:rPr/>
        <w:t>-cazuri pediculoza - 148</w:t>
      </w:r>
    </w:p>
    <w:p>
      <w:pPr>
        <w:pStyle w:val="ListParagraph"/>
        <w:numPr>
          <w:ilvl w:val="1"/>
          <w:numId w:val="7"/>
        </w:numPr>
        <w:tabs>
          <w:tab w:pos="464" w:val="left" w:leader="none"/>
        </w:tabs>
        <w:spacing w:line="240" w:lineRule="auto" w:before="1" w:after="0"/>
        <w:ind w:left="463" w:right="0" w:hanging="140"/>
        <w:jc w:val="left"/>
        <w:rPr>
          <w:sz w:val="24"/>
        </w:rPr>
      </w:pPr>
      <w:r>
        <w:rPr>
          <w:sz w:val="24"/>
        </w:rPr>
        <w:t>cazuri angine -</w:t>
      </w:r>
      <w:r>
        <w:rPr>
          <w:spacing w:val="-2"/>
          <w:sz w:val="24"/>
        </w:rPr>
        <w:t> </w:t>
      </w:r>
      <w:r>
        <w:rPr>
          <w:sz w:val="24"/>
        </w:rPr>
        <w:t>1476</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varicela -</w:t>
      </w:r>
      <w:r>
        <w:rPr>
          <w:spacing w:val="-2"/>
          <w:sz w:val="24"/>
        </w:rPr>
        <w:t> </w:t>
      </w:r>
      <w:r>
        <w:rPr>
          <w:sz w:val="24"/>
        </w:rPr>
        <w:t>9</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micoza -</w:t>
      </w:r>
      <w:r>
        <w:rPr>
          <w:spacing w:val="-3"/>
          <w:sz w:val="24"/>
        </w:rPr>
        <w:t> </w:t>
      </w:r>
      <w:r>
        <w:rPr>
          <w:sz w:val="24"/>
        </w:rPr>
        <w:t>10</w:t>
      </w:r>
    </w:p>
    <w:p>
      <w:pPr>
        <w:pStyle w:val="BodyText"/>
        <w:ind w:left="324"/>
      </w:pPr>
      <w:r>
        <w:rPr>
          <w:u w:val="single"/>
        </w:rPr>
        <w:t>Septembrie 2017</w:t>
      </w:r>
      <w:r>
        <w:rPr/>
        <w:t> - au fost examinati 215 726 subiecti, s-au pus in evidenta:</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pediculoza -</w:t>
      </w:r>
      <w:r>
        <w:rPr>
          <w:spacing w:val="-3"/>
          <w:sz w:val="24"/>
        </w:rPr>
        <w:t> </w:t>
      </w:r>
      <w:r>
        <w:rPr>
          <w:sz w:val="24"/>
        </w:rPr>
        <w:t>173</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angine -</w:t>
      </w:r>
      <w:r>
        <w:rPr>
          <w:spacing w:val="-2"/>
          <w:sz w:val="24"/>
        </w:rPr>
        <w:t> </w:t>
      </w:r>
      <w:r>
        <w:rPr>
          <w:sz w:val="24"/>
        </w:rPr>
        <w:t>1603</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micoza -</w:t>
      </w:r>
      <w:r>
        <w:rPr>
          <w:spacing w:val="-3"/>
          <w:sz w:val="24"/>
        </w:rPr>
        <w:t> </w:t>
      </w:r>
      <w:r>
        <w:rPr>
          <w:sz w:val="24"/>
        </w:rPr>
        <w:t>6</w:t>
      </w:r>
    </w:p>
    <w:p>
      <w:pPr>
        <w:pStyle w:val="ListParagraph"/>
        <w:numPr>
          <w:ilvl w:val="1"/>
          <w:numId w:val="7"/>
        </w:numPr>
        <w:tabs>
          <w:tab w:pos="464" w:val="left" w:leader="none"/>
        </w:tabs>
        <w:spacing w:line="240" w:lineRule="auto" w:before="0" w:after="0"/>
        <w:ind w:left="463" w:right="0" w:hanging="140"/>
        <w:jc w:val="left"/>
        <w:rPr>
          <w:sz w:val="24"/>
        </w:rPr>
      </w:pPr>
      <w:r>
        <w:rPr>
          <w:sz w:val="24"/>
        </w:rPr>
        <w:t>cazuri varicela -</w:t>
      </w:r>
      <w:r>
        <w:rPr>
          <w:spacing w:val="-2"/>
          <w:sz w:val="24"/>
        </w:rPr>
        <w:t> </w:t>
      </w:r>
      <w:r>
        <w:rPr>
          <w:sz w:val="24"/>
        </w:rPr>
        <w:t>1</w:t>
      </w:r>
    </w:p>
    <w:p>
      <w:pPr>
        <w:pStyle w:val="BodyText"/>
        <w:ind w:left="0"/>
      </w:pPr>
    </w:p>
    <w:p>
      <w:pPr>
        <w:pStyle w:val="Heading1"/>
        <w:ind w:right="840"/>
        <w:jc w:val="both"/>
        <w:rPr>
          <w:u w:val="none"/>
        </w:rPr>
      </w:pPr>
      <w:r>
        <w:rPr>
          <w:u w:val="thick"/>
        </w:rPr>
        <w:t>Programul national : actiuni prioritare pentru tratamentul pacientilor critici cu infarct</w:t>
      </w:r>
      <w:r>
        <w:rPr>
          <w:u w:val="none"/>
        </w:rPr>
        <w:t> </w:t>
      </w:r>
      <w:r>
        <w:rPr>
          <w:u w:val="thick"/>
        </w:rPr>
        <w:t>miocardic acut (AP-IMA)</w:t>
      </w:r>
    </w:p>
    <w:p>
      <w:pPr>
        <w:spacing w:before="0"/>
        <w:ind w:left="233" w:right="0" w:firstLine="0"/>
        <w:jc w:val="both"/>
        <w:rPr>
          <w:i/>
          <w:sz w:val="24"/>
        </w:rPr>
      </w:pPr>
      <w:r>
        <w:rPr>
          <w:i/>
          <w:sz w:val="24"/>
          <w:u w:val="single"/>
        </w:rPr>
        <w:t>Activitati desfasurate : </w:t>
      </w:r>
    </w:p>
    <w:p>
      <w:pPr>
        <w:pStyle w:val="BodyText"/>
        <w:ind w:left="233" w:right="831"/>
        <w:jc w:val="both"/>
      </w:pPr>
      <w:r>
        <w:rPr/>
        <w:t>-s-au transmis comunicarile M.S.-Serviciul Medicina Urgenta, ce contin repartitia trimestriala a fondurilor bugetare anuale catre unitatile sanitare ce deruleaza cu DSP-MB “Actiunile  prioritare pentru tratamentul pacientilor critici cu infarct miocardic acut (AP-IMA)”.</w:t>
      </w:r>
    </w:p>
    <w:p>
      <w:pPr>
        <w:pStyle w:val="BodyText"/>
        <w:ind w:left="233" w:right="827"/>
        <w:jc w:val="both"/>
      </w:pPr>
      <w:r>
        <w:rPr/>
        <w:t>-au fost verificate documentele de finantare/unitate sanitara din cadrul AP-IMA ( macheta de finantare, cererea de finantare fundamentata, borderoul centralizator, cererea justificativa, copiile facturilor), iar pentru “Stent acoperit cu substante antiproliferative (DES) si Stent metalic (BMS)” cuprinse in </w:t>
      </w:r>
      <w:r>
        <w:rPr>
          <w:i/>
        </w:rPr>
        <w:t>Lista </w:t>
      </w:r>
      <w:r>
        <w:rPr>
          <w:i/>
        </w:rPr>
        <w:t>materialelor sanitare </w:t>
      </w:r>
      <w:r>
        <w:rPr/>
        <w:t>de care beneficiaza bolnavii prin AP-IMA, acestea sunt verificate si insotite obligatoriu de codul de bare al stentului utilizat;</w:t>
      </w:r>
    </w:p>
    <w:p>
      <w:pPr>
        <w:pStyle w:val="BodyText"/>
        <w:spacing w:before="1"/>
        <w:ind w:left="233" w:right="830"/>
        <w:jc w:val="both"/>
      </w:pPr>
      <w:r>
        <w:rPr/>
        <w:t>-s-au intocmit si transmis catre MS machetele centralizate si raportarile specifice (indicatori trimestriali, raport de</w:t>
      </w:r>
      <w:r>
        <w:rPr>
          <w:spacing w:val="-3"/>
        </w:rPr>
        <w:t> </w:t>
      </w:r>
      <w:r>
        <w:rPr/>
        <w:t>activitate).</w:t>
      </w:r>
    </w:p>
    <w:p>
      <w:pPr>
        <w:spacing w:after="0"/>
        <w:jc w:val="both"/>
        <w:sectPr>
          <w:pgSz w:w="11910" w:h="16840"/>
          <w:pgMar w:header="0" w:footer="738" w:top="1360" w:bottom="920" w:left="900" w:right="0"/>
        </w:sectPr>
      </w:pPr>
    </w:p>
    <w:p>
      <w:pPr>
        <w:pStyle w:val="Heading1"/>
        <w:spacing w:before="117"/>
        <w:ind w:right="833"/>
        <w:jc w:val="both"/>
        <w:rPr>
          <w:u w:val="none"/>
        </w:rPr>
      </w:pPr>
      <w:r>
        <w:rPr>
          <w:u w:val="thick"/>
        </w:rPr>
        <w:t>Programul national sanatate mintala –subprogram 2.1 – promovarea sanatatii la locul de munca</w:t>
      </w:r>
      <w:r>
        <w:rPr>
          <w:u w:val="none"/>
        </w:rPr>
        <w:t> </w:t>
      </w:r>
      <w:r>
        <w:rPr>
          <w:u w:val="thick"/>
        </w:rPr>
        <w:t>si subprogram 3.1 – adresat parintilor cu copii autisti</w:t>
      </w:r>
    </w:p>
    <w:p>
      <w:pPr>
        <w:pStyle w:val="BodyText"/>
        <w:ind w:left="233" w:right="831"/>
        <w:jc w:val="both"/>
      </w:pPr>
      <w:r>
        <w:rPr>
          <w:i/>
          <w:u w:val="single"/>
        </w:rPr>
        <w:t>Activitati desfasurate : </w:t>
      </w:r>
      <w:r>
        <w:rPr/>
        <w:t>- s-au verificat documentele de finantare/unitate sanitara ( macheta de finantare, cererea de finantare fundamentata, borderoul centralizator, cererea justificativa, copiile facturilor), au fost centralizate machetele si transmise catre MS raportarile specifice (indicatori trimestriali, raport de activitate).</w:t>
      </w:r>
    </w:p>
    <w:p>
      <w:pPr>
        <w:pStyle w:val="BodyText"/>
        <w:ind w:left="0"/>
      </w:pPr>
    </w:p>
    <w:p>
      <w:pPr>
        <w:pStyle w:val="Heading1"/>
        <w:ind w:right="880"/>
        <w:rPr>
          <w:u w:val="none"/>
        </w:rPr>
      </w:pPr>
      <w:r>
        <w:rPr>
          <w:u w:val="thick"/>
        </w:rPr>
        <w:t>Actiuni prioritare pentru tratamentul endovascular al pacientilor critici cu leziuni vasculare</w:t>
      </w:r>
      <w:r>
        <w:rPr>
          <w:u w:val="none"/>
        </w:rPr>
        <w:t> </w:t>
      </w:r>
      <w:r>
        <w:rPr>
          <w:u w:val="thick"/>
        </w:rPr>
        <w:t>periferice acute</w:t>
      </w:r>
    </w:p>
    <w:p>
      <w:pPr>
        <w:pStyle w:val="BodyText"/>
        <w:ind w:left="233" w:right="880"/>
      </w:pPr>
      <w:r>
        <w:rPr>
          <w:i/>
          <w:u w:val="single"/>
        </w:rPr>
        <w:t>Activitati desfasurate </w:t>
      </w:r>
      <w:r>
        <w:rPr>
          <w:u w:val="single"/>
        </w:rPr>
        <w:t>:</w:t>
      </w:r>
      <w:r>
        <w:rPr/>
        <w:t> actiunea se desfasoara in colaborare cu Spitalul Universitar de Urgenta Militar Central “Dr.Carol Davila”.</w:t>
      </w:r>
    </w:p>
    <w:p>
      <w:pPr>
        <w:pStyle w:val="ListParagraph"/>
        <w:numPr>
          <w:ilvl w:val="0"/>
          <w:numId w:val="7"/>
        </w:numPr>
        <w:tabs>
          <w:tab w:pos="383" w:val="left" w:leader="none"/>
        </w:tabs>
        <w:spacing w:line="240" w:lineRule="auto" w:before="0" w:after="0"/>
        <w:ind w:left="233" w:right="833" w:firstLine="0"/>
        <w:jc w:val="left"/>
        <w:rPr>
          <w:sz w:val="24"/>
        </w:rPr>
      </w:pPr>
      <w:r>
        <w:rPr>
          <w:sz w:val="24"/>
        </w:rPr>
        <w:t>au fost verificate documentele de finantare (macheta de finantare, cererea de finantare fundamentata, borderoul centralizator, cererea justificativa, copiile facturilor), centralizate si transmise catre</w:t>
      </w:r>
      <w:r>
        <w:rPr>
          <w:spacing w:val="-12"/>
          <w:sz w:val="24"/>
        </w:rPr>
        <w:t> </w:t>
      </w:r>
      <w:r>
        <w:rPr>
          <w:sz w:val="24"/>
        </w:rPr>
        <w:t>MS.</w:t>
      </w:r>
    </w:p>
    <w:p>
      <w:pPr>
        <w:pStyle w:val="ListParagraph"/>
        <w:numPr>
          <w:ilvl w:val="0"/>
          <w:numId w:val="9"/>
        </w:numPr>
        <w:tabs>
          <w:tab w:pos="593" w:val="left" w:leader="none"/>
        </w:tabs>
        <w:spacing w:line="240" w:lineRule="auto" w:before="1" w:after="0"/>
        <w:ind w:left="592" w:right="0" w:hanging="360"/>
        <w:jc w:val="left"/>
        <w:rPr>
          <w:sz w:val="24"/>
        </w:rPr>
      </w:pPr>
      <w:r>
        <w:rPr>
          <w:sz w:val="24"/>
        </w:rPr>
        <w:t>u intocmit si transmis catre MS raportarile specifice (indicatori trimestriali, raport de</w:t>
      </w:r>
      <w:r>
        <w:rPr>
          <w:spacing w:val="-8"/>
          <w:sz w:val="24"/>
        </w:rPr>
        <w:t> </w:t>
      </w:r>
      <w:r>
        <w:rPr>
          <w:sz w:val="24"/>
        </w:rPr>
        <w:t>activitate).</w:t>
      </w:r>
    </w:p>
    <w:p>
      <w:pPr>
        <w:pStyle w:val="BodyText"/>
        <w:ind w:left="0"/>
      </w:pPr>
    </w:p>
    <w:p>
      <w:pPr>
        <w:pStyle w:val="Heading1"/>
        <w:jc w:val="both"/>
        <w:rPr>
          <w:u w:val="none"/>
        </w:rPr>
      </w:pPr>
      <w:r>
        <w:rPr>
          <w:u w:val="thick"/>
        </w:rPr>
        <w:t> Evaluarea conditiilor igienico-sanitare</w:t>
      </w:r>
    </w:p>
    <w:p>
      <w:pPr>
        <w:spacing w:before="0"/>
        <w:ind w:left="233" w:right="0" w:firstLine="0"/>
        <w:jc w:val="both"/>
        <w:rPr>
          <w:i/>
          <w:sz w:val="24"/>
        </w:rPr>
      </w:pPr>
      <w:r>
        <w:rPr>
          <w:i/>
          <w:sz w:val="24"/>
          <w:u w:val="single"/>
        </w:rPr>
        <w:t>Activitati desfasurate : </w:t>
      </w:r>
    </w:p>
    <w:p>
      <w:pPr>
        <w:pStyle w:val="ListParagraph"/>
        <w:numPr>
          <w:ilvl w:val="0"/>
          <w:numId w:val="7"/>
        </w:numPr>
        <w:tabs>
          <w:tab w:pos="375" w:val="left" w:leader="none"/>
        </w:tabs>
        <w:spacing w:line="240" w:lineRule="auto" w:before="0" w:after="0"/>
        <w:ind w:left="233" w:right="830" w:firstLine="0"/>
        <w:jc w:val="both"/>
        <w:rPr>
          <w:sz w:val="24"/>
        </w:rPr>
      </w:pPr>
      <w:r>
        <w:rPr>
          <w:sz w:val="24"/>
        </w:rPr>
        <w:t>s-au inregistrat 3748 solicitari (evaluare proiecte pentru eliberarea notificarii asistentei de specialitate, evaluare obiective in vederea eliberarii notificarii de certificarea conformitatii, evaluare obiective in vederea eliberarii autorizatiei sanitare de functionare/viza anuala, consultante, adrese/sesizari</w:t>
      </w:r>
      <w:r>
        <w:rPr>
          <w:spacing w:val="-8"/>
          <w:sz w:val="24"/>
        </w:rPr>
        <w:t> </w:t>
      </w:r>
      <w:r>
        <w:rPr>
          <w:sz w:val="24"/>
        </w:rPr>
        <w:t>)</w:t>
      </w:r>
    </w:p>
    <w:p>
      <w:pPr>
        <w:pStyle w:val="ListParagraph"/>
        <w:numPr>
          <w:ilvl w:val="0"/>
          <w:numId w:val="7"/>
        </w:numPr>
        <w:tabs>
          <w:tab w:pos="373" w:val="left" w:leader="none"/>
        </w:tabs>
        <w:spacing w:line="240" w:lineRule="auto" w:before="0" w:after="0"/>
        <w:ind w:left="233" w:right="1646" w:firstLine="0"/>
        <w:jc w:val="left"/>
        <w:rPr>
          <w:sz w:val="24"/>
        </w:rPr>
      </w:pPr>
      <w:r>
        <w:rPr>
          <w:sz w:val="24"/>
        </w:rPr>
        <w:t>s-au intocmit 71 planuri de monitorizare (control si audit) /calendare recolta - surse proprii de alimentare cu apa</w:t>
      </w:r>
      <w:r>
        <w:rPr>
          <w:spacing w:val="-2"/>
          <w:sz w:val="24"/>
        </w:rPr>
        <w:t> </w:t>
      </w:r>
      <w:r>
        <w:rPr>
          <w:sz w:val="24"/>
        </w:rPr>
        <w:t>potabila</w:t>
      </w:r>
    </w:p>
    <w:p>
      <w:pPr>
        <w:pStyle w:val="ListParagraph"/>
        <w:numPr>
          <w:ilvl w:val="0"/>
          <w:numId w:val="7"/>
        </w:numPr>
        <w:tabs>
          <w:tab w:pos="373" w:val="left" w:leader="none"/>
        </w:tabs>
        <w:spacing w:line="240" w:lineRule="auto" w:before="0" w:after="0"/>
        <w:ind w:left="372" w:right="0" w:hanging="140"/>
        <w:jc w:val="left"/>
        <w:rPr>
          <w:sz w:val="24"/>
        </w:rPr>
      </w:pPr>
      <w:r>
        <w:rPr>
          <w:sz w:val="24"/>
        </w:rPr>
        <w:t>au fost interpretate 235 buletine de analiza apa potabila - surse</w:t>
      </w:r>
      <w:r>
        <w:rPr>
          <w:spacing w:val="-5"/>
          <w:sz w:val="24"/>
        </w:rPr>
        <w:t> </w:t>
      </w:r>
      <w:r>
        <w:rPr>
          <w:sz w:val="24"/>
        </w:rPr>
        <w:t>proprii</w:t>
      </w:r>
    </w:p>
    <w:p>
      <w:pPr>
        <w:pStyle w:val="ListParagraph"/>
        <w:numPr>
          <w:ilvl w:val="0"/>
          <w:numId w:val="7"/>
        </w:numPr>
        <w:tabs>
          <w:tab w:pos="373" w:val="left" w:leader="none"/>
        </w:tabs>
        <w:spacing w:line="240" w:lineRule="auto" w:before="0" w:after="0"/>
        <w:ind w:left="233" w:right="1204" w:firstLine="0"/>
        <w:jc w:val="left"/>
        <w:rPr>
          <w:sz w:val="24"/>
        </w:rPr>
      </w:pPr>
      <w:r>
        <w:rPr>
          <w:sz w:val="24"/>
        </w:rPr>
        <w:t>au fost verificate si avizate 47 Planuri de gestionare a deseurilor provenite din activităti medicale, întocmite de unitătile sanitare cu</w:t>
      </w:r>
      <w:r>
        <w:rPr>
          <w:spacing w:val="-6"/>
          <w:sz w:val="24"/>
        </w:rPr>
        <w:t> </w:t>
      </w:r>
      <w:r>
        <w:rPr>
          <w:sz w:val="24"/>
        </w:rPr>
        <w:t>paturi</w:t>
      </w:r>
    </w:p>
    <w:p>
      <w:pPr>
        <w:pStyle w:val="BodyText"/>
        <w:ind w:left="0"/>
      </w:pPr>
    </w:p>
    <w:p>
      <w:pPr>
        <w:pStyle w:val="Heading1"/>
        <w:rPr>
          <w:u w:val="none"/>
        </w:rPr>
      </w:pPr>
      <w:r>
        <w:rPr>
          <w:u w:val="thick"/>
        </w:rPr>
        <w:t>Alte activitati/actiuni:</w:t>
      </w:r>
    </w:p>
    <w:p>
      <w:pPr>
        <w:pStyle w:val="ListParagraph"/>
        <w:numPr>
          <w:ilvl w:val="0"/>
          <w:numId w:val="7"/>
        </w:numPr>
        <w:tabs>
          <w:tab w:pos="373" w:val="left" w:leader="none"/>
        </w:tabs>
        <w:spacing w:line="240" w:lineRule="auto" w:before="0" w:after="0"/>
        <w:ind w:left="372" w:right="0" w:hanging="140"/>
        <w:jc w:val="left"/>
        <w:rPr>
          <w:sz w:val="24"/>
        </w:rPr>
      </w:pPr>
      <w:r>
        <w:rPr>
          <w:sz w:val="24"/>
        </w:rPr>
        <w:t>participare sedinte acord unic in cadrul Primariei sector</w:t>
      </w:r>
      <w:r>
        <w:rPr>
          <w:spacing w:val="-1"/>
          <w:sz w:val="24"/>
        </w:rPr>
        <w:t> </w:t>
      </w:r>
      <w:r>
        <w:rPr>
          <w:sz w:val="24"/>
        </w:rPr>
        <w:t>6</w:t>
      </w:r>
    </w:p>
    <w:p>
      <w:pPr>
        <w:pStyle w:val="ListParagraph"/>
        <w:numPr>
          <w:ilvl w:val="0"/>
          <w:numId w:val="7"/>
        </w:numPr>
        <w:tabs>
          <w:tab w:pos="423" w:val="left" w:leader="none"/>
        </w:tabs>
        <w:spacing w:line="240" w:lineRule="auto" w:before="0" w:after="0"/>
        <w:ind w:left="233" w:right="840" w:firstLine="0"/>
        <w:jc w:val="left"/>
        <w:rPr>
          <w:sz w:val="24"/>
        </w:rPr>
      </w:pPr>
      <w:r>
        <w:rPr>
          <w:sz w:val="24"/>
        </w:rPr>
        <w:t>participare la sedintele de lucru de la Institutul de Sanatate Publica Bucuresti privind derularea activitatilor cuprinse in Programul National II</w:t>
      </w:r>
    </w:p>
    <w:p>
      <w:pPr>
        <w:pStyle w:val="ListParagraph"/>
        <w:numPr>
          <w:ilvl w:val="0"/>
          <w:numId w:val="7"/>
        </w:numPr>
        <w:tabs>
          <w:tab w:pos="373" w:val="left" w:leader="none"/>
        </w:tabs>
        <w:spacing w:line="240" w:lineRule="auto" w:before="1" w:after="0"/>
        <w:ind w:left="372" w:right="0" w:hanging="140"/>
        <w:jc w:val="left"/>
        <w:rPr>
          <w:sz w:val="24"/>
        </w:rPr>
      </w:pPr>
      <w:r>
        <w:rPr>
          <w:sz w:val="24"/>
        </w:rPr>
        <w:t>participarea la conferinta anuala pentru Sanatate si Mediu a Institutului National de Sanatate</w:t>
      </w:r>
      <w:r>
        <w:rPr>
          <w:spacing w:val="-10"/>
          <w:sz w:val="24"/>
        </w:rPr>
        <w:t> </w:t>
      </w:r>
      <w:r>
        <w:rPr>
          <w:sz w:val="24"/>
        </w:rPr>
        <w:t>Publica.</w:t>
      </w:r>
    </w:p>
    <w:p>
      <w:pPr>
        <w:pStyle w:val="ListParagraph"/>
        <w:numPr>
          <w:ilvl w:val="0"/>
          <w:numId w:val="7"/>
        </w:numPr>
        <w:tabs>
          <w:tab w:pos="411" w:val="left" w:leader="none"/>
        </w:tabs>
        <w:spacing w:line="240" w:lineRule="auto" w:before="0" w:after="0"/>
        <w:ind w:left="233" w:right="839" w:firstLine="0"/>
        <w:jc w:val="both"/>
        <w:rPr>
          <w:sz w:val="24"/>
        </w:rPr>
      </w:pPr>
      <w:r>
        <w:rPr>
          <w:sz w:val="24"/>
        </w:rPr>
        <w:t>participare la sedintele de lucru de la Agentia Regionala de Protectia Mediului , pe probleme de gestionarea deseurilor solide rezultate din activitatea urbana, zgomot citadin, PUZ serctor 6, alte problematici legate de</w:t>
      </w:r>
      <w:r>
        <w:rPr>
          <w:spacing w:val="-2"/>
          <w:sz w:val="24"/>
        </w:rPr>
        <w:t> </w:t>
      </w:r>
      <w:r>
        <w:rPr>
          <w:sz w:val="24"/>
        </w:rPr>
        <w:t>mediu.</w:t>
      </w:r>
    </w:p>
    <w:p>
      <w:pPr>
        <w:pStyle w:val="ListParagraph"/>
        <w:numPr>
          <w:ilvl w:val="0"/>
          <w:numId w:val="7"/>
        </w:numPr>
        <w:tabs>
          <w:tab w:pos="407" w:val="left" w:leader="none"/>
        </w:tabs>
        <w:spacing w:line="240" w:lineRule="auto" w:before="0" w:after="0"/>
        <w:ind w:left="233" w:right="829" w:firstLine="0"/>
        <w:jc w:val="both"/>
        <w:rPr>
          <w:sz w:val="24"/>
        </w:rPr>
      </w:pPr>
      <w:r>
        <w:rPr>
          <w:sz w:val="24"/>
        </w:rPr>
        <w:t>a fost intocmit raportul privind influenta poluarii aerului asupra starii de sanatate a populatiei din municipiul Bucuresti, raport transmis catre APM-MB si</w:t>
      </w:r>
      <w:r>
        <w:rPr>
          <w:spacing w:val="-4"/>
          <w:sz w:val="24"/>
        </w:rPr>
        <w:t> </w:t>
      </w:r>
      <w:r>
        <w:rPr>
          <w:sz w:val="24"/>
        </w:rPr>
        <w:t>INSP-MB</w:t>
      </w:r>
    </w:p>
    <w:p>
      <w:pPr>
        <w:pStyle w:val="ListParagraph"/>
        <w:numPr>
          <w:ilvl w:val="0"/>
          <w:numId w:val="7"/>
        </w:numPr>
        <w:tabs>
          <w:tab w:pos="387" w:val="left" w:leader="none"/>
        </w:tabs>
        <w:spacing w:line="240" w:lineRule="auto" w:before="0" w:after="0"/>
        <w:ind w:left="233" w:right="838" w:firstLine="0"/>
        <w:jc w:val="both"/>
        <w:rPr>
          <w:sz w:val="24"/>
        </w:rPr>
      </w:pPr>
      <w:r>
        <w:rPr>
          <w:sz w:val="24"/>
        </w:rPr>
        <w:t>raportari trimestriale catre APM-MB privind activitatile DSP in cadrul Programului de gestionare a Calitatii</w:t>
      </w:r>
      <w:r>
        <w:rPr>
          <w:spacing w:val="-1"/>
          <w:sz w:val="24"/>
        </w:rPr>
        <w:t> </w:t>
      </w:r>
      <w:r>
        <w:rPr>
          <w:sz w:val="24"/>
        </w:rPr>
        <w:t>Aerului</w:t>
      </w:r>
    </w:p>
    <w:p>
      <w:pPr>
        <w:pStyle w:val="ListParagraph"/>
        <w:numPr>
          <w:ilvl w:val="0"/>
          <w:numId w:val="7"/>
        </w:numPr>
        <w:tabs>
          <w:tab w:pos="373" w:val="left" w:leader="none"/>
        </w:tabs>
        <w:spacing w:line="240" w:lineRule="auto" w:before="0" w:after="0"/>
        <w:ind w:left="372" w:right="0" w:hanging="140"/>
        <w:jc w:val="both"/>
        <w:rPr>
          <w:sz w:val="24"/>
        </w:rPr>
      </w:pPr>
      <w:r>
        <w:rPr>
          <w:sz w:val="24"/>
        </w:rPr>
        <w:t>participare in fiecare zi de joi la sedintele Comisiei de Analiza Tehnica din cadrul</w:t>
      </w:r>
      <w:r>
        <w:rPr>
          <w:spacing w:val="-5"/>
          <w:sz w:val="24"/>
        </w:rPr>
        <w:t> </w:t>
      </w:r>
      <w:r>
        <w:rPr>
          <w:sz w:val="24"/>
        </w:rPr>
        <w:t>APM-MB.</w:t>
      </w:r>
    </w:p>
    <w:p>
      <w:pPr>
        <w:pStyle w:val="ListParagraph"/>
        <w:numPr>
          <w:ilvl w:val="0"/>
          <w:numId w:val="7"/>
        </w:numPr>
        <w:tabs>
          <w:tab w:pos="387" w:val="left" w:leader="none"/>
        </w:tabs>
        <w:spacing w:line="240" w:lineRule="auto" w:before="0" w:after="0"/>
        <w:ind w:left="233" w:right="838" w:firstLine="0"/>
        <w:jc w:val="both"/>
        <w:rPr>
          <w:sz w:val="24"/>
        </w:rPr>
      </w:pPr>
      <w:r>
        <w:rPr>
          <w:sz w:val="24"/>
        </w:rPr>
        <w:t>participarea la sedinte de lucru in cadrul diferitelor comisii (Colegiul Prefectural, Comisia de dialog social, Comisia de etica profesionala, Casa de Asigurari de Sanatate a Municipiului</w:t>
      </w:r>
      <w:r>
        <w:rPr>
          <w:spacing w:val="-12"/>
          <w:sz w:val="24"/>
        </w:rPr>
        <w:t> </w:t>
      </w:r>
      <w:r>
        <w:rPr>
          <w:sz w:val="24"/>
        </w:rPr>
        <w:t>Bucuresti)</w:t>
      </w:r>
    </w:p>
    <w:p>
      <w:pPr>
        <w:pStyle w:val="ListParagraph"/>
        <w:numPr>
          <w:ilvl w:val="0"/>
          <w:numId w:val="7"/>
        </w:numPr>
        <w:tabs>
          <w:tab w:pos="399" w:val="left" w:leader="none"/>
        </w:tabs>
        <w:spacing w:line="240" w:lineRule="auto" w:before="0" w:after="0"/>
        <w:ind w:left="233" w:right="833" w:firstLine="0"/>
        <w:jc w:val="both"/>
        <w:rPr>
          <w:sz w:val="24"/>
        </w:rPr>
      </w:pPr>
      <w:r>
        <w:rPr>
          <w:sz w:val="24"/>
        </w:rPr>
        <w:t>participare la grupurile de lucru privind aprobarea PUZ – urilor discutate in cadrul CAT urilor la APM-MB</w:t>
      </w:r>
    </w:p>
    <w:p>
      <w:pPr>
        <w:pStyle w:val="ListParagraph"/>
        <w:numPr>
          <w:ilvl w:val="0"/>
          <w:numId w:val="7"/>
        </w:numPr>
        <w:tabs>
          <w:tab w:pos="450" w:val="left" w:leader="none"/>
        </w:tabs>
        <w:spacing w:line="240" w:lineRule="auto" w:before="0" w:after="0"/>
        <w:ind w:left="233" w:right="841" w:firstLine="0"/>
        <w:jc w:val="left"/>
        <w:rPr>
          <w:sz w:val="24"/>
        </w:rPr>
      </w:pPr>
      <w:r>
        <w:rPr>
          <w:sz w:val="24"/>
        </w:rPr>
        <w:t>participarea la intrunirile Consiliilor de administratie ale unitatilor sanitare(in care personalul CEFRMVM a fost</w:t>
      </w:r>
      <w:r>
        <w:rPr>
          <w:spacing w:val="-2"/>
          <w:sz w:val="24"/>
        </w:rPr>
        <w:t> </w:t>
      </w:r>
      <w:r>
        <w:rPr>
          <w:sz w:val="24"/>
        </w:rPr>
        <w:t>desemnat)</w:t>
      </w:r>
    </w:p>
    <w:p>
      <w:pPr>
        <w:pStyle w:val="BodyText"/>
        <w:ind w:left="0"/>
      </w:pPr>
    </w:p>
    <w:p>
      <w:pPr>
        <w:spacing w:before="1"/>
        <w:ind w:left="233" w:right="0" w:firstLine="0"/>
        <w:jc w:val="left"/>
        <w:rPr>
          <w:b/>
          <w:i/>
          <w:sz w:val="24"/>
        </w:rPr>
      </w:pPr>
      <w:r>
        <w:rPr>
          <w:b/>
          <w:i/>
          <w:sz w:val="24"/>
          <w:u w:val="thick"/>
        </w:rPr>
        <w:t>Colectiv Medicina Muncii</w:t>
      </w:r>
    </w:p>
    <w:p>
      <w:pPr>
        <w:pStyle w:val="BodyText"/>
        <w:ind w:left="233" w:right="880" w:firstLine="240"/>
      </w:pPr>
      <w:r>
        <w:rPr/>
        <w:t>Colectivul Medicina Muncii/Ocupationala face parte din Compartimentul Evaluare a Factorilor de Risc dim Mediul de Viata si Munca.</w:t>
      </w:r>
    </w:p>
    <w:p>
      <w:pPr>
        <w:spacing w:after="0"/>
        <w:sectPr>
          <w:pgSz w:w="11910" w:h="16840"/>
          <w:pgMar w:header="0" w:footer="738" w:top="1580" w:bottom="920" w:left="900" w:right="0"/>
        </w:sectPr>
      </w:pPr>
    </w:p>
    <w:p>
      <w:pPr>
        <w:pStyle w:val="Heading1"/>
        <w:spacing w:before="60"/>
        <w:jc w:val="both"/>
        <w:rPr>
          <w:u w:val="none"/>
        </w:rPr>
      </w:pPr>
      <w:r>
        <w:rPr>
          <w:u w:val="thick"/>
        </w:rPr>
        <w:t>Evaluarea calitatii mediului de munca:</w:t>
      </w:r>
    </w:p>
    <w:p>
      <w:pPr>
        <w:pStyle w:val="ListParagraph"/>
        <w:numPr>
          <w:ilvl w:val="0"/>
          <w:numId w:val="7"/>
        </w:numPr>
        <w:tabs>
          <w:tab w:pos="383" w:val="left" w:leader="none"/>
        </w:tabs>
        <w:spacing w:line="240" w:lineRule="auto" w:before="1" w:after="0"/>
        <w:ind w:left="233" w:right="833" w:firstLine="0"/>
        <w:jc w:val="both"/>
        <w:rPr>
          <w:sz w:val="24"/>
        </w:rPr>
      </w:pPr>
      <w:r>
        <w:rPr>
          <w:sz w:val="24"/>
        </w:rPr>
        <w:t>Au fost evaluate conditiile de munca ale salariatilor (185 locuri de munca), in prezenta angajatorului si reprezentantului Comitetului de Securitate si Sanatate in</w:t>
      </w:r>
      <w:r>
        <w:rPr>
          <w:spacing w:val="-2"/>
          <w:sz w:val="24"/>
        </w:rPr>
        <w:t> </w:t>
      </w:r>
      <w:r>
        <w:rPr>
          <w:sz w:val="24"/>
        </w:rPr>
        <w:t>munca;</w:t>
      </w:r>
    </w:p>
    <w:p>
      <w:pPr>
        <w:pStyle w:val="ListParagraph"/>
        <w:numPr>
          <w:ilvl w:val="0"/>
          <w:numId w:val="7"/>
        </w:numPr>
        <w:tabs>
          <w:tab w:pos="407" w:val="left" w:leader="none"/>
        </w:tabs>
        <w:spacing w:line="240" w:lineRule="auto" w:before="0" w:after="0"/>
        <w:ind w:left="233" w:right="831" w:firstLine="0"/>
        <w:jc w:val="both"/>
        <w:rPr>
          <w:sz w:val="24"/>
        </w:rPr>
      </w:pPr>
      <w:r>
        <w:rPr>
          <w:sz w:val="24"/>
        </w:rPr>
        <w:t>S-au intocmit 120 de schite pentru identificarea, recoltarea in vederea masurarii nivelului noxelor fizice, chimice, fizico-chimice, biologice, ergonomice, in conformitate cu fisele de identificare a factorilor de risc profesional elaborate de conducerea societatilor (H.G. 355/2007 cu completarile ulterioare);</w:t>
      </w:r>
    </w:p>
    <w:p>
      <w:pPr>
        <w:pStyle w:val="ListParagraph"/>
        <w:numPr>
          <w:ilvl w:val="0"/>
          <w:numId w:val="7"/>
        </w:numPr>
        <w:tabs>
          <w:tab w:pos="404" w:val="left" w:leader="none"/>
        </w:tabs>
        <w:spacing w:line="240" w:lineRule="auto" w:before="0" w:after="0"/>
        <w:ind w:left="233" w:right="829" w:firstLine="0"/>
        <w:jc w:val="both"/>
        <w:rPr>
          <w:sz w:val="24"/>
        </w:rPr>
      </w:pPr>
      <w:r>
        <w:rPr>
          <w:sz w:val="24"/>
        </w:rPr>
        <w:t>A fost acordata consultanta la locul de munca privind masurile de securitate si sanatate in munca pentru angajati, amenajarea ergonomica a locului de</w:t>
      </w:r>
      <w:r>
        <w:rPr>
          <w:spacing w:val="-3"/>
          <w:sz w:val="24"/>
        </w:rPr>
        <w:t> </w:t>
      </w:r>
      <w:r>
        <w:rPr>
          <w:sz w:val="24"/>
        </w:rPr>
        <w:t>munca</w:t>
      </w:r>
    </w:p>
    <w:p>
      <w:pPr>
        <w:pStyle w:val="ListParagraph"/>
        <w:numPr>
          <w:ilvl w:val="0"/>
          <w:numId w:val="7"/>
        </w:numPr>
        <w:tabs>
          <w:tab w:pos="445" w:val="left" w:leader="none"/>
        </w:tabs>
        <w:spacing w:line="240" w:lineRule="auto" w:before="0" w:after="0"/>
        <w:ind w:left="233" w:right="831" w:firstLine="0"/>
        <w:jc w:val="both"/>
        <w:rPr>
          <w:sz w:val="24"/>
        </w:rPr>
      </w:pPr>
      <w:r>
        <w:rPr>
          <w:sz w:val="24"/>
        </w:rPr>
        <w:t>Au fost elaborate 185 Buletine de determinare prin expertizare prin care se evalueaza riscul profesional.</w:t>
      </w:r>
    </w:p>
    <w:p>
      <w:pPr>
        <w:pStyle w:val="BodyText"/>
        <w:ind w:left="0"/>
      </w:pPr>
    </w:p>
    <w:p>
      <w:pPr>
        <w:pStyle w:val="Heading2"/>
        <w:ind w:left="293"/>
        <w:jc w:val="both"/>
        <w:rPr>
          <w:i w:val="0"/>
        </w:rPr>
      </w:pPr>
      <w:r>
        <w:rPr>
          <w:i/>
        </w:rPr>
        <w:t>Evaluarea conditiilor de munca a salariatelor gravide si a salariatelor care alapteaza</w:t>
      </w:r>
      <w:r>
        <w:rPr>
          <w:i w:val="0"/>
          <w:u w:val="thick"/>
        </w:rPr>
        <w:t>:</w:t>
      </w:r>
    </w:p>
    <w:p>
      <w:pPr>
        <w:pStyle w:val="ListParagraph"/>
        <w:numPr>
          <w:ilvl w:val="0"/>
          <w:numId w:val="7"/>
        </w:numPr>
        <w:tabs>
          <w:tab w:pos="414" w:val="left" w:leader="none"/>
        </w:tabs>
        <w:spacing w:line="240" w:lineRule="auto" w:before="1" w:after="0"/>
        <w:ind w:left="233" w:right="832" w:firstLine="0"/>
        <w:jc w:val="both"/>
        <w:rPr>
          <w:sz w:val="24"/>
        </w:rPr>
      </w:pPr>
      <w:r>
        <w:rPr>
          <w:sz w:val="24"/>
        </w:rPr>
        <w:t>Au fost inregistrate si analizate 1503 dosare de salariate gravide si care alapteaza, din care: 131 gravide prezentau risc maternal, 174 gravide au primit program redus de lucru si 19 schimbarea locului de munca, in urma raportului intocmit de Comitetul S.S.M. din unitatile</w:t>
      </w:r>
      <w:r>
        <w:rPr>
          <w:spacing w:val="-5"/>
          <w:sz w:val="24"/>
        </w:rPr>
        <w:t> </w:t>
      </w:r>
      <w:r>
        <w:rPr>
          <w:sz w:val="24"/>
        </w:rPr>
        <w:t>respective.</w:t>
      </w:r>
    </w:p>
    <w:p>
      <w:pPr>
        <w:pStyle w:val="ListParagraph"/>
        <w:numPr>
          <w:ilvl w:val="0"/>
          <w:numId w:val="7"/>
        </w:numPr>
        <w:tabs>
          <w:tab w:pos="380" w:val="left" w:leader="none"/>
        </w:tabs>
        <w:spacing w:line="240" w:lineRule="auto" w:before="0" w:after="0"/>
        <w:ind w:left="233" w:right="835" w:firstLine="0"/>
        <w:jc w:val="both"/>
        <w:rPr>
          <w:sz w:val="24"/>
        </w:rPr>
      </w:pPr>
      <w:r>
        <w:rPr>
          <w:sz w:val="24"/>
        </w:rPr>
        <w:t>S-a intocmit registrul de evidenta a salariatelor gravide si a salariatelor care alapteaza din Municipiul Bucuresti.</w:t>
      </w:r>
    </w:p>
    <w:p>
      <w:pPr>
        <w:pStyle w:val="BodyText"/>
        <w:ind w:left="0"/>
      </w:pPr>
    </w:p>
    <w:p>
      <w:pPr>
        <w:pStyle w:val="Heading2"/>
        <w:ind w:left="293" w:right="880"/>
      </w:pPr>
      <w:r>
        <w:rPr>
          <w:i/>
        </w:rPr>
        <w:t>Evaluarea conditiilor de munca la locurile incadrate in conditii deosebite de munca conform H.G. </w:t>
      </w:r>
      <w:r>
        <w:rPr/>
        <w:t>261/2001 cu completarile ulterioare:</w:t>
      </w:r>
    </w:p>
    <w:p>
      <w:pPr>
        <w:pStyle w:val="ListParagraph"/>
        <w:numPr>
          <w:ilvl w:val="0"/>
          <w:numId w:val="7"/>
        </w:numPr>
        <w:tabs>
          <w:tab w:pos="433" w:val="left" w:leader="none"/>
        </w:tabs>
        <w:spacing w:line="240" w:lineRule="auto" w:before="0" w:after="0"/>
        <w:ind w:left="233" w:right="834" w:firstLine="0"/>
        <w:jc w:val="left"/>
        <w:rPr>
          <w:sz w:val="24"/>
        </w:rPr>
      </w:pPr>
      <w:r>
        <w:rPr>
          <w:sz w:val="24"/>
        </w:rPr>
        <w:t>S-au efectuat evaluari la locurile de munca impreuna cu inspectorul din cadrul Inspectoratului Teritorial de munca si a conducatorului unitatii, la solicitarea</w:t>
      </w:r>
      <w:r>
        <w:rPr>
          <w:spacing w:val="-5"/>
          <w:sz w:val="24"/>
        </w:rPr>
        <w:t> </w:t>
      </w:r>
      <w:r>
        <w:rPr>
          <w:sz w:val="24"/>
        </w:rPr>
        <w:t>acestuia;</w:t>
      </w:r>
    </w:p>
    <w:p>
      <w:pPr>
        <w:pStyle w:val="ListParagraph"/>
        <w:numPr>
          <w:ilvl w:val="0"/>
          <w:numId w:val="7"/>
        </w:numPr>
        <w:tabs>
          <w:tab w:pos="383" w:val="left" w:leader="none"/>
        </w:tabs>
        <w:spacing w:line="240" w:lineRule="auto" w:before="0" w:after="0"/>
        <w:ind w:left="233" w:right="830" w:firstLine="0"/>
        <w:jc w:val="left"/>
        <w:rPr>
          <w:sz w:val="24"/>
        </w:rPr>
      </w:pPr>
      <w:r>
        <w:rPr>
          <w:sz w:val="24"/>
        </w:rPr>
        <w:t>Au fost intocmite schitele pentru identificarea, recoltarea, masurarii nivelului noxelor, fizice , fizico- chimice, chimice si biologice,</w:t>
      </w:r>
      <w:r>
        <w:rPr>
          <w:spacing w:val="-3"/>
          <w:sz w:val="24"/>
        </w:rPr>
        <w:t> </w:t>
      </w:r>
      <w:r>
        <w:rPr>
          <w:sz w:val="24"/>
        </w:rPr>
        <w:t>ergonomice;</w:t>
      </w:r>
    </w:p>
    <w:p>
      <w:pPr>
        <w:pStyle w:val="ListParagraph"/>
        <w:numPr>
          <w:ilvl w:val="0"/>
          <w:numId w:val="7"/>
        </w:numPr>
        <w:tabs>
          <w:tab w:pos="395" w:val="left" w:leader="none"/>
        </w:tabs>
        <w:spacing w:line="240" w:lineRule="auto" w:before="0" w:after="0"/>
        <w:ind w:left="233" w:right="830" w:firstLine="0"/>
        <w:jc w:val="left"/>
        <w:rPr>
          <w:sz w:val="24"/>
        </w:rPr>
      </w:pPr>
      <w:r>
        <w:rPr>
          <w:sz w:val="24"/>
        </w:rPr>
        <w:t>S-au elaborarat buletine de determinare prin expertizare prin care s-a reevaluat riscul profesional si impactul factorilor de risc asupra starii de sanatate a</w:t>
      </w:r>
      <w:r>
        <w:rPr>
          <w:spacing w:val="-6"/>
          <w:sz w:val="24"/>
        </w:rPr>
        <w:t> </w:t>
      </w:r>
      <w:r>
        <w:rPr>
          <w:sz w:val="24"/>
        </w:rPr>
        <w:t>salariatilor.</w:t>
      </w:r>
    </w:p>
    <w:p>
      <w:pPr>
        <w:pStyle w:val="BodyText"/>
        <w:ind w:left="0"/>
      </w:pPr>
    </w:p>
    <w:p>
      <w:pPr>
        <w:pStyle w:val="Heading2"/>
        <w:ind w:left="293" w:right="833"/>
        <w:jc w:val="both"/>
      </w:pPr>
      <w:r>
        <w:rPr>
          <w:i/>
        </w:rPr>
        <w:t>Evaluarea conditiilor de munca incadrate in conditii speciale (conform legii pensiilor cu </w:t>
      </w:r>
      <w:r>
        <w:rPr/>
        <w:t>completarile ulterioare):</w:t>
      </w:r>
    </w:p>
    <w:p>
      <w:pPr>
        <w:pStyle w:val="ListParagraph"/>
        <w:numPr>
          <w:ilvl w:val="0"/>
          <w:numId w:val="7"/>
        </w:numPr>
        <w:tabs>
          <w:tab w:pos="375" w:val="left" w:leader="none"/>
        </w:tabs>
        <w:spacing w:line="240" w:lineRule="auto" w:before="1" w:after="0"/>
        <w:ind w:left="233" w:right="831" w:firstLine="0"/>
        <w:jc w:val="both"/>
        <w:rPr>
          <w:sz w:val="24"/>
        </w:rPr>
      </w:pPr>
      <w:r>
        <w:rPr>
          <w:sz w:val="24"/>
        </w:rPr>
        <w:t>S-a evaluat 1 loc de munca impreuna cu inspectorul din cadrul Inspectoratului Teritorial de munca, la solicitarea unitatii, pentru prelungirea ulterioara a avizului de incadrare in conditii speciale de munca de Inspectia Muncii din Ministerul</w:t>
      </w:r>
      <w:r>
        <w:rPr>
          <w:spacing w:val="-1"/>
          <w:sz w:val="24"/>
        </w:rPr>
        <w:t> </w:t>
      </w:r>
      <w:r>
        <w:rPr>
          <w:sz w:val="24"/>
        </w:rPr>
        <w:t>Muncii.</w:t>
      </w:r>
    </w:p>
    <w:p>
      <w:pPr>
        <w:pStyle w:val="ListParagraph"/>
        <w:numPr>
          <w:ilvl w:val="0"/>
          <w:numId w:val="7"/>
        </w:numPr>
        <w:tabs>
          <w:tab w:pos="407" w:val="left" w:leader="none"/>
        </w:tabs>
        <w:spacing w:line="240" w:lineRule="auto" w:before="0" w:after="0"/>
        <w:ind w:left="233" w:right="827" w:firstLine="0"/>
        <w:jc w:val="both"/>
        <w:rPr>
          <w:sz w:val="24"/>
        </w:rPr>
      </w:pPr>
      <w:r>
        <w:rPr>
          <w:sz w:val="24"/>
        </w:rPr>
        <w:t>A fost intocmita schita pentru identificarea, recoltarea, masurarii nivelului noxelor, fizice , fizico- chimice, chimice si biologice,</w:t>
      </w:r>
      <w:r>
        <w:rPr>
          <w:spacing w:val="-3"/>
          <w:sz w:val="24"/>
        </w:rPr>
        <w:t> </w:t>
      </w:r>
      <w:r>
        <w:rPr>
          <w:sz w:val="24"/>
        </w:rPr>
        <w:t>ergonomice;</w:t>
      </w:r>
    </w:p>
    <w:p>
      <w:pPr>
        <w:pStyle w:val="ListParagraph"/>
        <w:numPr>
          <w:ilvl w:val="0"/>
          <w:numId w:val="7"/>
        </w:numPr>
        <w:tabs>
          <w:tab w:pos="387" w:val="left" w:leader="none"/>
        </w:tabs>
        <w:spacing w:line="240" w:lineRule="auto" w:before="0" w:after="0"/>
        <w:ind w:left="233" w:right="831" w:firstLine="0"/>
        <w:jc w:val="both"/>
        <w:rPr>
          <w:sz w:val="24"/>
        </w:rPr>
      </w:pPr>
      <w:r>
        <w:rPr>
          <w:sz w:val="24"/>
        </w:rPr>
        <w:t>S-a elaborarat un buletin de determinare prin expertizare prin care s-a reevaluat riscul profesional si impactul factorilor de risc asupra starii de sanatate a</w:t>
      </w:r>
      <w:r>
        <w:rPr>
          <w:spacing w:val="-6"/>
          <w:sz w:val="24"/>
        </w:rPr>
        <w:t> </w:t>
      </w:r>
      <w:r>
        <w:rPr>
          <w:sz w:val="24"/>
        </w:rPr>
        <w:t>salariatilor.</w:t>
      </w:r>
    </w:p>
    <w:p>
      <w:pPr>
        <w:pStyle w:val="BodyText"/>
        <w:ind w:left="0"/>
      </w:pPr>
    </w:p>
    <w:p>
      <w:pPr>
        <w:pStyle w:val="Heading2"/>
        <w:ind w:left="293" w:right="880"/>
      </w:pPr>
      <w:r>
        <w:rPr>
          <w:i/>
        </w:rPr>
        <w:t>Evaluarea conditiilor de munca a personalului platit din fonduri publice pentru acordarea </w:t>
      </w:r>
      <w:r>
        <w:rPr/>
        <w:t>sporurilor salariale conform Legii 153/2017</w:t>
      </w:r>
    </w:p>
    <w:p>
      <w:pPr>
        <w:pStyle w:val="ListParagraph"/>
        <w:numPr>
          <w:ilvl w:val="0"/>
          <w:numId w:val="7"/>
        </w:numPr>
        <w:tabs>
          <w:tab w:pos="404" w:val="left" w:leader="none"/>
        </w:tabs>
        <w:spacing w:line="240" w:lineRule="auto" w:before="0" w:after="0"/>
        <w:ind w:left="233" w:right="834" w:firstLine="0"/>
        <w:jc w:val="left"/>
        <w:rPr>
          <w:sz w:val="24"/>
        </w:rPr>
      </w:pPr>
      <w:r>
        <w:rPr>
          <w:sz w:val="24"/>
        </w:rPr>
        <w:t>S-au evaluat 185 locuri de munca impreuna cu inspectorul din cadrul Inspectoratului Teritorial de munca si a conducatorului unitatii, la solicitarea</w:t>
      </w:r>
      <w:r>
        <w:rPr>
          <w:spacing w:val="-5"/>
          <w:sz w:val="24"/>
        </w:rPr>
        <w:t> </w:t>
      </w:r>
      <w:r>
        <w:rPr>
          <w:sz w:val="24"/>
        </w:rPr>
        <w:t>acestuia</w:t>
      </w:r>
    </w:p>
    <w:p>
      <w:pPr>
        <w:pStyle w:val="ListParagraph"/>
        <w:numPr>
          <w:ilvl w:val="0"/>
          <w:numId w:val="7"/>
        </w:numPr>
        <w:tabs>
          <w:tab w:pos="383" w:val="left" w:leader="none"/>
        </w:tabs>
        <w:spacing w:line="240" w:lineRule="auto" w:before="0" w:after="0"/>
        <w:ind w:left="233" w:right="830" w:firstLine="0"/>
        <w:jc w:val="left"/>
        <w:rPr>
          <w:sz w:val="24"/>
        </w:rPr>
      </w:pPr>
      <w:r>
        <w:rPr>
          <w:sz w:val="24"/>
        </w:rPr>
        <w:t>Au fost intocmite schitele pentru identificarea, recoltarea, masurarii nivelului noxelor, fizice , fizico- chimice, chimice si biologice,</w:t>
      </w:r>
      <w:r>
        <w:rPr>
          <w:spacing w:val="-3"/>
          <w:sz w:val="24"/>
        </w:rPr>
        <w:t> </w:t>
      </w:r>
      <w:r>
        <w:rPr>
          <w:sz w:val="24"/>
        </w:rPr>
        <w:t>ergonomice;</w:t>
      </w:r>
    </w:p>
    <w:p>
      <w:pPr>
        <w:pStyle w:val="ListParagraph"/>
        <w:numPr>
          <w:ilvl w:val="0"/>
          <w:numId w:val="7"/>
        </w:numPr>
        <w:tabs>
          <w:tab w:pos="383" w:val="left" w:leader="none"/>
        </w:tabs>
        <w:spacing w:line="240" w:lineRule="auto" w:before="0" w:after="0"/>
        <w:ind w:left="233" w:right="831" w:firstLine="0"/>
        <w:jc w:val="left"/>
        <w:rPr>
          <w:sz w:val="24"/>
        </w:rPr>
      </w:pPr>
      <w:r>
        <w:rPr>
          <w:sz w:val="24"/>
        </w:rPr>
        <w:t>S-au elaborarat buletinele de determinare prin expertizare prin care s-a reevaluat riscul profesional si impactul factorilor de risc asupra starii de sanatate a</w:t>
      </w:r>
      <w:r>
        <w:rPr>
          <w:spacing w:val="-6"/>
          <w:sz w:val="24"/>
        </w:rPr>
        <w:t> </w:t>
      </w:r>
      <w:r>
        <w:rPr>
          <w:sz w:val="24"/>
        </w:rPr>
        <w:t>salariatilor.</w:t>
      </w:r>
    </w:p>
    <w:p>
      <w:pPr>
        <w:pStyle w:val="BodyText"/>
        <w:ind w:left="0"/>
      </w:pPr>
    </w:p>
    <w:p>
      <w:pPr>
        <w:pStyle w:val="Heading1"/>
        <w:spacing w:before="1"/>
        <w:rPr>
          <w:u w:val="none"/>
        </w:rPr>
      </w:pPr>
      <w:r>
        <w:rPr>
          <w:u w:val="thick"/>
        </w:rPr>
        <w:t>Supravegherea starii de sanatate a personalului expus profesional:</w:t>
      </w:r>
    </w:p>
    <w:p>
      <w:pPr>
        <w:pStyle w:val="BodyText"/>
        <w:spacing w:before="2"/>
        <w:ind w:left="0"/>
        <w:rPr>
          <w:b/>
          <w:sz w:val="16"/>
        </w:rPr>
      </w:pPr>
    </w:p>
    <w:p>
      <w:pPr>
        <w:pStyle w:val="Heading2"/>
        <w:spacing w:before="89"/>
        <w:ind w:right="880"/>
      </w:pPr>
      <w:r>
        <w:rPr>
          <w:i/>
        </w:rPr>
        <w:t>Evaluarea starii de sanatate a salariatilor declarati “Apt conditionat” si “Inapt” pentru locul de </w:t>
      </w:r>
      <w:r>
        <w:rPr/>
        <w:t>munca:</w:t>
      </w:r>
    </w:p>
    <w:p>
      <w:pPr>
        <w:spacing w:after="0"/>
        <w:sectPr>
          <w:pgSz w:w="11910" w:h="16840"/>
          <w:pgMar w:header="0" w:footer="738" w:top="1360" w:bottom="920" w:left="900" w:right="0"/>
        </w:sectPr>
      </w:pPr>
    </w:p>
    <w:p>
      <w:pPr>
        <w:pStyle w:val="ListParagraph"/>
        <w:numPr>
          <w:ilvl w:val="0"/>
          <w:numId w:val="7"/>
        </w:numPr>
        <w:tabs>
          <w:tab w:pos="395" w:val="left" w:leader="none"/>
        </w:tabs>
        <w:spacing w:line="240" w:lineRule="auto" w:before="60" w:after="0"/>
        <w:ind w:left="233" w:right="827" w:firstLine="0"/>
        <w:jc w:val="both"/>
        <w:rPr>
          <w:sz w:val="24"/>
        </w:rPr>
      </w:pPr>
      <w:r>
        <w:rPr>
          <w:sz w:val="24"/>
        </w:rPr>
        <w:t>S-au analizat documentele medicale si fisa de aptitudine din cele 4 dosare de contestatie, depuse la DSPMB, de catre comisia desemnata</w:t>
      </w:r>
      <w:r>
        <w:rPr>
          <w:spacing w:val="-3"/>
          <w:sz w:val="24"/>
        </w:rPr>
        <w:t> </w:t>
      </w:r>
      <w:r>
        <w:rPr>
          <w:sz w:val="24"/>
        </w:rPr>
        <w:t>;</w:t>
      </w:r>
    </w:p>
    <w:p>
      <w:pPr>
        <w:pStyle w:val="BodyText"/>
        <w:spacing w:before="1"/>
        <w:ind w:left="0"/>
      </w:pPr>
    </w:p>
    <w:p>
      <w:pPr>
        <w:pStyle w:val="Heading2"/>
        <w:jc w:val="both"/>
        <w:rPr>
          <w:i/>
        </w:rPr>
      </w:pPr>
      <w:r>
        <w:rPr>
          <w:i/>
        </w:rPr>
        <w:t>Evaluarea starii de sanatate a personalului expus la produse biologice:</w:t>
      </w:r>
    </w:p>
    <w:p>
      <w:pPr>
        <w:pStyle w:val="ListParagraph"/>
        <w:numPr>
          <w:ilvl w:val="0"/>
          <w:numId w:val="7"/>
        </w:numPr>
        <w:tabs>
          <w:tab w:pos="404" w:val="left" w:leader="none"/>
        </w:tabs>
        <w:spacing w:line="240" w:lineRule="auto" w:before="0" w:after="0"/>
        <w:ind w:left="233" w:right="834" w:firstLine="0"/>
        <w:jc w:val="both"/>
        <w:rPr>
          <w:sz w:val="24"/>
        </w:rPr>
      </w:pPr>
      <w:r>
        <w:rPr>
          <w:sz w:val="24"/>
        </w:rPr>
        <w:t>Au fost analizate 30 de “Fise de Supraveghere Postexpunere la produse Biologice” a personalului medical expus accidental, primate de la unitatile sanitare. In cazul imbolnavirii se cerceteaza si se declara ca boala profesionala, boala transmisibila sau infectia</w:t>
      </w:r>
      <w:r>
        <w:rPr>
          <w:spacing w:val="-3"/>
          <w:sz w:val="24"/>
        </w:rPr>
        <w:t> </w:t>
      </w:r>
      <w:r>
        <w:rPr>
          <w:sz w:val="24"/>
        </w:rPr>
        <w:t>nozocomiala.</w:t>
      </w:r>
    </w:p>
    <w:p>
      <w:pPr>
        <w:pStyle w:val="BodyText"/>
        <w:spacing w:before="2"/>
        <w:ind w:left="0"/>
      </w:pPr>
    </w:p>
    <w:p>
      <w:pPr>
        <w:pStyle w:val="Heading2"/>
        <w:spacing w:line="277" w:lineRule="exact"/>
        <w:jc w:val="both"/>
        <w:rPr>
          <w:rFonts w:ascii="Calibri"/>
          <w:b w:val="0"/>
          <w:i w:val="0"/>
          <w:sz w:val="20"/>
        </w:rPr>
      </w:pPr>
      <w:r>
        <w:rPr>
          <w:i/>
        </w:rPr>
        <w:t>Evaluarea starii de sanatate a personalului expus la riscuri de imbolnavire profesionala</w:t>
      </w:r>
      <w:r>
        <w:rPr>
          <w:rFonts w:ascii="Calibri"/>
          <w:b w:val="0"/>
          <w:i w:val="0"/>
          <w:sz w:val="20"/>
        </w:rPr>
        <w:t>:</w:t>
      </w:r>
    </w:p>
    <w:p>
      <w:pPr>
        <w:pStyle w:val="ListParagraph"/>
        <w:numPr>
          <w:ilvl w:val="0"/>
          <w:numId w:val="7"/>
        </w:numPr>
        <w:tabs>
          <w:tab w:pos="378" w:val="left" w:leader="none"/>
        </w:tabs>
        <w:spacing w:line="240" w:lineRule="auto" w:before="0" w:after="0"/>
        <w:ind w:left="233" w:right="831" w:firstLine="0"/>
        <w:jc w:val="both"/>
        <w:rPr>
          <w:sz w:val="24"/>
        </w:rPr>
      </w:pPr>
      <w:r>
        <w:rPr>
          <w:sz w:val="24"/>
        </w:rPr>
        <w:t>Au fost evaluate 24 dosare privind suspiciuni de afectiuni profesionale (buletine de analiza a noxelor, fisa de identificare a factorilor de risc, fisa postului, adeverinta de salariat, fotocopia dosarului medical). Au fost confirmate 44 boli profesionale si a fost completata, pentru fiecare caz, Fisa BP 2 de declarare.</w:t>
      </w:r>
    </w:p>
    <w:p>
      <w:pPr>
        <w:pStyle w:val="ListParagraph"/>
        <w:numPr>
          <w:ilvl w:val="0"/>
          <w:numId w:val="7"/>
        </w:numPr>
        <w:tabs>
          <w:tab w:pos="387" w:val="left" w:leader="none"/>
        </w:tabs>
        <w:spacing w:line="240" w:lineRule="auto" w:before="0" w:after="0"/>
        <w:ind w:left="233" w:right="831" w:firstLine="0"/>
        <w:jc w:val="both"/>
        <w:rPr>
          <w:sz w:val="24"/>
        </w:rPr>
      </w:pPr>
      <w:r>
        <w:rPr>
          <w:sz w:val="24"/>
        </w:rPr>
        <w:t>A fost realizata baza de date a registrului de boli profesionale la nivel teritorial si au fost transmise lunar borderourile cu bolile profesionale declarate si a fiselor BP 2 catre partenerii</w:t>
      </w:r>
      <w:r>
        <w:rPr>
          <w:spacing w:val="25"/>
          <w:sz w:val="24"/>
        </w:rPr>
        <w:t> </w:t>
      </w:r>
      <w:r>
        <w:rPr>
          <w:sz w:val="24"/>
        </w:rPr>
        <w:t>institutionali conform prevederilor legale (Casa de Pensii a Municipiului Bucuresti – Serviciul asigurari accidente de munca si boli profesionale, Clinica de Medicina Muncii, Institutul National de Sanatate Publica Bucuresti);</w:t>
      </w:r>
    </w:p>
    <w:p>
      <w:pPr>
        <w:pStyle w:val="ListParagraph"/>
        <w:numPr>
          <w:ilvl w:val="0"/>
          <w:numId w:val="7"/>
        </w:numPr>
        <w:tabs>
          <w:tab w:pos="390" w:val="left" w:leader="none"/>
        </w:tabs>
        <w:spacing w:line="240" w:lineRule="auto" w:before="0" w:after="0"/>
        <w:ind w:left="233" w:right="834" w:firstLine="0"/>
        <w:jc w:val="both"/>
        <w:rPr>
          <w:sz w:val="24"/>
        </w:rPr>
      </w:pPr>
      <w:r>
        <w:rPr>
          <w:sz w:val="24"/>
        </w:rPr>
        <w:t>Au fost analizate si vizate 135 de certificate medicale de boala profesionala, cu un total de 1729 de zile cu ITM.</w:t>
      </w:r>
    </w:p>
    <w:p>
      <w:pPr>
        <w:pStyle w:val="BodyText"/>
        <w:ind w:left="0"/>
      </w:pPr>
    </w:p>
    <w:p>
      <w:pPr>
        <w:pStyle w:val="Heading1"/>
        <w:jc w:val="both"/>
        <w:rPr>
          <w:u w:val="none"/>
        </w:rPr>
      </w:pPr>
      <w:r>
        <w:rPr>
          <w:u w:val="thick"/>
        </w:rPr>
        <w:t>LABORATORUL DE DIAGNOSTIC SI INVESTIGARE IN SANATATE PUBLICA</w:t>
      </w:r>
    </w:p>
    <w:p>
      <w:pPr>
        <w:pStyle w:val="BodyText"/>
        <w:spacing w:before="2"/>
        <w:ind w:left="0"/>
        <w:rPr>
          <w:b/>
          <w:sz w:val="16"/>
        </w:rPr>
      </w:pPr>
    </w:p>
    <w:p>
      <w:pPr>
        <w:pStyle w:val="BodyText"/>
        <w:spacing w:before="90"/>
        <w:ind w:left="233" w:right="827" w:firstLine="242"/>
        <w:jc w:val="both"/>
      </w:pPr>
      <w:r>
        <w:rPr/>
        <w:t>Laboratorul de Diagnostic şi Investigare în Sănătate Publică din cadrul DSPMB este acreditat Renar pentru 22 încercări (determinarea anticorpilor şi antigenelor prin metoda ELISA- HIV/SIDA, diagnosticul sifilisului prin metoda TPHA, diagnosticul sifilisului prin metoda VDRL, Exsudate naso- faringiene – staf. C+, streptococ, candida în secreţii nazale, bucale şi faringiene, Examene coprobacteriologice – Salmonella, Shigella, EPEC, stafilococ, candida în materii fecale, antibiograma, Identificarea şi numărarea microorganismelor din apă prin metoda membranei filtrante - bacterii coliforme, E.coli, enterococi, Pseudomonas aeruginosa, metoda orizontală pentru numărarea stafilococilor coagulazo pozitivi în alimente, determinarea încărcăturii microbiologice de pe suprafeţe şi din aer, controlul microbiologic al sterilizării şi sterilităţii, determinarea pH –ului apei potabile, determinarea conţinutului de cloruri, determinarea conţinutului de nitriţi, determinarea clorului  rezidual liber şi total, determinarea duritătii, determinarea indicelui de permanganat, determinarea amoniacului, determinarea iodatului de potasiu din</w:t>
      </w:r>
      <w:r>
        <w:rPr>
          <w:spacing w:val="-3"/>
        </w:rPr>
        <w:t> </w:t>
      </w:r>
      <w:r>
        <w:rPr/>
        <w:t>sare).</w:t>
      </w:r>
    </w:p>
    <w:p>
      <w:pPr>
        <w:pStyle w:val="BodyText"/>
        <w:spacing w:line="274" w:lineRule="exact"/>
        <w:ind w:left="535"/>
        <w:jc w:val="both"/>
      </w:pPr>
      <w:r>
        <w:rPr/>
        <w:t>În cadrul Laboratorului de Microbiologie s-au efectuat testări in cadrul programelor naţionale :</w:t>
      </w:r>
    </w:p>
    <w:p>
      <w:pPr>
        <w:pStyle w:val="ListParagraph"/>
        <w:numPr>
          <w:ilvl w:val="0"/>
          <w:numId w:val="7"/>
        </w:numPr>
        <w:tabs>
          <w:tab w:pos="373" w:val="left" w:leader="none"/>
        </w:tabs>
        <w:spacing w:line="240" w:lineRule="auto" w:before="0" w:after="0"/>
        <w:ind w:left="372" w:right="0" w:hanging="140"/>
        <w:jc w:val="left"/>
        <w:rPr>
          <w:sz w:val="24"/>
        </w:rPr>
      </w:pPr>
      <w:r>
        <w:rPr>
          <w:sz w:val="24"/>
        </w:rPr>
        <w:t>testarea HIV a gravidelor şi a persoanelor depistate pozitive prin teste</w:t>
      </w:r>
      <w:r>
        <w:rPr>
          <w:spacing w:val="-4"/>
          <w:sz w:val="24"/>
        </w:rPr>
        <w:t> </w:t>
      </w:r>
      <w:r>
        <w:rPr>
          <w:sz w:val="24"/>
        </w:rPr>
        <w:t>rapide</w:t>
      </w:r>
    </w:p>
    <w:p>
      <w:pPr>
        <w:pStyle w:val="ListParagraph"/>
        <w:numPr>
          <w:ilvl w:val="0"/>
          <w:numId w:val="7"/>
        </w:numPr>
        <w:tabs>
          <w:tab w:pos="375" w:val="left" w:leader="none"/>
        </w:tabs>
        <w:spacing w:line="240" w:lineRule="auto" w:before="1" w:after="0"/>
        <w:ind w:left="233" w:right="830" w:firstLine="0"/>
        <w:jc w:val="left"/>
        <w:rPr>
          <w:sz w:val="24"/>
        </w:rPr>
      </w:pPr>
      <w:r>
        <w:rPr>
          <w:sz w:val="24"/>
        </w:rPr>
        <w:t>teste pentru prevenirea sifilisului congenital TPHA şi VDRL la gravide şi cupluri mamă- nou născuţi suspecte</w:t>
      </w:r>
    </w:p>
    <w:p>
      <w:pPr>
        <w:pStyle w:val="ListParagraph"/>
        <w:numPr>
          <w:ilvl w:val="0"/>
          <w:numId w:val="7"/>
        </w:numPr>
        <w:tabs>
          <w:tab w:pos="421" w:val="left" w:leader="none"/>
        </w:tabs>
        <w:spacing w:line="240" w:lineRule="auto" w:before="2" w:after="0"/>
        <w:ind w:left="233" w:right="834" w:firstLine="0"/>
        <w:jc w:val="left"/>
        <w:rPr>
          <w:sz w:val="24"/>
        </w:rPr>
      </w:pPr>
      <w:r>
        <w:rPr>
          <w:sz w:val="24"/>
        </w:rPr>
        <w:t>testări pentru purtătorii de streptococ </w:t>
      </w:r>
      <w:r>
        <w:rPr>
          <w:rFonts w:ascii="Symbol" w:hAnsi="Symbol"/>
          <w:sz w:val="24"/>
        </w:rPr>
        <w:t></w:t>
      </w:r>
      <w:r>
        <w:rPr>
          <w:sz w:val="24"/>
        </w:rPr>
        <w:t> hemolitic grup A din unităţile şcolare pentru prevenirea apariţiei RAA, contacţi de</w:t>
      </w:r>
      <w:r>
        <w:rPr>
          <w:spacing w:val="-2"/>
          <w:sz w:val="24"/>
        </w:rPr>
        <w:t> </w:t>
      </w:r>
      <w:r>
        <w:rPr>
          <w:sz w:val="24"/>
        </w:rPr>
        <w:t>scarlatina.</w:t>
      </w:r>
    </w:p>
    <w:p>
      <w:pPr>
        <w:pStyle w:val="ListParagraph"/>
        <w:numPr>
          <w:ilvl w:val="0"/>
          <w:numId w:val="7"/>
        </w:numPr>
        <w:tabs>
          <w:tab w:pos="373" w:val="left" w:leader="none"/>
        </w:tabs>
        <w:spacing w:line="275" w:lineRule="exact" w:before="0" w:after="0"/>
        <w:ind w:left="372" w:right="0" w:hanging="140"/>
        <w:jc w:val="left"/>
        <w:rPr>
          <w:sz w:val="24"/>
        </w:rPr>
      </w:pPr>
      <w:r>
        <w:rPr>
          <w:sz w:val="24"/>
        </w:rPr>
        <w:t>testări in cazurile de toxiinfecţii alimentare, focare de boli diareice</w:t>
      </w:r>
      <w:r>
        <w:rPr>
          <w:spacing w:val="-7"/>
          <w:sz w:val="24"/>
        </w:rPr>
        <w:t> </w:t>
      </w:r>
      <w:r>
        <w:rPr>
          <w:sz w:val="24"/>
        </w:rPr>
        <w:t>familiale</w:t>
      </w:r>
    </w:p>
    <w:p>
      <w:pPr>
        <w:pStyle w:val="BodyText"/>
        <w:ind w:left="233" w:right="829" w:firstLine="180"/>
        <w:jc w:val="both"/>
      </w:pPr>
      <w:r>
        <w:rPr/>
        <w:t>S-au efectuat testări pentru controlul sterilizării la autoclav şi pupinel cu teste biologice pentru toate cabinetele medicale şi unităţile spitaliceşti din Bucureşti, pentru paraziţi, testări coprobacteriologice la personalul din unităţile de alimentaţie publică şi la persoane cu BDA, analiza probelor de alimente, probe de cosmetice, probe de apă (fậntâni, piscine, ştranduri, ape reziduale din spitale, puncte fixe şi staţii de apă din Bucureşti care aparţin de Apa Nova, analize pentru potabilitatea apei), identificări pentru bacterii gram negative, coci gram pozitivi, micoze, grupuri de streptococi şi testarea sensibilităţii la antibiotice la aceleaşi tulpini microbiene cu ajutorul aparatului miniApi (salmonella, listeria</w:t>
      </w:r>
      <w:r>
        <w:rPr>
          <w:spacing w:val="-1"/>
        </w:rPr>
        <w:t> </w:t>
      </w:r>
      <w:r>
        <w:rPr/>
        <w:t>monocytogenes).</w:t>
      </w:r>
    </w:p>
    <w:p>
      <w:pPr>
        <w:spacing w:after="0"/>
        <w:jc w:val="both"/>
        <w:sectPr>
          <w:pgSz w:w="11910" w:h="16840"/>
          <w:pgMar w:header="0" w:footer="738" w:top="1360" w:bottom="920" w:left="900" w:right="0"/>
        </w:sectPr>
      </w:pPr>
    </w:p>
    <w:p>
      <w:pPr>
        <w:spacing w:before="60"/>
        <w:ind w:left="293" w:right="0" w:firstLine="0"/>
        <w:jc w:val="left"/>
        <w:rPr>
          <w:sz w:val="24"/>
        </w:rPr>
      </w:pPr>
      <w:r>
        <w:rPr>
          <w:i/>
          <w:sz w:val="24"/>
          <w:u w:val="single"/>
        </w:rPr>
        <w:t>Activitati desfasurat</w:t>
      </w:r>
      <w:r>
        <w:rPr>
          <w:sz w:val="24"/>
          <w:u w:val="single"/>
        </w:rPr>
        <w:t>e</w:t>
      </w:r>
      <w:r>
        <w:rPr>
          <w:sz w:val="24"/>
        </w:rPr>
        <w:t>:</w:t>
      </w:r>
    </w:p>
    <w:p>
      <w:pPr>
        <w:pStyle w:val="Heading1"/>
        <w:spacing w:before="1"/>
        <w:rPr>
          <w:u w:val="none"/>
        </w:rPr>
      </w:pPr>
      <w:r>
        <w:rPr>
          <w:u w:val="none"/>
        </w:rPr>
        <w:t>Examene Coprobacteriologice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0"/>
        <w:gridCol w:w="1700"/>
        <w:gridCol w:w="2000"/>
        <w:gridCol w:w="1702"/>
      </w:tblGrid>
      <w:tr>
        <w:trPr>
          <w:trHeight w:val="549" w:hRule="atLeast"/>
        </w:trPr>
        <w:tc>
          <w:tcPr>
            <w:tcW w:w="3510" w:type="dxa"/>
          </w:tcPr>
          <w:p>
            <w:pPr>
              <w:pStyle w:val="TableParagraph"/>
              <w:rPr>
                <w:sz w:val="24"/>
              </w:rPr>
            </w:pPr>
          </w:p>
        </w:tc>
        <w:tc>
          <w:tcPr>
            <w:tcW w:w="1700" w:type="dxa"/>
          </w:tcPr>
          <w:p>
            <w:pPr>
              <w:pStyle w:val="TableParagraph"/>
              <w:spacing w:line="275" w:lineRule="exact"/>
              <w:ind w:left="419"/>
              <w:rPr>
                <w:sz w:val="24"/>
              </w:rPr>
            </w:pPr>
            <w:r>
              <w:rPr>
                <w:sz w:val="24"/>
              </w:rPr>
              <w:t>Nr. probe</w:t>
            </w:r>
          </w:p>
        </w:tc>
        <w:tc>
          <w:tcPr>
            <w:tcW w:w="3702" w:type="dxa"/>
            <w:gridSpan w:val="2"/>
          </w:tcPr>
          <w:p>
            <w:pPr>
              <w:pStyle w:val="TableParagraph"/>
              <w:spacing w:line="275" w:lineRule="exact"/>
              <w:ind w:left="419"/>
              <w:rPr>
                <w:sz w:val="24"/>
              </w:rPr>
            </w:pPr>
            <w:r>
              <w:rPr>
                <w:sz w:val="24"/>
              </w:rPr>
              <w:t>Nr. determ. microbiologice</w:t>
            </w:r>
          </w:p>
        </w:tc>
      </w:tr>
      <w:tr>
        <w:trPr>
          <w:trHeight w:val="275" w:hRule="atLeast"/>
        </w:trPr>
        <w:tc>
          <w:tcPr>
            <w:tcW w:w="3510" w:type="dxa"/>
          </w:tcPr>
          <w:p>
            <w:pPr>
              <w:pStyle w:val="TableParagraph"/>
              <w:rPr>
                <w:sz w:val="20"/>
              </w:rPr>
            </w:pPr>
          </w:p>
        </w:tc>
        <w:tc>
          <w:tcPr>
            <w:tcW w:w="1700" w:type="dxa"/>
          </w:tcPr>
          <w:p>
            <w:pPr>
              <w:pStyle w:val="TableParagraph"/>
              <w:rPr>
                <w:sz w:val="20"/>
              </w:rPr>
            </w:pPr>
          </w:p>
        </w:tc>
        <w:tc>
          <w:tcPr>
            <w:tcW w:w="2000" w:type="dxa"/>
          </w:tcPr>
          <w:p>
            <w:pPr>
              <w:pStyle w:val="TableParagraph"/>
              <w:spacing w:line="256" w:lineRule="exact"/>
              <w:ind w:left="978"/>
              <w:rPr>
                <w:sz w:val="24"/>
              </w:rPr>
            </w:pPr>
            <w:r>
              <w:rPr>
                <w:sz w:val="24"/>
              </w:rPr>
              <w:t>total</w:t>
            </w:r>
          </w:p>
        </w:tc>
        <w:tc>
          <w:tcPr>
            <w:tcW w:w="1702" w:type="dxa"/>
          </w:tcPr>
          <w:p>
            <w:pPr>
              <w:pStyle w:val="TableParagraph"/>
              <w:spacing w:line="256" w:lineRule="exact"/>
              <w:ind w:left="807"/>
              <w:rPr>
                <w:sz w:val="24"/>
              </w:rPr>
            </w:pPr>
            <w:r>
              <w:rPr>
                <w:sz w:val="24"/>
              </w:rPr>
              <w:t>pozitive</w:t>
            </w:r>
          </w:p>
        </w:tc>
      </w:tr>
      <w:tr>
        <w:trPr>
          <w:trHeight w:val="278" w:hRule="atLeast"/>
        </w:trPr>
        <w:tc>
          <w:tcPr>
            <w:tcW w:w="3510" w:type="dxa"/>
          </w:tcPr>
          <w:p>
            <w:pPr>
              <w:pStyle w:val="TableParagraph"/>
              <w:spacing w:line="257" w:lineRule="exact" w:before="1"/>
              <w:ind w:left="1771"/>
              <w:rPr>
                <w:sz w:val="24"/>
              </w:rPr>
            </w:pPr>
            <w:r>
              <w:rPr>
                <w:sz w:val="24"/>
              </w:rPr>
              <w:t>B.D.A.</w:t>
            </w:r>
          </w:p>
        </w:tc>
        <w:tc>
          <w:tcPr>
            <w:tcW w:w="1700" w:type="dxa"/>
          </w:tcPr>
          <w:p>
            <w:pPr>
              <w:pStyle w:val="TableParagraph"/>
              <w:spacing w:line="257" w:lineRule="exact" w:before="1"/>
              <w:ind w:left="649" w:right="641"/>
              <w:jc w:val="center"/>
              <w:rPr>
                <w:sz w:val="24"/>
              </w:rPr>
            </w:pPr>
            <w:r>
              <w:rPr>
                <w:sz w:val="24"/>
              </w:rPr>
              <w:t>11</w:t>
            </w:r>
          </w:p>
        </w:tc>
        <w:tc>
          <w:tcPr>
            <w:tcW w:w="2000" w:type="dxa"/>
          </w:tcPr>
          <w:p>
            <w:pPr>
              <w:pStyle w:val="TableParagraph"/>
              <w:spacing w:line="257" w:lineRule="exact" w:before="1"/>
              <w:ind w:left="737" w:right="732"/>
              <w:jc w:val="center"/>
              <w:rPr>
                <w:sz w:val="24"/>
              </w:rPr>
            </w:pPr>
            <w:r>
              <w:rPr>
                <w:sz w:val="24"/>
              </w:rPr>
              <w:t>77</w:t>
            </w:r>
          </w:p>
        </w:tc>
        <w:tc>
          <w:tcPr>
            <w:tcW w:w="1702" w:type="dxa"/>
          </w:tcPr>
          <w:p>
            <w:pPr>
              <w:pStyle w:val="TableParagraph"/>
              <w:spacing w:line="257" w:lineRule="exact" w:before="1"/>
              <w:ind w:left="791"/>
              <w:rPr>
                <w:sz w:val="24"/>
              </w:rPr>
            </w:pPr>
            <w:r>
              <w:rPr>
                <w:sz w:val="24"/>
              </w:rPr>
              <w:t>3</w:t>
            </w:r>
          </w:p>
        </w:tc>
      </w:tr>
      <w:tr>
        <w:trPr>
          <w:trHeight w:val="350" w:hRule="atLeast"/>
        </w:trPr>
        <w:tc>
          <w:tcPr>
            <w:tcW w:w="3510" w:type="dxa"/>
          </w:tcPr>
          <w:p>
            <w:pPr>
              <w:pStyle w:val="TableParagraph"/>
              <w:spacing w:line="275" w:lineRule="exact"/>
              <w:ind w:left="1325"/>
              <w:rPr>
                <w:sz w:val="24"/>
              </w:rPr>
            </w:pPr>
            <w:r>
              <w:rPr>
                <w:sz w:val="24"/>
              </w:rPr>
              <w:t>Control periodic</w:t>
            </w:r>
          </w:p>
        </w:tc>
        <w:tc>
          <w:tcPr>
            <w:tcW w:w="1700" w:type="dxa"/>
          </w:tcPr>
          <w:p>
            <w:pPr>
              <w:pStyle w:val="TableParagraph"/>
              <w:spacing w:line="275" w:lineRule="exact"/>
              <w:ind w:left="649" w:right="641"/>
              <w:jc w:val="center"/>
              <w:rPr>
                <w:sz w:val="24"/>
              </w:rPr>
            </w:pPr>
            <w:r>
              <w:rPr>
                <w:sz w:val="24"/>
              </w:rPr>
              <w:t>205</w:t>
            </w:r>
          </w:p>
        </w:tc>
        <w:tc>
          <w:tcPr>
            <w:tcW w:w="2000" w:type="dxa"/>
          </w:tcPr>
          <w:p>
            <w:pPr>
              <w:pStyle w:val="TableParagraph"/>
              <w:spacing w:line="275" w:lineRule="exact"/>
              <w:ind w:left="737" w:right="732"/>
              <w:jc w:val="center"/>
              <w:rPr>
                <w:sz w:val="24"/>
              </w:rPr>
            </w:pPr>
            <w:r>
              <w:rPr>
                <w:sz w:val="24"/>
              </w:rPr>
              <w:t>410</w:t>
            </w:r>
          </w:p>
        </w:tc>
        <w:tc>
          <w:tcPr>
            <w:tcW w:w="1702" w:type="dxa"/>
          </w:tcPr>
          <w:p>
            <w:pPr>
              <w:pStyle w:val="TableParagraph"/>
              <w:spacing w:line="275" w:lineRule="exact"/>
              <w:ind w:left="791"/>
              <w:rPr>
                <w:sz w:val="24"/>
              </w:rPr>
            </w:pPr>
            <w:r>
              <w:rPr>
                <w:sz w:val="24"/>
              </w:rPr>
              <w:t>0</w:t>
            </w:r>
          </w:p>
        </w:tc>
      </w:tr>
      <w:tr>
        <w:trPr>
          <w:trHeight w:val="275" w:hRule="atLeast"/>
        </w:trPr>
        <w:tc>
          <w:tcPr>
            <w:tcW w:w="3510" w:type="dxa"/>
          </w:tcPr>
          <w:p>
            <w:pPr>
              <w:pStyle w:val="TableParagraph"/>
              <w:spacing w:line="256" w:lineRule="exact"/>
              <w:ind w:left="1478"/>
              <w:rPr>
                <w:sz w:val="24"/>
              </w:rPr>
            </w:pPr>
            <w:r>
              <w:rPr>
                <w:sz w:val="24"/>
              </w:rPr>
              <w:t>Contacţi TIA</w:t>
            </w:r>
          </w:p>
        </w:tc>
        <w:tc>
          <w:tcPr>
            <w:tcW w:w="1700" w:type="dxa"/>
          </w:tcPr>
          <w:p>
            <w:pPr>
              <w:pStyle w:val="TableParagraph"/>
              <w:spacing w:line="256" w:lineRule="exact"/>
              <w:ind w:left="649" w:right="641"/>
              <w:jc w:val="center"/>
              <w:rPr>
                <w:sz w:val="24"/>
              </w:rPr>
            </w:pPr>
            <w:r>
              <w:rPr>
                <w:sz w:val="24"/>
              </w:rPr>
              <w:t>20</w:t>
            </w:r>
          </w:p>
        </w:tc>
        <w:tc>
          <w:tcPr>
            <w:tcW w:w="2000" w:type="dxa"/>
          </w:tcPr>
          <w:p>
            <w:pPr>
              <w:pStyle w:val="TableParagraph"/>
              <w:spacing w:line="256" w:lineRule="exact"/>
              <w:ind w:left="737" w:right="732"/>
              <w:jc w:val="center"/>
              <w:rPr>
                <w:sz w:val="24"/>
              </w:rPr>
            </w:pPr>
            <w:r>
              <w:rPr>
                <w:sz w:val="24"/>
              </w:rPr>
              <w:t>82</w:t>
            </w:r>
          </w:p>
        </w:tc>
        <w:tc>
          <w:tcPr>
            <w:tcW w:w="1702" w:type="dxa"/>
          </w:tcPr>
          <w:p>
            <w:pPr>
              <w:pStyle w:val="TableParagraph"/>
              <w:spacing w:line="256" w:lineRule="exact"/>
              <w:ind w:left="791"/>
              <w:rPr>
                <w:sz w:val="24"/>
              </w:rPr>
            </w:pPr>
            <w:r>
              <w:rPr>
                <w:sz w:val="24"/>
              </w:rPr>
              <w:t>0</w:t>
            </w:r>
          </w:p>
        </w:tc>
      </w:tr>
      <w:tr>
        <w:trPr>
          <w:trHeight w:val="275" w:hRule="atLeast"/>
        </w:trPr>
        <w:tc>
          <w:tcPr>
            <w:tcW w:w="3510" w:type="dxa"/>
          </w:tcPr>
          <w:p>
            <w:pPr>
              <w:pStyle w:val="TableParagraph"/>
              <w:spacing w:line="256" w:lineRule="exact"/>
              <w:ind w:left="657"/>
              <w:rPr>
                <w:sz w:val="24"/>
              </w:rPr>
            </w:pPr>
            <w:r>
              <w:rPr>
                <w:sz w:val="24"/>
              </w:rPr>
              <w:t>ex. coproparazitologice</w:t>
            </w:r>
          </w:p>
        </w:tc>
        <w:tc>
          <w:tcPr>
            <w:tcW w:w="1700" w:type="dxa"/>
          </w:tcPr>
          <w:p>
            <w:pPr>
              <w:pStyle w:val="TableParagraph"/>
              <w:spacing w:line="256" w:lineRule="exact"/>
              <w:ind w:left="649" w:right="641"/>
              <w:jc w:val="center"/>
              <w:rPr>
                <w:sz w:val="24"/>
              </w:rPr>
            </w:pPr>
            <w:r>
              <w:rPr>
                <w:sz w:val="24"/>
              </w:rPr>
              <w:t>114</w:t>
            </w:r>
          </w:p>
        </w:tc>
        <w:tc>
          <w:tcPr>
            <w:tcW w:w="2000" w:type="dxa"/>
          </w:tcPr>
          <w:p>
            <w:pPr>
              <w:pStyle w:val="TableParagraph"/>
              <w:spacing w:line="256" w:lineRule="exact"/>
              <w:ind w:left="1206"/>
              <w:rPr>
                <w:sz w:val="24"/>
              </w:rPr>
            </w:pPr>
            <w:r>
              <w:rPr>
                <w:sz w:val="24"/>
              </w:rPr>
              <w:t>684</w:t>
            </w:r>
          </w:p>
        </w:tc>
        <w:tc>
          <w:tcPr>
            <w:tcW w:w="1702" w:type="dxa"/>
          </w:tcPr>
          <w:p>
            <w:pPr>
              <w:pStyle w:val="TableParagraph"/>
              <w:spacing w:line="256" w:lineRule="exact"/>
              <w:ind w:left="791"/>
              <w:rPr>
                <w:sz w:val="24"/>
              </w:rPr>
            </w:pPr>
            <w:r>
              <w:rPr>
                <w:sz w:val="24"/>
              </w:rPr>
              <w:t>3</w:t>
            </w:r>
          </w:p>
        </w:tc>
      </w:tr>
      <w:tr>
        <w:trPr>
          <w:trHeight w:val="275" w:hRule="atLeast"/>
        </w:trPr>
        <w:tc>
          <w:tcPr>
            <w:tcW w:w="3510" w:type="dxa"/>
          </w:tcPr>
          <w:p>
            <w:pPr>
              <w:pStyle w:val="TableParagraph"/>
              <w:spacing w:line="256" w:lineRule="exact"/>
              <w:ind w:left="1601"/>
              <w:rPr>
                <w:sz w:val="24"/>
              </w:rPr>
            </w:pPr>
            <w:r>
              <w:rPr>
                <w:sz w:val="24"/>
              </w:rPr>
              <w:t>-uroculturi</w:t>
            </w:r>
          </w:p>
        </w:tc>
        <w:tc>
          <w:tcPr>
            <w:tcW w:w="1700" w:type="dxa"/>
          </w:tcPr>
          <w:p>
            <w:pPr>
              <w:pStyle w:val="TableParagraph"/>
              <w:spacing w:line="256" w:lineRule="exact"/>
              <w:ind w:left="8"/>
              <w:jc w:val="center"/>
              <w:rPr>
                <w:sz w:val="24"/>
              </w:rPr>
            </w:pPr>
            <w:r>
              <w:rPr>
                <w:sz w:val="24"/>
              </w:rPr>
              <w:t>6</w:t>
            </w:r>
          </w:p>
        </w:tc>
        <w:tc>
          <w:tcPr>
            <w:tcW w:w="2000" w:type="dxa"/>
          </w:tcPr>
          <w:p>
            <w:pPr>
              <w:pStyle w:val="TableParagraph"/>
              <w:spacing w:line="256" w:lineRule="exact"/>
              <w:ind w:left="737" w:right="732"/>
              <w:jc w:val="center"/>
              <w:rPr>
                <w:sz w:val="24"/>
              </w:rPr>
            </w:pPr>
            <w:r>
              <w:rPr>
                <w:sz w:val="24"/>
              </w:rPr>
              <w:t>18</w:t>
            </w:r>
          </w:p>
        </w:tc>
        <w:tc>
          <w:tcPr>
            <w:tcW w:w="1702" w:type="dxa"/>
          </w:tcPr>
          <w:p>
            <w:pPr>
              <w:pStyle w:val="TableParagraph"/>
              <w:spacing w:line="256" w:lineRule="exact"/>
              <w:ind w:left="791"/>
              <w:rPr>
                <w:sz w:val="24"/>
              </w:rPr>
            </w:pPr>
            <w:r>
              <w:rPr>
                <w:sz w:val="24"/>
              </w:rPr>
              <w:t>1</w:t>
            </w:r>
          </w:p>
        </w:tc>
      </w:tr>
      <w:tr>
        <w:trPr>
          <w:trHeight w:val="275" w:hRule="atLeast"/>
        </w:trPr>
        <w:tc>
          <w:tcPr>
            <w:tcW w:w="3510" w:type="dxa"/>
          </w:tcPr>
          <w:p>
            <w:pPr>
              <w:pStyle w:val="TableParagraph"/>
              <w:spacing w:line="256" w:lineRule="exact"/>
              <w:ind w:left="1385"/>
              <w:rPr>
                <w:sz w:val="24"/>
              </w:rPr>
            </w:pPr>
            <w:r>
              <w:rPr>
                <w:sz w:val="24"/>
              </w:rPr>
              <w:t>Total probe plată</w:t>
            </w:r>
          </w:p>
        </w:tc>
        <w:tc>
          <w:tcPr>
            <w:tcW w:w="1700" w:type="dxa"/>
          </w:tcPr>
          <w:p>
            <w:pPr>
              <w:pStyle w:val="TableParagraph"/>
              <w:spacing w:line="256" w:lineRule="exact"/>
              <w:ind w:left="772"/>
              <w:rPr>
                <w:sz w:val="24"/>
              </w:rPr>
            </w:pPr>
            <w:r>
              <w:rPr>
                <w:sz w:val="24"/>
              </w:rPr>
              <w:t>356</w:t>
            </w:r>
          </w:p>
        </w:tc>
        <w:tc>
          <w:tcPr>
            <w:tcW w:w="2000" w:type="dxa"/>
          </w:tcPr>
          <w:p>
            <w:pPr>
              <w:pStyle w:val="TableParagraph"/>
              <w:spacing w:line="256" w:lineRule="exact"/>
              <w:ind w:left="737" w:right="732"/>
              <w:jc w:val="center"/>
              <w:rPr>
                <w:sz w:val="24"/>
              </w:rPr>
            </w:pPr>
            <w:r>
              <w:rPr>
                <w:sz w:val="24"/>
              </w:rPr>
              <w:t>1271</w:t>
            </w:r>
          </w:p>
        </w:tc>
        <w:tc>
          <w:tcPr>
            <w:tcW w:w="1702" w:type="dxa"/>
          </w:tcPr>
          <w:p>
            <w:pPr>
              <w:pStyle w:val="TableParagraph"/>
              <w:spacing w:line="256" w:lineRule="exact"/>
              <w:ind w:left="791"/>
              <w:rPr>
                <w:sz w:val="24"/>
              </w:rPr>
            </w:pPr>
            <w:r>
              <w:rPr>
                <w:sz w:val="24"/>
              </w:rPr>
              <w:t>7</w:t>
            </w:r>
          </w:p>
        </w:tc>
      </w:tr>
    </w:tbl>
    <w:p>
      <w:pPr>
        <w:pStyle w:val="BodyText"/>
        <w:ind w:left="233" w:right="1781"/>
      </w:pPr>
      <w:r>
        <w:rPr/>
        <w:t>Referitor la rezultatele prezentate in tabelul de mai sus, 20 probe cu 82 determinări reprezinta activitatea desfasurata in cadrul PN II.</w:t>
      </w:r>
    </w:p>
    <w:p>
      <w:pPr>
        <w:pStyle w:val="Heading1"/>
        <w:rPr>
          <w:u w:val="none"/>
        </w:rPr>
      </w:pPr>
      <w:r>
        <w:rPr>
          <w:u w:val="none"/>
        </w:rPr>
        <w:t>Exsudate Naso-Faringiene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9"/>
        <w:gridCol w:w="1500"/>
        <w:gridCol w:w="1800"/>
        <w:gridCol w:w="1600"/>
      </w:tblGrid>
      <w:tr>
        <w:trPr>
          <w:trHeight w:val="551" w:hRule="atLeast"/>
        </w:trPr>
        <w:tc>
          <w:tcPr>
            <w:tcW w:w="4009" w:type="dxa"/>
          </w:tcPr>
          <w:p>
            <w:pPr>
              <w:pStyle w:val="TableParagraph"/>
              <w:rPr>
                <w:sz w:val="24"/>
              </w:rPr>
            </w:pPr>
          </w:p>
        </w:tc>
        <w:tc>
          <w:tcPr>
            <w:tcW w:w="1500" w:type="dxa"/>
          </w:tcPr>
          <w:p>
            <w:pPr>
              <w:pStyle w:val="TableParagraph"/>
              <w:spacing w:before="1"/>
              <w:ind w:left="419"/>
              <w:rPr>
                <w:sz w:val="24"/>
              </w:rPr>
            </w:pPr>
            <w:r>
              <w:rPr>
                <w:sz w:val="24"/>
              </w:rPr>
              <w:t>Nr. probe</w:t>
            </w:r>
          </w:p>
        </w:tc>
        <w:tc>
          <w:tcPr>
            <w:tcW w:w="3400" w:type="dxa"/>
            <w:gridSpan w:val="2"/>
          </w:tcPr>
          <w:p>
            <w:pPr>
              <w:pStyle w:val="TableParagraph"/>
              <w:spacing w:before="1"/>
              <w:ind w:left="420"/>
              <w:rPr>
                <w:sz w:val="24"/>
              </w:rPr>
            </w:pPr>
            <w:r>
              <w:rPr>
                <w:sz w:val="24"/>
              </w:rPr>
              <w:t>Nr. determ. microbiologice</w:t>
            </w:r>
          </w:p>
        </w:tc>
      </w:tr>
      <w:tr>
        <w:trPr>
          <w:trHeight w:val="275" w:hRule="atLeast"/>
        </w:trPr>
        <w:tc>
          <w:tcPr>
            <w:tcW w:w="4009" w:type="dxa"/>
          </w:tcPr>
          <w:p>
            <w:pPr>
              <w:pStyle w:val="TableParagraph"/>
              <w:rPr>
                <w:sz w:val="20"/>
              </w:rPr>
            </w:pPr>
          </w:p>
        </w:tc>
        <w:tc>
          <w:tcPr>
            <w:tcW w:w="1500" w:type="dxa"/>
          </w:tcPr>
          <w:p>
            <w:pPr>
              <w:pStyle w:val="TableParagraph"/>
              <w:rPr>
                <w:sz w:val="20"/>
              </w:rPr>
            </w:pPr>
          </w:p>
        </w:tc>
        <w:tc>
          <w:tcPr>
            <w:tcW w:w="1800" w:type="dxa"/>
          </w:tcPr>
          <w:p>
            <w:pPr>
              <w:pStyle w:val="TableParagraph"/>
              <w:spacing w:line="256" w:lineRule="exact"/>
              <w:ind w:left="878"/>
              <w:rPr>
                <w:sz w:val="24"/>
              </w:rPr>
            </w:pPr>
            <w:r>
              <w:rPr>
                <w:sz w:val="24"/>
              </w:rPr>
              <w:t>total</w:t>
            </w:r>
          </w:p>
        </w:tc>
        <w:tc>
          <w:tcPr>
            <w:tcW w:w="1600" w:type="dxa"/>
          </w:tcPr>
          <w:p>
            <w:pPr>
              <w:pStyle w:val="TableParagraph"/>
              <w:spacing w:line="256" w:lineRule="exact"/>
              <w:ind w:right="704"/>
              <w:jc w:val="right"/>
              <w:rPr>
                <w:sz w:val="24"/>
              </w:rPr>
            </w:pPr>
            <w:r>
              <w:rPr>
                <w:sz w:val="24"/>
              </w:rPr>
              <w:t>pozitive</w:t>
            </w:r>
          </w:p>
        </w:tc>
      </w:tr>
      <w:tr>
        <w:trPr>
          <w:trHeight w:val="275" w:hRule="atLeast"/>
        </w:trPr>
        <w:tc>
          <w:tcPr>
            <w:tcW w:w="4009" w:type="dxa"/>
          </w:tcPr>
          <w:p>
            <w:pPr>
              <w:pStyle w:val="TableParagraph"/>
              <w:spacing w:line="256" w:lineRule="exact"/>
              <w:ind w:left="108"/>
              <w:rPr>
                <w:sz w:val="24"/>
              </w:rPr>
            </w:pPr>
            <w:r>
              <w:rPr>
                <w:sz w:val="24"/>
              </w:rPr>
              <w:t>Angine</w:t>
            </w:r>
          </w:p>
        </w:tc>
        <w:tc>
          <w:tcPr>
            <w:tcW w:w="1500" w:type="dxa"/>
          </w:tcPr>
          <w:p>
            <w:pPr>
              <w:pStyle w:val="TableParagraph"/>
              <w:spacing w:line="256" w:lineRule="exact"/>
              <w:ind w:left="187" w:right="179"/>
              <w:jc w:val="center"/>
              <w:rPr>
                <w:sz w:val="24"/>
              </w:rPr>
            </w:pPr>
            <w:r>
              <w:rPr>
                <w:sz w:val="24"/>
              </w:rPr>
              <w:t>72</w:t>
            </w:r>
          </w:p>
        </w:tc>
        <w:tc>
          <w:tcPr>
            <w:tcW w:w="1800" w:type="dxa"/>
          </w:tcPr>
          <w:p>
            <w:pPr>
              <w:pStyle w:val="TableParagraph"/>
              <w:spacing w:line="256" w:lineRule="exact"/>
              <w:ind w:left="720"/>
              <w:rPr>
                <w:sz w:val="24"/>
              </w:rPr>
            </w:pPr>
            <w:r>
              <w:rPr>
                <w:sz w:val="24"/>
              </w:rPr>
              <w:t>216</w:t>
            </w:r>
          </w:p>
        </w:tc>
        <w:tc>
          <w:tcPr>
            <w:tcW w:w="1600" w:type="dxa"/>
          </w:tcPr>
          <w:p>
            <w:pPr>
              <w:pStyle w:val="TableParagraph"/>
              <w:spacing w:line="256" w:lineRule="exact"/>
              <w:ind w:right="669"/>
              <w:jc w:val="right"/>
              <w:rPr>
                <w:sz w:val="24"/>
              </w:rPr>
            </w:pPr>
            <w:r>
              <w:rPr>
                <w:sz w:val="24"/>
              </w:rPr>
              <w:t>21</w:t>
            </w:r>
          </w:p>
        </w:tc>
      </w:tr>
      <w:tr>
        <w:trPr>
          <w:trHeight w:val="350" w:hRule="atLeast"/>
        </w:trPr>
        <w:tc>
          <w:tcPr>
            <w:tcW w:w="4009" w:type="dxa"/>
          </w:tcPr>
          <w:p>
            <w:pPr>
              <w:pStyle w:val="TableParagraph"/>
              <w:spacing w:line="275" w:lineRule="exact"/>
              <w:ind w:left="108"/>
              <w:rPr>
                <w:sz w:val="24"/>
              </w:rPr>
            </w:pPr>
            <w:r>
              <w:rPr>
                <w:sz w:val="24"/>
              </w:rPr>
              <w:t>Foşti bolnavi</w:t>
            </w:r>
          </w:p>
        </w:tc>
        <w:tc>
          <w:tcPr>
            <w:tcW w:w="1500" w:type="dxa"/>
          </w:tcPr>
          <w:p>
            <w:pPr>
              <w:pStyle w:val="TableParagraph"/>
              <w:spacing w:line="275" w:lineRule="exact"/>
              <w:ind w:left="187" w:right="179"/>
              <w:jc w:val="center"/>
              <w:rPr>
                <w:sz w:val="24"/>
              </w:rPr>
            </w:pPr>
            <w:r>
              <w:rPr>
                <w:sz w:val="24"/>
              </w:rPr>
              <w:t>13</w:t>
            </w:r>
          </w:p>
        </w:tc>
        <w:tc>
          <w:tcPr>
            <w:tcW w:w="1800" w:type="dxa"/>
          </w:tcPr>
          <w:p>
            <w:pPr>
              <w:pStyle w:val="TableParagraph"/>
              <w:spacing w:line="275" w:lineRule="exact"/>
              <w:ind w:left="780"/>
              <w:rPr>
                <w:sz w:val="24"/>
              </w:rPr>
            </w:pPr>
            <w:r>
              <w:rPr>
                <w:sz w:val="24"/>
              </w:rPr>
              <w:t>13</w:t>
            </w:r>
          </w:p>
        </w:tc>
        <w:tc>
          <w:tcPr>
            <w:tcW w:w="1600" w:type="dxa"/>
          </w:tcPr>
          <w:p>
            <w:pPr>
              <w:pStyle w:val="TableParagraph"/>
              <w:spacing w:line="275" w:lineRule="exact"/>
              <w:ind w:right="729"/>
              <w:jc w:val="right"/>
              <w:rPr>
                <w:sz w:val="24"/>
              </w:rPr>
            </w:pPr>
            <w:r>
              <w:rPr>
                <w:sz w:val="24"/>
              </w:rPr>
              <w:t>3</w:t>
            </w:r>
          </w:p>
        </w:tc>
      </w:tr>
      <w:tr>
        <w:trPr>
          <w:trHeight w:val="275" w:hRule="atLeast"/>
        </w:trPr>
        <w:tc>
          <w:tcPr>
            <w:tcW w:w="4009" w:type="dxa"/>
          </w:tcPr>
          <w:p>
            <w:pPr>
              <w:pStyle w:val="TableParagraph"/>
              <w:spacing w:line="256" w:lineRule="exact"/>
              <w:ind w:left="108"/>
              <w:rPr>
                <w:sz w:val="24"/>
              </w:rPr>
            </w:pPr>
            <w:r>
              <w:rPr>
                <w:sz w:val="24"/>
              </w:rPr>
              <w:t>Contacţi scarlatină</w:t>
            </w:r>
          </w:p>
        </w:tc>
        <w:tc>
          <w:tcPr>
            <w:tcW w:w="1500" w:type="dxa"/>
          </w:tcPr>
          <w:p>
            <w:pPr>
              <w:pStyle w:val="TableParagraph"/>
              <w:spacing w:line="256" w:lineRule="exact"/>
              <w:ind w:left="187" w:right="179"/>
              <w:jc w:val="center"/>
              <w:rPr>
                <w:sz w:val="24"/>
              </w:rPr>
            </w:pPr>
            <w:r>
              <w:rPr>
                <w:sz w:val="24"/>
              </w:rPr>
              <w:t>69</w:t>
            </w:r>
          </w:p>
        </w:tc>
        <w:tc>
          <w:tcPr>
            <w:tcW w:w="1800" w:type="dxa"/>
          </w:tcPr>
          <w:p>
            <w:pPr>
              <w:pStyle w:val="TableParagraph"/>
              <w:spacing w:line="256" w:lineRule="exact"/>
              <w:ind w:left="780"/>
              <w:rPr>
                <w:sz w:val="24"/>
              </w:rPr>
            </w:pPr>
            <w:r>
              <w:rPr>
                <w:sz w:val="24"/>
              </w:rPr>
              <w:t>69</w:t>
            </w:r>
          </w:p>
        </w:tc>
        <w:tc>
          <w:tcPr>
            <w:tcW w:w="1600" w:type="dxa"/>
          </w:tcPr>
          <w:p>
            <w:pPr>
              <w:pStyle w:val="TableParagraph"/>
              <w:spacing w:line="256" w:lineRule="exact"/>
              <w:ind w:right="729"/>
              <w:jc w:val="right"/>
              <w:rPr>
                <w:sz w:val="24"/>
              </w:rPr>
            </w:pPr>
            <w:r>
              <w:rPr>
                <w:sz w:val="24"/>
              </w:rPr>
              <w:t>4</w:t>
            </w:r>
          </w:p>
        </w:tc>
      </w:tr>
      <w:tr>
        <w:trPr>
          <w:trHeight w:val="551" w:hRule="atLeast"/>
        </w:trPr>
        <w:tc>
          <w:tcPr>
            <w:tcW w:w="4009" w:type="dxa"/>
          </w:tcPr>
          <w:p>
            <w:pPr>
              <w:pStyle w:val="TableParagraph"/>
              <w:spacing w:line="276" w:lineRule="exact" w:before="2"/>
              <w:ind w:left="108" w:right="1258"/>
              <w:rPr>
                <w:sz w:val="24"/>
              </w:rPr>
            </w:pPr>
            <w:r>
              <w:rPr>
                <w:sz w:val="24"/>
              </w:rPr>
              <w:t>Diverse (angajări, intrări în colectivităţi, etc.)</w:t>
            </w:r>
          </w:p>
        </w:tc>
        <w:tc>
          <w:tcPr>
            <w:tcW w:w="1500" w:type="dxa"/>
          </w:tcPr>
          <w:p>
            <w:pPr>
              <w:pStyle w:val="TableParagraph"/>
              <w:spacing w:line="275" w:lineRule="exact"/>
              <w:ind w:left="8"/>
              <w:jc w:val="center"/>
              <w:rPr>
                <w:sz w:val="24"/>
              </w:rPr>
            </w:pPr>
            <w:r>
              <w:rPr>
                <w:sz w:val="24"/>
              </w:rPr>
              <w:t>5</w:t>
            </w:r>
          </w:p>
        </w:tc>
        <w:tc>
          <w:tcPr>
            <w:tcW w:w="1800" w:type="dxa"/>
          </w:tcPr>
          <w:p>
            <w:pPr>
              <w:pStyle w:val="TableParagraph"/>
              <w:spacing w:line="275" w:lineRule="exact"/>
              <w:ind w:left="780"/>
              <w:rPr>
                <w:sz w:val="24"/>
              </w:rPr>
            </w:pPr>
            <w:r>
              <w:rPr>
                <w:sz w:val="24"/>
              </w:rPr>
              <w:t>15</w:t>
            </w:r>
          </w:p>
        </w:tc>
        <w:tc>
          <w:tcPr>
            <w:tcW w:w="1600" w:type="dxa"/>
          </w:tcPr>
          <w:p>
            <w:pPr>
              <w:pStyle w:val="TableParagraph"/>
              <w:spacing w:line="275" w:lineRule="exact"/>
              <w:ind w:right="729"/>
              <w:jc w:val="right"/>
              <w:rPr>
                <w:sz w:val="24"/>
              </w:rPr>
            </w:pPr>
            <w:r>
              <w:rPr>
                <w:sz w:val="24"/>
              </w:rPr>
              <w:t>0</w:t>
            </w:r>
          </w:p>
        </w:tc>
      </w:tr>
      <w:tr>
        <w:trPr>
          <w:trHeight w:val="275" w:hRule="atLeast"/>
        </w:trPr>
        <w:tc>
          <w:tcPr>
            <w:tcW w:w="4009" w:type="dxa"/>
          </w:tcPr>
          <w:p>
            <w:pPr>
              <w:pStyle w:val="TableParagraph"/>
              <w:spacing w:line="256" w:lineRule="exact"/>
              <w:ind w:left="108"/>
              <w:rPr>
                <w:sz w:val="24"/>
              </w:rPr>
            </w:pPr>
            <w:r>
              <w:rPr>
                <w:sz w:val="24"/>
              </w:rPr>
              <w:t>Antibiograme</w:t>
            </w:r>
          </w:p>
        </w:tc>
        <w:tc>
          <w:tcPr>
            <w:tcW w:w="1500" w:type="dxa"/>
          </w:tcPr>
          <w:p>
            <w:pPr>
              <w:pStyle w:val="TableParagraph"/>
              <w:spacing w:line="256" w:lineRule="exact"/>
              <w:ind w:left="8"/>
              <w:jc w:val="center"/>
              <w:rPr>
                <w:sz w:val="24"/>
              </w:rPr>
            </w:pPr>
            <w:r>
              <w:rPr>
                <w:sz w:val="24"/>
              </w:rPr>
              <w:t>7</w:t>
            </w:r>
          </w:p>
        </w:tc>
        <w:tc>
          <w:tcPr>
            <w:tcW w:w="1800" w:type="dxa"/>
          </w:tcPr>
          <w:p>
            <w:pPr>
              <w:pStyle w:val="TableParagraph"/>
              <w:rPr>
                <w:sz w:val="20"/>
              </w:rPr>
            </w:pPr>
          </w:p>
        </w:tc>
        <w:tc>
          <w:tcPr>
            <w:tcW w:w="1600" w:type="dxa"/>
          </w:tcPr>
          <w:p>
            <w:pPr>
              <w:pStyle w:val="TableParagraph"/>
              <w:rPr>
                <w:sz w:val="20"/>
              </w:rPr>
            </w:pPr>
          </w:p>
        </w:tc>
      </w:tr>
      <w:tr>
        <w:trPr>
          <w:trHeight w:val="275" w:hRule="atLeast"/>
        </w:trPr>
        <w:tc>
          <w:tcPr>
            <w:tcW w:w="4009" w:type="dxa"/>
          </w:tcPr>
          <w:p>
            <w:pPr>
              <w:pStyle w:val="TableParagraph"/>
              <w:spacing w:line="256" w:lineRule="exact"/>
              <w:ind w:left="108"/>
              <w:rPr>
                <w:sz w:val="24"/>
              </w:rPr>
            </w:pPr>
            <w:r>
              <w:rPr>
                <w:sz w:val="24"/>
              </w:rPr>
              <w:t>Total probe plată</w:t>
            </w:r>
          </w:p>
        </w:tc>
        <w:tc>
          <w:tcPr>
            <w:tcW w:w="1500" w:type="dxa"/>
          </w:tcPr>
          <w:p>
            <w:pPr>
              <w:pStyle w:val="TableParagraph"/>
              <w:spacing w:line="256" w:lineRule="exact"/>
              <w:ind w:left="187" w:right="180"/>
              <w:jc w:val="center"/>
              <w:rPr>
                <w:sz w:val="24"/>
              </w:rPr>
            </w:pPr>
            <w:r>
              <w:rPr>
                <w:sz w:val="24"/>
              </w:rPr>
              <w:t>166</w:t>
            </w:r>
          </w:p>
        </w:tc>
        <w:tc>
          <w:tcPr>
            <w:tcW w:w="1800" w:type="dxa"/>
          </w:tcPr>
          <w:p>
            <w:pPr>
              <w:pStyle w:val="TableParagraph"/>
              <w:spacing w:line="256" w:lineRule="exact"/>
              <w:ind w:left="720"/>
              <w:rPr>
                <w:sz w:val="24"/>
              </w:rPr>
            </w:pPr>
            <w:r>
              <w:rPr>
                <w:sz w:val="24"/>
              </w:rPr>
              <w:t>313</w:t>
            </w:r>
          </w:p>
        </w:tc>
        <w:tc>
          <w:tcPr>
            <w:tcW w:w="1600" w:type="dxa"/>
          </w:tcPr>
          <w:p>
            <w:pPr>
              <w:pStyle w:val="TableParagraph"/>
              <w:spacing w:line="256" w:lineRule="exact"/>
              <w:ind w:right="669"/>
              <w:jc w:val="right"/>
              <w:rPr>
                <w:sz w:val="24"/>
              </w:rPr>
            </w:pPr>
            <w:r>
              <w:rPr>
                <w:sz w:val="24"/>
              </w:rPr>
              <w:t>28</w:t>
            </w:r>
          </w:p>
        </w:tc>
      </w:tr>
    </w:tbl>
    <w:p>
      <w:pPr>
        <w:pStyle w:val="BodyText"/>
        <w:ind w:left="233" w:right="1520"/>
        <w:rPr>
          <w:b/>
        </w:rPr>
      </w:pPr>
      <w:r>
        <w:rPr/>
        <w:t>Referitor la rezultatele prezentate in tabelul de mai sus, 39 probe cu 117 determinări reprezinta activitatea desfasurata in cadrul PN II si in cadrul PN I s-au analizat 11 probe cu 11 determinări. </w:t>
      </w:r>
      <w:r>
        <w:rPr>
          <w:b/>
        </w:rPr>
        <w:t>Infecţii Nosocomiale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9"/>
        <w:gridCol w:w="1399"/>
        <w:gridCol w:w="1301"/>
        <w:gridCol w:w="1800"/>
        <w:gridCol w:w="1689"/>
      </w:tblGrid>
      <w:tr>
        <w:trPr>
          <w:trHeight w:val="376" w:hRule="atLeast"/>
        </w:trPr>
        <w:tc>
          <w:tcPr>
            <w:tcW w:w="5809" w:type="dxa"/>
            <w:gridSpan w:val="3"/>
          </w:tcPr>
          <w:p>
            <w:pPr>
              <w:pStyle w:val="TableParagraph"/>
              <w:spacing w:line="275" w:lineRule="exact"/>
              <w:ind w:right="748"/>
              <w:jc w:val="right"/>
              <w:rPr>
                <w:sz w:val="24"/>
              </w:rPr>
            </w:pPr>
            <w:r>
              <w:rPr>
                <w:sz w:val="24"/>
              </w:rPr>
              <w:t>Nr. probe</w:t>
            </w:r>
          </w:p>
        </w:tc>
        <w:tc>
          <w:tcPr>
            <w:tcW w:w="3489" w:type="dxa"/>
            <w:gridSpan w:val="2"/>
          </w:tcPr>
          <w:p>
            <w:pPr>
              <w:pStyle w:val="TableParagraph"/>
              <w:spacing w:line="275" w:lineRule="exact"/>
              <w:ind w:left="108"/>
              <w:rPr>
                <w:sz w:val="24"/>
              </w:rPr>
            </w:pPr>
            <w:r>
              <w:rPr>
                <w:sz w:val="24"/>
              </w:rPr>
              <w:t>Nr. determ. microbiologice</w:t>
            </w:r>
          </w:p>
        </w:tc>
      </w:tr>
      <w:tr>
        <w:trPr>
          <w:trHeight w:val="275" w:hRule="atLeast"/>
        </w:trPr>
        <w:tc>
          <w:tcPr>
            <w:tcW w:w="3109" w:type="dxa"/>
          </w:tcPr>
          <w:p>
            <w:pPr>
              <w:pStyle w:val="TableParagraph"/>
              <w:rPr>
                <w:sz w:val="20"/>
              </w:rPr>
            </w:pPr>
          </w:p>
        </w:tc>
        <w:tc>
          <w:tcPr>
            <w:tcW w:w="1399" w:type="dxa"/>
          </w:tcPr>
          <w:p>
            <w:pPr>
              <w:pStyle w:val="TableParagraph"/>
              <w:spacing w:line="256" w:lineRule="exact"/>
              <w:ind w:left="359"/>
              <w:rPr>
                <w:sz w:val="24"/>
              </w:rPr>
            </w:pPr>
            <w:r>
              <w:rPr>
                <w:sz w:val="24"/>
              </w:rPr>
              <w:t>total</w:t>
            </w:r>
          </w:p>
        </w:tc>
        <w:tc>
          <w:tcPr>
            <w:tcW w:w="1301" w:type="dxa"/>
          </w:tcPr>
          <w:p>
            <w:pPr>
              <w:pStyle w:val="TableParagraph"/>
              <w:spacing w:line="256" w:lineRule="exact"/>
              <w:ind w:left="230"/>
              <w:rPr>
                <w:sz w:val="24"/>
              </w:rPr>
            </w:pPr>
            <w:r>
              <w:rPr>
                <w:sz w:val="24"/>
              </w:rPr>
              <w:t>pozitive</w:t>
            </w:r>
          </w:p>
        </w:tc>
        <w:tc>
          <w:tcPr>
            <w:tcW w:w="1800" w:type="dxa"/>
          </w:tcPr>
          <w:p>
            <w:pPr>
              <w:pStyle w:val="TableParagraph"/>
              <w:spacing w:line="256" w:lineRule="exact"/>
              <w:ind w:right="688"/>
              <w:jc w:val="right"/>
              <w:rPr>
                <w:sz w:val="24"/>
              </w:rPr>
            </w:pPr>
            <w:r>
              <w:rPr>
                <w:sz w:val="24"/>
              </w:rPr>
              <w:t>total</w:t>
            </w:r>
          </w:p>
        </w:tc>
        <w:tc>
          <w:tcPr>
            <w:tcW w:w="1689" w:type="dxa"/>
          </w:tcPr>
          <w:p>
            <w:pPr>
              <w:pStyle w:val="TableParagraph"/>
              <w:spacing w:line="256" w:lineRule="exact"/>
              <w:ind w:left="807"/>
              <w:rPr>
                <w:sz w:val="24"/>
              </w:rPr>
            </w:pPr>
            <w:r>
              <w:rPr>
                <w:sz w:val="24"/>
              </w:rPr>
              <w:t>pozitive</w:t>
            </w:r>
          </w:p>
        </w:tc>
      </w:tr>
      <w:tr>
        <w:trPr>
          <w:trHeight w:val="275" w:hRule="atLeast"/>
        </w:trPr>
        <w:tc>
          <w:tcPr>
            <w:tcW w:w="3109" w:type="dxa"/>
          </w:tcPr>
          <w:p>
            <w:pPr>
              <w:pStyle w:val="TableParagraph"/>
              <w:spacing w:line="256" w:lineRule="exact"/>
              <w:ind w:left="108"/>
              <w:rPr>
                <w:sz w:val="24"/>
              </w:rPr>
            </w:pPr>
            <w:r>
              <w:rPr>
                <w:sz w:val="24"/>
              </w:rPr>
              <w:t>1. Teste controlul sterilizării</w:t>
            </w:r>
          </w:p>
        </w:tc>
        <w:tc>
          <w:tcPr>
            <w:tcW w:w="1399" w:type="dxa"/>
          </w:tcPr>
          <w:p>
            <w:pPr>
              <w:pStyle w:val="TableParagraph"/>
              <w:spacing w:line="256" w:lineRule="exact"/>
              <w:ind w:right="487"/>
              <w:jc w:val="right"/>
              <w:rPr>
                <w:sz w:val="24"/>
              </w:rPr>
            </w:pPr>
            <w:r>
              <w:rPr>
                <w:sz w:val="24"/>
              </w:rPr>
              <w:t>7646</w:t>
            </w:r>
          </w:p>
        </w:tc>
        <w:tc>
          <w:tcPr>
            <w:tcW w:w="1301" w:type="dxa"/>
          </w:tcPr>
          <w:p>
            <w:pPr>
              <w:pStyle w:val="TableParagraph"/>
              <w:spacing w:line="256" w:lineRule="exact"/>
              <w:ind w:right="107"/>
              <w:jc w:val="center"/>
              <w:rPr>
                <w:sz w:val="24"/>
              </w:rPr>
            </w:pPr>
            <w:r>
              <w:rPr>
                <w:sz w:val="24"/>
              </w:rPr>
              <w:t>5</w:t>
            </w:r>
          </w:p>
        </w:tc>
        <w:tc>
          <w:tcPr>
            <w:tcW w:w="1800" w:type="dxa"/>
          </w:tcPr>
          <w:p>
            <w:pPr>
              <w:pStyle w:val="TableParagraph"/>
              <w:spacing w:line="256" w:lineRule="exact"/>
              <w:ind w:right="659"/>
              <w:jc w:val="right"/>
              <w:rPr>
                <w:sz w:val="24"/>
              </w:rPr>
            </w:pPr>
            <w:r>
              <w:rPr>
                <w:sz w:val="24"/>
              </w:rPr>
              <w:t>7646</w:t>
            </w:r>
          </w:p>
        </w:tc>
        <w:tc>
          <w:tcPr>
            <w:tcW w:w="1689" w:type="dxa"/>
          </w:tcPr>
          <w:p>
            <w:pPr>
              <w:pStyle w:val="TableParagraph"/>
              <w:spacing w:line="256" w:lineRule="exact"/>
              <w:ind w:left="338"/>
              <w:jc w:val="center"/>
              <w:rPr>
                <w:sz w:val="24"/>
              </w:rPr>
            </w:pPr>
            <w:r>
              <w:rPr>
                <w:sz w:val="24"/>
              </w:rPr>
              <w:t>5</w:t>
            </w:r>
          </w:p>
        </w:tc>
      </w:tr>
      <w:tr>
        <w:trPr>
          <w:trHeight w:val="277" w:hRule="atLeast"/>
        </w:trPr>
        <w:tc>
          <w:tcPr>
            <w:tcW w:w="3109" w:type="dxa"/>
          </w:tcPr>
          <w:p>
            <w:pPr>
              <w:pStyle w:val="TableParagraph"/>
              <w:spacing w:line="257" w:lineRule="exact" w:before="1"/>
              <w:ind w:left="108"/>
              <w:rPr>
                <w:sz w:val="24"/>
              </w:rPr>
            </w:pPr>
            <w:r>
              <w:rPr>
                <w:sz w:val="24"/>
              </w:rPr>
              <w:t>2.Testarea sterilităţii</w:t>
            </w:r>
          </w:p>
        </w:tc>
        <w:tc>
          <w:tcPr>
            <w:tcW w:w="1399" w:type="dxa"/>
          </w:tcPr>
          <w:p>
            <w:pPr>
              <w:pStyle w:val="TableParagraph"/>
              <w:spacing w:line="257" w:lineRule="exact" w:before="1"/>
              <w:ind w:right="472"/>
              <w:jc w:val="right"/>
              <w:rPr>
                <w:sz w:val="24"/>
              </w:rPr>
            </w:pPr>
            <w:r>
              <w:rPr>
                <w:sz w:val="24"/>
              </w:rPr>
              <w:t>1934</w:t>
            </w:r>
          </w:p>
        </w:tc>
        <w:tc>
          <w:tcPr>
            <w:tcW w:w="1301" w:type="dxa"/>
          </w:tcPr>
          <w:p>
            <w:pPr>
              <w:pStyle w:val="TableParagraph"/>
              <w:spacing w:line="257" w:lineRule="exact" w:before="1"/>
              <w:ind w:right="107"/>
              <w:jc w:val="center"/>
              <w:rPr>
                <w:sz w:val="24"/>
              </w:rPr>
            </w:pPr>
            <w:r>
              <w:rPr>
                <w:sz w:val="24"/>
              </w:rPr>
              <w:t>9</w:t>
            </w:r>
          </w:p>
        </w:tc>
        <w:tc>
          <w:tcPr>
            <w:tcW w:w="1800" w:type="dxa"/>
          </w:tcPr>
          <w:p>
            <w:pPr>
              <w:pStyle w:val="TableParagraph"/>
              <w:spacing w:line="257" w:lineRule="exact" w:before="1"/>
              <w:ind w:right="659"/>
              <w:jc w:val="right"/>
              <w:rPr>
                <w:sz w:val="24"/>
              </w:rPr>
            </w:pPr>
            <w:r>
              <w:rPr>
                <w:sz w:val="24"/>
              </w:rPr>
              <w:t>2359</w:t>
            </w:r>
          </w:p>
        </w:tc>
        <w:tc>
          <w:tcPr>
            <w:tcW w:w="1689" w:type="dxa"/>
          </w:tcPr>
          <w:p>
            <w:pPr>
              <w:pStyle w:val="TableParagraph"/>
              <w:spacing w:line="257" w:lineRule="exact" w:before="1"/>
              <w:ind w:left="338"/>
              <w:jc w:val="center"/>
              <w:rPr>
                <w:sz w:val="24"/>
              </w:rPr>
            </w:pPr>
            <w:r>
              <w:rPr>
                <w:sz w:val="24"/>
              </w:rPr>
              <w:t>9</w:t>
            </w:r>
          </w:p>
        </w:tc>
      </w:tr>
      <w:tr>
        <w:trPr>
          <w:trHeight w:val="275" w:hRule="atLeast"/>
        </w:trPr>
        <w:tc>
          <w:tcPr>
            <w:tcW w:w="3109" w:type="dxa"/>
          </w:tcPr>
          <w:p>
            <w:pPr>
              <w:pStyle w:val="TableParagraph"/>
              <w:spacing w:line="256" w:lineRule="exact"/>
              <w:ind w:left="108"/>
              <w:rPr>
                <w:sz w:val="24"/>
              </w:rPr>
            </w:pPr>
            <w:r>
              <w:rPr>
                <w:sz w:val="24"/>
              </w:rPr>
              <w:t>3.Teste Salubritate</w:t>
            </w:r>
          </w:p>
        </w:tc>
        <w:tc>
          <w:tcPr>
            <w:tcW w:w="1399" w:type="dxa"/>
          </w:tcPr>
          <w:p>
            <w:pPr>
              <w:pStyle w:val="TableParagraph"/>
              <w:spacing w:line="256" w:lineRule="exact"/>
              <w:ind w:right="441"/>
              <w:jc w:val="right"/>
              <w:rPr>
                <w:sz w:val="24"/>
              </w:rPr>
            </w:pPr>
            <w:r>
              <w:rPr>
                <w:sz w:val="24"/>
              </w:rPr>
              <w:t>6439</w:t>
            </w:r>
          </w:p>
        </w:tc>
        <w:tc>
          <w:tcPr>
            <w:tcW w:w="1301" w:type="dxa"/>
          </w:tcPr>
          <w:p>
            <w:pPr>
              <w:pStyle w:val="TableParagraph"/>
              <w:spacing w:line="256" w:lineRule="exact"/>
              <w:ind w:left="290"/>
              <w:rPr>
                <w:sz w:val="24"/>
              </w:rPr>
            </w:pPr>
            <w:r>
              <w:rPr>
                <w:sz w:val="24"/>
              </w:rPr>
              <w:t>343</w:t>
            </w:r>
          </w:p>
        </w:tc>
        <w:tc>
          <w:tcPr>
            <w:tcW w:w="1800" w:type="dxa"/>
          </w:tcPr>
          <w:p>
            <w:pPr>
              <w:pStyle w:val="TableParagraph"/>
              <w:spacing w:line="256" w:lineRule="exact"/>
              <w:ind w:right="659"/>
              <w:jc w:val="right"/>
              <w:rPr>
                <w:sz w:val="24"/>
              </w:rPr>
            </w:pPr>
            <w:r>
              <w:rPr>
                <w:sz w:val="24"/>
              </w:rPr>
              <w:t>44660</w:t>
            </w:r>
          </w:p>
        </w:tc>
        <w:tc>
          <w:tcPr>
            <w:tcW w:w="1689" w:type="dxa"/>
          </w:tcPr>
          <w:p>
            <w:pPr>
              <w:pStyle w:val="TableParagraph"/>
              <w:spacing w:line="256" w:lineRule="exact"/>
              <w:ind w:left="708"/>
              <w:rPr>
                <w:sz w:val="24"/>
              </w:rPr>
            </w:pPr>
            <w:r>
              <w:rPr>
                <w:sz w:val="24"/>
              </w:rPr>
              <w:t>473</w:t>
            </w:r>
          </w:p>
        </w:tc>
      </w:tr>
      <w:tr>
        <w:trPr>
          <w:trHeight w:val="275" w:hRule="atLeast"/>
        </w:trPr>
        <w:tc>
          <w:tcPr>
            <w:tcW w:w="3109" w:type="dxa"/>
          </w:tcPr>
          <w:p>
            <w:pPr>
              <w:pStyle w:val="TableParagraph"/>
              <w:spacing w:line="256" w:lineRule="exact"/>
              <w:ind w:left="108"/>
              <w:rPr>
                <w:sz w:val="24"/>
              </w:rPr>
            </w:pPr>
            <w:r>
              <w:rPr>
                <w:sz w:val="24"/>
              </w:rPr>
              <w:t>4. A.M.F.</w:t>
            </w:r>
          </w:p>
        </w:tc>
        <w:tc>
          <w:tcPr>
            <w:tcW w:w="1399" w:type="dxa"/>
          </w:tcPr>
          <w:p>
            <w:pPr>
              <w:pStyle w:val="TableParagraph"/>
              <w:spacing w:line="256" w:lineRule="exact"/>
              <w:ind w:right="457"/>
              <w:jc w:val="right"/>
              <w:rPr>
                <w:sz w:val="24"/>
              </w:rPr>
            </w:pPr>
            <w:r>
              <w:rPr>
                <w:sz w:val="24"/>
              </w:rPr>
              <w:t>3668</w:t>
            </w:r>
          </w:p>
        </w:tc>
        <w:tc>
          <w:tcPr>
            <w:tcW w:w="1301" w:type="dxa"/>
          </w:tcPr>
          <w:p>
            <w:pPr>
              <w:pStyle w:val="TableParagraph"/>
              <w:spacing w:line="256" w:lineRule="exact"/>
              <w:ind w:left="290"/>
              <w:rPr>
                <w:sz w:val="24"/>
              </w:rPr>
            </w:pPr>
            <w:r>
              <w:rPr>
                <w:sz w:val="24"/>
              </w:rPr>
              <w:t>311</w:t>
            </w:r>
          </w:p>
        </w:tc>
        <w:tc>
          <w:tcPr>
            <w:tcW w:w="1800" w:type="dxa"/>
          </w:tcPr>
          <w:p>
            <w:pPr>
              <w:pStyle w:val="TableParagraph"/>
              <w:spacing w:line="256" w:lineRule="exact"/>
              <w:ind w:right="659"/>
              <w:jc w:val="right"/>
              <w:rPr>
                <w:sz w:val="24"/>
              </w:rPr>
            </w:pPr>
            <w:r>
              <w:rPr>
                <w:sz w:val="24"/>
              </w:rPr>
              <w:t>7288</w:t>
            </w:r>
          </w:p>
        </w:tc>
        <w:tc>
          <w:tcPr>
            <w:tcW w:w="1689" w:type="dxa"/>
          </w:tcPr>
          <w:p>
            <w:pPr>
              <w:pStyle w:val="TableParagraph"/>
              <w:spacing w:line="256" w:lineRule="exact"/>
              <w:ind w:left="708"/>
              <w:rPr>
                <w:sz w:val="24"/>
              </w:rPr>
            </w:pPr>
            <w:r>
              <w:rPr>
                <w:sz w:val="24"/>
              </w:rPr>
              <w:t>492</w:t>
            </w:r>
          </w:p>
        </w:tc>
      </w:tr>
      <w:tr>
        <w:trPr>
          <w:trHeight w:val="275" w:hRule="atLeast"/>
        </w:trPr>
        <w:tc>
          <w:tcPr>
            <w:tcW w:w="3109" w:type="dxa"/>
          </w:tcPr>
          <w:p>
            <w:pPr>
              <w:pStyle w:val="TableParagraph"/>
              <w:spacing w:line="256" w:lineRule="exact"/>
              <w:ind w:left="108"/>
              <w:rPr>
                <w:sz w:val="24"/>
              </w:rPr>
            </w:pPr>
            <w:r>
              <w:rPr>
                <w:sz w:val="24"/>
              </w:rPr>
              <w:t>5. Ape sterile</w:t>
            </w:r>
          </w:p>
        </w:tc>
        <w:tc>
          <w:tcPr>
            <w:tcW w:w="1399" w:type="dxa"/>
          </w:tcPr>
          <w:p>
            <w:pPr>
              <w:pStyle w:val="TableParagraph"/>
              <w:spacing w:line="256" w:lineRule="exact"/>
              <w:ind w:right="472"/>
              <w:jc w:val="right"/>
              <w:rPr>
                <w:sz w:val="24"/>
              </w:rPr>
            </w:pPr>
            <w:r>
              <w:rPr>
                <w:sz w:val="24"/>
              </w:rPr>
              <w:t>1764</w:t>
            </w:r>
          </w:p>
        </w:tc>
        <w:tc>
          <w:tcPr>
            <w:tcW w:w="1301" w:type="dxa"/>
          </w:tcPr>
          <w:p>
            <w:pPr>
              <w:pStyle w:val="TableParagraph"/>
              <w:spacing w:line="256" w:lineRule="exact"/>
              <w:ind w:left="410"/>
              <w:rPr>
                <w:sz w:val="24"/>
              </w:rPr>
            </w:pPr>
            <w:r>
              <w:rPr>
                <w:sz w:val="24"/>
              </w:rPr>
              <w:t>46</w:t>
            </w:r>
          </w:p>
        </w:tc>
        <w:tc>
          <w:tcPr>
            <w:tcW w:w="1800" w:type="dxa"/>
          </w:tcPr>
          <w:p>
            <w:pPr>
              <w:pStyle w:val="TableParagraph"/>
              <w:spacing w:line="256" w:lineRule="exact"/>
              <w:ind w:right="659"/>
              <w:jc w:val="right"/>
              <w:rPr>
                <w:sz w:val="24"/>
              </w:rPr>
            </w:pPr>
            <w:r>
              <w:rPr>
                <w:sz w:val="24"/>
              </w:rPr>
              <w:t>1764</w:t>
            </w:r>
          </w:p>
        </w:tc>
        <w:tc>
          <w:tcPr>
            <w:tcW w:w="1689" w:type="dxa"/>
          </w:tcPr>
          <w:p>
            <w:pPr>
              <w:pStyle w:val="TableParagraph"/>
              <w:spacing w:line="256" w:lineRule="exact"/>
              <w:ind w:left="808" w:right="590"/>
              <w:jc w:val="center"/>
              <w:rPr>
                <w:sz w:val="24"/>
              </w:rPr>
            </w:pPr>
            <w:r>
              <w:rPr>
                <w:sz w:val="24"/>
              </w:rPr>
              <w:t>46</w:t>
            </w:r>
          </w:p>
        </w:tc>
      </w:tr>
      <w:tr>
        <w:trPr>
          <w:trHeight w:val="275" w:hRule="atLeast"/>
        </w:trPr>
        <w:tc>
          <w:tcPr>
            <w:tcW w:w="3109" w:type="dxa"/>
          </w:tcPr>
          <w:p>
            <w:pPr>
              <w:pStyle w:val="TableParagraph"/>
              <w:spacing w:line="256" w:lineRule="exact"/>
              <w:ind w:left="108"/>
              <w:rPr>
                <w:sz w:val="24"/>
              </w:rPr>
            </w:pPr>
            <w:r>
              <w:rPr>
                <w:sz w:val="24"/>
              </w:rPr>
              <w:t>6. NTG în unităţi de dializă</w:t>
            </w:r>
          </w:p>
        </w:tc>
        <w:tc>
          <w:tcPr>
            <w:tcW w:w="1399" w:type="dxa"/>
          </w:tcPr>
          <w:p>
            <w:pPr>
              <w:pStyle w:val="TableParagraph"/>
              <w:spacing w:line="256" w:lineRule="exact"/>
              <w:ind w:right="499"/>
              <w:jc w:val="right"/>
              <w:rPr>
                <w:sz w:val="24"/>
              </w:rPr>
            </w:pPr>
            <w:r>
              <w:rPr>
                <w:sz w:val="24"/>
              </w:rPr>
              <w:t>677</w:t>
            </w:r>
          </w:p>
        </w:tc>
        <w:tc>
          <w:tcPr>
            <w:tcW w:w="1301" w:type="dxa"/>
          </w:tcPr>
          <w:p>
            <w:pPr>
              <w:pStyle w:val="TableParagraph"/>
              <w:spacing w:line="256" w:lineRule="exact"/>
              <w:ind w:right="107"/>
              <w:jc w:val="center"/>
              <w:rPr>
                <w:sz w:val="24"/>
              </w:rPr>
            </w:pPr>
            <w:r>
              <w:rPr>
                <w:sz w:val="24"/>
              </w:rPr>
              <w:t>0</w:t>
            </w:r>
          </w:p>
        </w:tc>
        <w:tc>
          <w:tcPr>
            <w:tcW w:w="1800" w:type="dxa"/>
          </w:tcPr>
          <w:p>
            <w:pPr>
              <w:pStyle w:val="TableParagraph"/>
              <w:spacing w:line="256" w:lineRule="exact"/>
              <w:ind w:right="659"/>
              <w:jc w:val="right"/>
              <w:rPr>
                <w:sz w:val="24"/>
              </w:rPr>
            </w:pPr>
            <w:r>
              <w:rPr>
                <w:sz w:val="24"/>
              </w:rPr>
              <w:t>677</w:t>
            </w:r>
          </w:p>
        </w:tc>
        <w:tc>
          <w:tcPr>
            <w:tcW w:w="1689" w:type="dxa"/>
          </w:tcPr>
          <w:p>
            <w:pPr>
              <w:pStyle w:val="TableParagraph"/>
              <w:spacing w:line="256" w:lineRule="exact"/>
              <w:ind w:left="338"/>
              <w:jc w:val="center"/>
              <w:rPr>
                <w:sz w:val="24"/>
              </w:rPr>
            </w:pPr>
            <w:r>
              <w:rPr>
                <w:sz w:val="24"/>
              </w:rPr>
              <w:t>0</w:t>
            </w:r>
          </w:p>
        </w:tc>
      </w:tr>
      <w:tr>
        <w:trPr>
          <w:trHeight w:val="275" w:hRule="atLeast"/>
        </w:trPr>
        <w:tc>
          <w:tcPr>
            <w:tcW w:w="3109" w:type="dxa"/>
          </w:tcPr>
          <w:p>
            <w:pPr>
              <w:pStyle w:val="TableParagraph"/>
              <w:spacing w:line="256" w:lineRule="exact"/>
              <w:ind w:left="108"/>
              <w:rPr>
                <w:sz w:val="24"/>
              </w:rPr>
            </w:pPr>
            <w:r>
              <w:rPr>
                <w:sz w:val="24"/>
              </w:rPr>
              <w:t>7. Fir de sutură</w:t>
            </w:r>
          </w:p>
        </w:tc>
        <w:tc>
          <w:tcPr>
            <w:tcW w:w="1399" w:type="dxa"/>
          </w:tcPr>
          <w:p>
            <w:pPr>
              <w:pStyle w:val="TableParagraph"/>
              <w:spacing w:line="256" w:lineRule="exact"/>
              <w:ind w:right="487"/>
              <w:jc w:val="right"/>
              <w:rPr>
                <w:sz w:val="24"/>
              </w:rPr>
            </w:pPr>
            <w:r>
              <w:rPr>
                <w:sz w:val="24"/>
              </w:rPr>
              <w:t>1460</w:t>
            </w:r>
          </w:p>
        </w:tc>
        <w:tc>
          <w:tcPr>
            <w:tcW w:w="1301" w:type="dxa"/>
          </w:tcPr>
          <w:p>
            <w:pPr>
              <w:pStyle w:val="TableParagraph"/>
              <w:spacing w:line="256" w:lineRule="exact"/>
              <w:ind w:right="107"/>
              <w:jc w:val="center"/>
              <w:rPr>
                <w:sz w:val="24"/>
              </w:rPr>
            </w:pPr>
            <w:r>
              <w:rPr>
                <w:sz w:val="24"/>
              </w:rPr>
              <w:t>0</w:t>
            </w:r>
          </w:p>
        </w:tc>
        <w:tc>
          <w:tcPr>
            <w:tcW w:w="1800" w:type="dxa"/>
          </w:tcPr>
          <w:p>
            <w:pPr>
              <w:pStyle w:val="TableParagraph"/>
              <w:spacing w:line="256" w:lineRule="exact"/>
              <w:ind w:right="659"/>
              <w:jc w:val="right"/>
              <w:rPr>
                <w:sz w:val="24"/>
              </w:rPr>
            </w:pPr>
            <w:r>
              <w:rPr>
                <w:sz w:val="24"/>
              </w:rPr>
              <w:t>2920</w:t>
            </w:r>
          </w:p>
        </w:tc>
        <w:tc>
          <w:tcPr>
            <w:tcW w:w="1689" w:type="dxa"/>
          </w:tcPr>
          <w:p>
            <w:pPr>
              <w:pStyle w:val="TableParagraph"/>
              <w:spacing w:line="256" w:lineRule="exact"/>
              <w:ind w:left="338"/>
              <w:jc w:val="center"/>
              <w:rPr>
                <w:sz w:val="24"/>
              </w:rPr>
            </w:pPr>
            <w:r>
              <w:rPr>
                <w:sz w:val="24"/>
              </w:rPr>
              <w:t>0</w:t>
            </w:r>
          </w:p>
        </w:tc>
      </w:tr>
      <w:tr>
        <w:trPr>
          <w:trHeight w:val="276" w:hRule="atLeast"/>
        </w:trPr>
        <w:tc>
          <w:tcPr>
            <w:tcW w:w="3109" w:type="dxa"/>
          </w:tcPr>
          <w:p>
            <w:pPr>
              <w:pStyle w:val="TableParagraph"/>
              <w:spacing w:line="256" w:lineRule="exact"/>
              <w:ind w:left="108"/>
              <w:rPr>
                <w:sz w:val="24"/>
              </w:rPr>
            </w:pPr>
            <w:r>
              <w:rPr>
                <w:sz w:val="24"/>
              </w:rPr>
              <w:t>8. Mâini - sector alimentar</w:t>
            </w:r>
          </w:p>
        </w:tc>
        <w:tc>
          <w:tcPr>
            <w:tcW w:w="1399" w:type="dxa"/>
          </w:tcPr>
          <w:p>
            <w:pPr>
              <w:pStyle w:val="TableParagraph"/>
              <w:spacing w:line="256" w:lineRule="exact"/>
              <w:ind w:right="499"/>
              <w:jc w:val="right"/>
              <w:rPr>
                <w:sz w:val="24"/>
              </w:rPr>
            </w:pPr>
            <w:r>
              <w:rPr>
                <w:sz w:val="24"/>
              </w:rPr>
              <w:t>138</w:t>
            </w:r>
          </w:p>
        </w:tc>
        <w:tc>
          <w:tcPr>
            <w:tcW w:w="1301" w:type="dxa"/>
          </w:tcPr>
          <w:p>
            <w:pPr>
              <w:pStyle w:val="TableParagraph"/>
              <w:spacing w:line="256" w:lineRule="exact"/>
              <w:ind w:right="107"/>
              <w:jc w:val="center"/>
              <w:rPr>
                <w:sz w:val="24"/>
              </w:rPr>
            </w:pPr>
            <w:r>
              <w:rPr>
                <w:sz w:val="24"/>
              </w:rPr>
              <w:t>1</w:t>
            </w:r>
          </w:p>
        </w:tc>
        <w:tc>
          <w:tcPr>
            <w:tcW w:w="1800" w:type="dxa"/>
          </w:tcPr>
          <w:p>
            <w:pPr>
              <w:pStyle w:val="TableParagraph"/>
              <w:spacing w:line="256" w:lineRule="exact"/>
              <w:ind w:right="659"/>
              <w:jc w:val="right"/>
              <w:rPr>
                <w:sz w:val="24"/>
              </w:rPr>
            </w:pPr>
            <w:r>
              <w:rPr>
                <w:sz w:val="24"/>
              </w:rPr>
              <w:t>276</w:t>
            </w:r>
          </w:p>
        </w:tc>
        <w:tc>
          <w:tcPr>
            <w:tcW w:w="1689" w:type="dxa"/>
          </w:tcPr>
          <w:p>
            <w:pPr>
              <w:pStyle w:val="TableParagraph"/>
              <w:spacing w:line="256" w:lineRule="exact"/>
              <w:ind w:left="338"/>
              <w:jc w:val="center"/>
              <w:rPr>
                <w:sz w:val="24"/>
              </w:rPr>
            </w:pPr>
            <w:r>
              <w:rPr>
                <w:sz w:val="24"/>
              </w:rPr>
              <w:t>1</w:t>
            </w:r>
          </w:p>
        </w:tc>
      </w:tr>
      <w:tr>
        <w:trPr>
          <w:trHeight w:val="277" w:hRule="atLeast"/>
        </w:trPr>
        <w:tc>
          <w:tcPr>
            <w:tcW w:w="3109" w:type="dxa"/>
          </w:tcPr>
          <w:p>
            <w:pPr>
              <w:pStyle w:val="TableParagraph"/>
              <w:spacing w:line="257" w:lineRule="exact" w:before="1"/>
              <w:ind w:left="648"/>
              <w:rPr>
                <w:sz w:val="24"/>
              </w:rPr>
            </w:pPr>
            <w:r>
              <w:rPr>
                <w:sz w:val="24"/>
              </w:rPr>
              <w:t>Total probe</w:t>
            </w:r>
          </w:p>
        </w:tc>
        <w:tc>
          <w:tcPr>
            <w:tcW w:w="1399" w:type="dxa"/>
          </w:tcPr>
          <w:p>
            <w:pPr>
              <w:pStyle w:val="TableParagraph"/>
              <w:spacing w:line="257" w:lineRule="exact" w:before="1"/>
              <w:ind w:left="314"/>
              <w:rPr>
                <w:sz w:val="24"/>
              </w:rPr>
            </w:pPr>
            <w:r>
              <w:rPr>
                <w:sz w:val="24"/>
              </w:rPr>
              <w:t>23726</w:t>
            </w:r>
          </w:p>
        </w:tc>
        <w:tc>
          <w:tcPr>
            <w:tcW w:w="1301" w:type="dxa"/>
          </w:tcPr>
          <w:p>
            <w:pPr>
              <w:pStyle w:val="TableParagraph"/>
              <w:spacing w:line="257" w:lineRule="exact" w:before="1"/>
              <w:ind w:left="290"/>
              <w:rPr>
                <w:sz w:val="24"/>
              </w:rPr>
            </w:pPr>
            <w:r>
              <w:rPr>
                <w:sz w:val="24"/>
              </w:rPr>
              <w:t>715</w:t>
            </w:r>
          </w:p>
        </w:tc>
        <w:tc>
          <w:tcPr>
            <w:tcW w:w="1800" w:type="dxa"/>
          </w:tcPr>
          <w:p>
            <w:pPr>
              <w:pStyle w:val="TableParagraph"/>
              <w:spacing w:line="257" w:lineRule="exact" w:before="1"/>
              <w:ind w:right="659"/>
              <w:jc w:val="right"/>
              <w:rPr>
                <w:sz w:val="24"/>
              </w:rPr>
            </w:pPr>
            <w:r>
              <w:rPr>
                <w:sz w:val="24"/>
              </w:rPr>
              <w:t>67590</w:t>
            </w:r>
          </w:p>
        </w:tc>
        <w:tc>
          <w:tcPr>
            <w:tcW w:w="1689" w:type="dxa"/>
          </w:tcPr>
          <w:p>
            <w:pPr>
              <w:pStyle w:val="TableParagraph"/>
              <w:spacing w:line="257" w:lineRule="exact" w:before="1"/>
              <w:ind w:left="648"/>
              <w:rPr>
                <w:sz w:val="24"/>
              </w:rPr>
            </w:pPr>
            <w:r>
              <w:rPr>
                <w:sz w:val="24"/>
              </w:rPr>
              <w:t>1026</w:t>
            </w:r>
          </w:p>
        </w:tc>
      </w:tr>
    </w:tbl>
    <w:p>
      <w:pPr>
        <w:pStyle w:val="BodyText"/>
        <w:ind w:left="233" w:right="880"/>
      </w:pPr>
      <w:r>
        <w:rPr/>
        <w:t>Referitor la rezultatele prezentate in tabelul de mai sus, 24 probe teste salubritate, 192 determinari; 3 probe AMF, 6 determinari, reprezinta activitatea desfasurata in cadrul PN II.</w:t>
      </w:r>
    </w:p>
    <w:p>
      <w:pPr>
        <w:pStyle w:val="Heading1"/>
        <w:rPr>
          <w:u w:val="none"/>
        </w:rPr>
      </w:pPr>
      <w:r>
        <w:rPr>
          <w:u w:val="none"/>
        </w:rPr>
        <w:t>Bacteriologia alimentului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7"/>
        <w:gridCol w:w="2353"/>
        <w:gridCol w:w="1150"/>
        <w:gridCol w:w="1871"/>
      </w:tblGrid>
      <w:tr>
        <w:trPr>
          <w:trHeight w:val="335" w:hRule="atLeast"/>
        </w:trPr>
        <w:tc>
          <w:tcPr>
            <w:tcW w:w="2807" w:type="dxa"/>
          </w:tcPr>
          <w:p>
            <w:pPr>
              <w:pStyle w:val="TableParagraph"/>
              <w:rPr>
                <w:sz w:val="24"/>
              </w:rPr>
            </w:pPr>
          </w:p>
        </w:tc>
        <w:tc>
          <w:tcPr>
            <w:tcW w:w="2353" w:type="dxa"/>
          </w:tcPr>
          <w:p>
            <w:pPr>
              <w:pStyle w:val="TableParagraph"/>
              <w:spacing w:line="275" w:lineRule="exact"/>
              <w:ind w:left="599"/>
              <w:rPr>
                <w:sz w:val="24"/>
              </w:rPr>
            </w:pPr>
            <w:r>
              <w:rPr>
                <w:sz w:val="24"/>
              </w:rPr>
              <w:t>Nr. probe</w:t>
            </w:r>
          </w:p>
        </w:tc>
        <w:tc>
          <w:tcPr>
            <w:tcW w:w="3021" w:type="dxa"/>
            <w:gridSpan w:val="2"/>
          </w:tcPr>
          <w:p>
            <w:pPr>
              <w:pStyle w:val="TableParagraph"/>
              <w:spacing w:line="275" w:lineRule="exact"/>
              <w:ind w:left="106"/>
              <w:rPr>
                <w:sz w:val="24"/>
              </w:rPr>
            </w:pPr>
            <w:r>
              <w:rPr>
                <w:sz w:val="24"/>
              </w:rPr>
              <w:t>Nr. determ. microbiologice</w:t>
            </w:r>
          </w:p>
        </w:tc>
      </w:tr>
      <w:tr>
        <w:trPr>
          <w:trHeight w:val="275" w:hRule="atLeast"/>
        </w:trPr>
        <w:tc>
          <w:tcPr>
            <w:tcW w:w="2807" w:type="dxa"/>
          </w:tcPr>
          <w:p>
            <w:pPr>
              <w:pStyle w:val="TableParagraph"/>
              <w:rPr>
                <w:sz w:val="20"/>
              </w:rPr>
            </w:pPr>
          </w:p>
        </w:tc>
        <w:tc>
          <w:tcPr>
            <w:tcW w:w="2353" w:type="dxa"/>
          </w:tcPr>
          <w:p>
            <w:pPr>
              <w:pStyle w:val="TableParagraph"/>
              <w:rPr>
                <w:sz w:val="20"/>
              </w:rPr>
            </w:pPr>
          </w:p>
        </w:tc>
        <w:tc>
          <w:tcPr>
            <w:tcW w:w="1150" w:type="dxa"/>
          </w:tcPr>
          <w:p>
            <w:pPr>
              <w:pStyle w:val="TableParagraph"/>
              <w:spacing w:line="256" w:lineRule="exact"/>
              <w:ind w:left="613"/>
              <w:rPr>
                <w:sz w:val="24"/>
              </w:rPr>
            </w:pPr>
            <w:r>
              <w:rPr>
                <w:sz w:val="24"/>
              </w:rPr>
              <w:t>total</w:t>
            </w:r>
          </w:p>
        </w:tc>
        <w:tc>
          <w:tcPr>
            <w:tcW w:w="1871" w:type="dxa"/>
          </w:tcPr>
          <w:p>
            <w:pPr>
              <w:pStyle w:val="TableParagraph"/>
              <w:spacing w:line="256" w:lineRule="exact"/>
              <w:ind w:left="985"/>
              <w:rPr>
                <w:sz w:val="24"/>
              </w:rPr>
            </w:pPr>
            <w:r>
              <w:rPr>
                <w:sz w:val="24"/>
              </w:rPr>
              <w:t>pozitive</w:t>
            </w:r>
          </w:p>
        </w:tc>
      </w:tr>
      <w:tr>
        <w:trPr>
          <w:trHeight w:val="275" w:hRule="atLeast"/>
        </w:trPr>
        <w:tc>
          <w:tcPr>
            <w:tcW w:w="2807" w:type="dxa"/>
          </w:tcPr>
          <w:p>
            <w:pPr>
              <w:pStyle w:val="TableParagraph"/>
              <w:spacing w:line="256" w:lineRule="exact"/>
              <w:ind w:left="108"/>
              <w:rPr>
                <w:sz w:val="24"/>
              </w:rPr>
            </w:pPr>
            <w:r>
              <w:rPr>
                <w:sz w:val="24"/>
              </w:rPr>
              <w:t>Panificaţie</w:t>
            </w:r>
          </w:p>
        </w:tc>
        <w:tc>
          <w:tcPr>
            <w:tcW w:w="2353" w:type="dxa"/>
          </w:tcPr>
          <w:p>
            <w:pPr>
              <w:pStyle w:val="TableParagraph"/>
              <w:spacing w:line="256" w:lineRule="exact"/>
              <w:ind w:left="419"/>
              <w:rPr>
                <w:sz w:val="24"/>
              </w:rPr>
            </w:pPr>
            <w:r>
              <w:rPr>
                <w:sz w:val="24"/>
              </w:rPr>
              <w:t>175</w:t>
            </w:r>
          </w:p>
        </w:tc>
        <w:tc>
          <w:tcPr>
            <w:tcW w:w="1150" w:type="dxa"/>
          </w:tcPr>
          <w:p>
            <w:pPr>
              <w:pStyle w:val="TableParagraph"/>
              <w:spacing w:line="256" w:lineRule="exact"/>
              <w:ind w:left="372" w:right="368"/>
              <w:jc w:val="center"/>
              <w:rPr>
                <w:sz w:val="24"/>
              </w:rPr>
            </w:pPr>
            <w:r>
              <w:rPr>
                <w:sz w:val="24"/>
              </w:rPr>
              <w:t>195</w:t>
            </w:r>
          </w:p>
        </w:tc>
        <w:tc>
          <w:tcPr>
            <w:tcW w:w="1871" w:type="dxa"/>
          </w:tcPr>
          <w:p>
            <w:pPr>
              <w:pStyle w:val="TableParagraph"/>
              <w:spacing w:line="256" w:lineRule="exact"/>
              <w:ind w:left="872"/>
              <w:rPr>
                <w:sz w:val="24"/>
              </w:rPr>
            </w:pPr>
            <w:r>
              <w:rPr>
                <w:sz w:val="24"/>
              </w:rPr>
              <w:t>0</w:t>
            </w:r>
          </w:p>
        </w:tc>
      </w:tr>
      <w:tr>
        <w:trPr>
          <w:trHeight w:val="275" w:hRule="atLeast"/>
        </w:trPr>
        <w:tc>
          <w:tcPr>
            <w:tcW w:w="2807" w:type="dxa"/>
          </w:tcPr>
          <w:p>
            <w:pPr>
              <w:pStyle w:val="TableParagraph"/>
              <w:spacing w:line="256" w:lineRule="exact"/>
              <w:ind w:left="108"/>
              <w:rPr>
                <w:sz w:val="24"/>
              </w:rPr>
            </w:pPr>
            <w:r>
              <w:rPr>
                <w:sz w:val="24"/>
              </w:rPr>
              <w:t>Diverse</w:t>
            </w:r>
          </w:p>
        </w:tc>
        <w:tc>
          <w:tcPr>
            <w:tcW w:w="2353" w:type="dxa"/>
          </w:tcPr>
          <w:p>
            <w:pPr>
              <w:pStyle w:val="TableParagraph"/>
              <w:spacing w:line="256" w:lineRule="exact"/>
              <w:ind w:left="373"/>
              <w:rPr>
                <w:sz w:val="24"/>
              </w:rPr>
            </w:pPr>
            <w:r>
              <w:rPr>
                <w:sz w:val="24"/>
              </w:rPr>
              <w:t>475</w:t>
            </w:r>
          </w:p>
        </w:tc>
        <w:tc>
          <w:tcPr>
            <w:tcW w:w="1150" w:type="dxa"/>
          </w:tcPr>
          <w:p>
            <w:pPr>
              <w:pStyle w:val="TableParagraph"/>
              <w:spacing w:line="256" w:lineRule="exact"/>
              <w:ind w:left="372" w:right="368"/>
              <w:jc w:val="center"/>
              <w:rPr>
                <w:sz w:val="24"/>
              </w:rPr>
            </w:pPr>
            <w:r>
              <w:rPr>
                <w:sz w:val="24"/>
              </w:rPr>
              <w:t>959</w:t>
            </w:r>
          </w:p>
        </w:tc>
        <w:tc>
          <w:tcPr>
            <w:tcW w:w="1871" w:type="dxa"/>
          </w:tcPr>
          <w:p>
            <w:pPr>
              <w:pStyle w:val="TableParagraph"/>
              <w:spacing w:line="256" w:lineRule="exact"/>
              <w:ind w:left="872"/>
              <w:rPr>
                <w:sz w:val="24"/>
              </w:rPr>
            </w:pPr>
            <w:r>
              <w:rPr>
                <w:sz w:val="24"/>
              </w:rPr>
              <w:t>0</w:t>
            </w:r>
          </w:p>
        </w:tc>
      </w:tr>
      <w:tr>
        <w:trPr>
          <w:trHeight w:val="275" w:hRule="atLeast"/>
        </w:trPr>
        <w:tc>
          <w:tcPr>
            <w:tcW w:w="2807" w:type="dxa"/>
          </w:tcPr>
          <w:p>
            <w:pPr>
              <w:pStyle w:val="TableParagraph"/>
              <w:spacing w:line="256" w:lineRule="exact"/>
              <w:ind w:left="408"/>
              <w:rPr>
                <w:sz w:val="24"/>
              </w:rPr>
            </w:pPr>
            <w:r>
              <w:rPr>
                <w:sz w:val="24"/>
              </w:rPr>
              <w:t>Total probe plată</w:t>
            </w:r>
          </w:p>
        </w:tc>
        <w:tc>
          <w:tcPr>
            <w:tcW w:w="2353" w:type="dxa"/>
          </w:tcPr>
          <w:p>
            <w:pPr>
              <w:pStyle w:val="TableParagraph"/>
              <w:spacing w:line="256" w:lineRule="exact"/>
              <w:ind w:left="407"/>
              <w:rPr>
                <w:sz w:val="24"/>
              </w:rPr>
            </w:pPr>
            <w:r>
              <w:rPr>
                <w:sz w:val="24"/>
              </w:rPr>
              <w:t>721</w:t>
            </w:r>
          </w:p>
        </w:tc>
        <w:tc>
          <w:tcPr>
            <w:tcW w:w="1150" w:type="dxa"/>
          </w:tcPr>
          <w:p>
            <w:pPr>
              <w:pStyle w:val="TableParagraph"/>
              <w:spacing w:line="256" w:lineRule="exact"/>
              <w:ind w:left="332"/>
              <w:rPr>
                <w:sz w:val="24"/>
              </w:rPr>
            </w:pPr>
            <w:r>
              <w:rPr>
                <w:sz w:val="24"/>
              </w:rPr>
              <w:t>1489</w:t>
            </w:r>
          </w:p>
        </w:tc>
        <w:tc>
          <w:tcPr>
            <w:tcW w:w="1871" w:type="dxa"/>
          </w:tcPr>
          <w:p>
            <w:pPr>
              <w:pStyle w:val="TableParagraph"/>
              <w:spacing w:line="256" w:lineRule="exact"/>
              <w:ind w:left="872"/>
              <w:rPr>
                <w:sz w:val="24"/>
              </w:rPr>
            </w:pPr>
            <w:r>
              <w:rPr>
                <w:sz w:val="24"/>
              </w:rPr>
              <w:t>5</w:t>
            </w:r>
          </w:p>
        </w:tc>
      </w:tr>
    </w:tbl>
    <w:p>
      <w:pPr>
        <w:pStyle w:val="BodyText"/>
        <w:ind w:left="233" w:right="1601"/>
      </w:pPr>
      <w:r>
        <w:rPr/>
        <w:t>Referitor la rezultatele prezentate in tabelul de mai sus, 43 probe cu 149 determinari, reprezinta activitatea desfasurata in cadrul PN II.</w:t>
      </w:r>
    </w:p>
    <w:p>
      <w:pPr>
        <w:spacing w:after="0"/>
        <w:sectPr>
          <w:pgSz w:w="11910" w:h="16840"/>
          <w:pgMar w:header="0" w:footer="738" w:top="1360" w:bottom="920" w:left="900" w:right="0"/>
        </w:sectPr>
      </w:pPr>
    </w:p>
    <w:p>
      <w:pPr>
        <w:pStyle w:val="Heading1"/>
        <w:spacing w:before="60"/>
        <w:rPr>
          <w:u w:val="none"/>
        </w:rPr>
      </w:pPr>
      <w:r>
        <w:rPr>
          <w:u w:val="none"/>
        </w:rPr>
        <w:t>Bacteriologie produse cosmetice</w:t>
      </w: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96"/>
        <w:gridCol w:w="3315"/>
        <w:gridCol w:w="1678"/>
        <w:gridCol w:w="1867"/>
      </w:tblGrid>
      <w:tr>
        <w:trPr>
          <w:trHeight w:val="273" w:hRule="atLeast"/>
        </w:trPr>
        <w:tc>
          <w:tcPr>
            <w:tcW w:w="3296" w:type="dxa"/>
            <w:tcBorders>
              <w:left w:val="single" w:sz="4" w:space="0" w:color="000000"/>
              <w:bottom w:val="single" w:sz="4" w:space="0" w:color="000000"/>
              <w:right w:val="single" w:sz="4" w:space="0" w:color="000000"/>
            </w:tcBorders>
          </w:tcPr>
          <w:p>
            <w:pPr>
              <w:pStyle w:val="TableParagraph"/>
              <w:rPr>
                <w:sz w:val="20"/>
              </w:rPr>
            </w:pPr>
          </w:p>
        </w:tc>
        <w:tc>
          <w:tcPr>
            <w:tcW w:w="3315" w:type="dxa"/>
            <w:tcBorders>
              <w:left w:val="single" w:sz="4" w:space="0" w:color="000000"/>
              <w:bottom w:val="single" w:sz="4" w:space="0" w:color="000000"/>
              <w:right w:val="single" w:sz="4" w:space="0" w:color="000000"/>
            </w:tcBorders>
          </w:tcPr>
          <w:p>
            <w:pPr>
              <w:pStyle w:val="TableParagraph"/>
              <w:spacing w:line="253" w:lineRule="exact"/>
              <w:ind w:left="90" w:right="2254"/>
              <w:jc w:val="center"/>
              <w:rPr>
                <w:sz w:val="24"/>
              </w:rPr>
            </w:pPr>
            <w:r>
              <w:rPr>
                <w:sz w:val="24"/>
              </w:rPr>
              <w:t>Nr. probe</w:t>
            </w:r>
          </w:p>
        </w:tc>
        <w:tc>
          <w:tcPr>
            <w:tcW w:w="3545" w:type="dxa"/>
            <w:gridSpan w:val="2"/>
            <w:tcBorders>
              <w:left w:val="single" w:sz="4" w:space="0" w:color="000000"/>
              <w:bottom w:val="single" w:sz="4" w:space="0" w:color="000000"/>
              <w:right w:val="single" w:sz="4" w:space="0" w:color="000000"/>
            </w:tcBorders>
          </w:tcPr>
          <w:p>
            <w:pPr>
              <w:pStyle w:val="TableParagraph"/>
              <w:spacing w:line="253" w:lineRule="exact"/>
              <w:ind w:left="107"/>
              <w:rPr>
                <w:sz w:val="24"/>
              </w:rPr>
            </w:pPr>
            <w:r>
              <w:rPr>
                <w:sz w:val="24"/>
              </w:rPr>
              <w:t>Nr. determ. microbiologice</w:t>
            </w:r>
          </w:p>
        </w:tc>
      </w:tr>
      <w:tr>
        <w:trPr>
          <w:trHeight w:val="275" w:hRule="atLeast"/>
        </w:trPr>
        <w:tc>
          <w:tcPr>
            <w:tcW w:w="3296"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3315"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67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left="595" w:right="606"/>
              <w:jc w:val="center"/>
              <w:rPr>
                <w:sz w:val="24"/>
              </w:rPr>
            </w:pPr>
            <w:r>
              <w:rPr>
                <w:sz w:val="24"/>
              </w:rPr>
              <w:t>total</w:t>
            </w:r>
          </w:p>
        </w:tc>
        <w:tc>
          <w:tcPr>
            <w:tcW w:w="1867"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left="986"/>
              <w:rPr>
                <w:sz w:val="24"/>
              </w:rPr>
            </w:pPr>
            <w:r>
              <w:rPr>
                <w:sz w:val="24"/>
              </w:rPr>
              <w:t>pozitive</w:t>
            </w:r>
          </w:p>
        </w:tc>
      </w:tr>
      <w:tr>
        <w:trPr>
          <w:trHeight w:val="277" w:hRule="atLeast"/>
        </w:trPr>
        <w:tc>
          <w:tcPr>
            <w:tcW w:w="329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08"/>
              <w:rPr>
                <w:sz w:val="24"/>
              </w:rPr>
            </w:pPr>
            <w:r>
              <w:rPr>
                <w:sz w:val="24"/>
              </w:rPr>
              <w:t>Produse cosmetice</w:t>
            </w:r>
          </w:p>
        </w:tc>
        <w:tc>
          <w:tcPr>
            <w:tcW w:w="3315"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6" w:right="2254"/>
              <w:jc w:val="center"/>
              <w:rPr>
                <w:sz w:val="24"/>
              </w:rPr>
            </w:pPr>
            <w:r>
              <w:rPr>
                <w:sz w:val="24"/>
              </w:rPr>
              <w:t>71</w:t>
            </w:r>
          </w:p>
        </w:tc>
        <w:tc>
          <w:tcPr>
            <w:tcW w:w="167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07"/>
              <w:rPr>
                <w:sz w:val="24"/>
              </w:rPr>
            </w:pPr>
            <w:r>
              <w:rPr>
                <w:sz w:val="24"/>
              </w:rPr>
              <w:t>335</w:t>
            </w:r>
          </w:p>
        </w:tc>
        <w:tc>
          <w:tcPr>
            <w:tcW w:w="1867"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107"/>
              <w:rPr>
                <w:sz w:val="24"/>
              </w:rPr>
            </w:pPr>
            <w:r>
              <w:rPr>
                <w:sz w:val="24"/>
              </w:rPr>
              <w:t>5</w:t>
            </w:r>
          </w:p>
        </w:tc>
      </w:tr>
    </w:tbl>
    <w:p>
      <w:pPr>
        <w:spacing w:before="0"/>
        <w:ind w:left="233" w:right="0" w:firstLine="0"/>
        <w:jc w:val="left"/>
        <w:rPr>
          <w:b/>
          <w:sz w:val="24"/>
        </w:rPr>
      </w:pPr>
      <w:r>
        <w:rPr>
          <w:b/>
          <w:sz w:val="24"/>
        </w:rPr>
        <w:t>Microbiologia apei</w:t>
      </w:r>
    </w:p>
    <w:p>
      <w:pPr>
        <w:pStyle w:val="BodyText"/>
        <w:ind w:left="233"/>
      </w:pPr>
      <w:r>
        <w:rPr>
          <w:u w:val="single"/>
        </w:rPr>
        <w:t>Ape potabile</w:t>
      </w:r>
      <w:r>
        <w:rPr/>
        <w:t> – sursa Apa Nova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9"/>
        <w:gridCol w:w="1649"/>
        <w:gridCol w:w="1075"/>
        <w:gridCol w:w="1469"/>
        <w:gridCol w:w="1908"/>
        <w:gridCol w:w="235"/>
      </w:tblGrid>
      <w:tr>
        <w:trPr>
          <w:trHeight w:val="551" w:hRule="atLeast"/>
        </w:trPr>
        <w:tc>
          <w:tcPr>
            <w:tcW w:w="4009" w:type="dxa"/>
          </w:tcPr>
          <w:p>
            <w:pPr>
              <w:pStyle w:val="TableParagraph"/>
              <w:rPr>
                <w:sz w:val="24"/>
              </w:rPr>
            </w:pPr>
          </w:p>
        </w:tc>
        <w:tc>
          <w:tcPr>
            <w:tcW w:w="1649" w:type="dxa"/>
          </w:tcPr>
          <w:p>
            <w:pPr>
              <w:pStyle w:val="TableParagraph"/>
              <w:spacing w:line="275" w:lineRule="exact"/>
              <w:ind w:left="107"/>
              <w:rPr>
                <w:sz w:val="24"/>
              </w:rPr>
            </w:pPr>
            <w:r>
              <w:rPr>
                <w:sz w:val="24"/>
              </w:rPr>
              <w:t>Total probe</w:t>
            </w:r>
          </w:p>
        </w:tc>
        <w:tc>
          <w:tcPr>
            <w:tcW w:w="1075" w:type="dxa"/>
          </w:tcPr>
          <w:p>
            <w:pPr>
              <w:pStyle w:val="TableParagraph"/>
              <w:spacing w:line="275" w:lineRule="exact"/>
              <w:ind w:left="89" w:right="148"/>
              <w:jc w:val="center"/>
              <w:rPr>
                <w:sz w:val="24"/>
              </w:rPr>
            </w:pPr>
            <w:r>
              <w:rPr>
                <w:sz w:val="24"/>
              </w:rPr>
              <w:t>Pozitive</w:t>
            </w:r>
          </w:p>
        </w:tc>
        <w:tc>
          <w:tcPr>
            <w:tcW w:w="1469" w:type="dxa"/>
          </w:tcPr>
          <w:p>
            <w:pPr>
              <w:pStyle w:val="TableParagraph"/>
              <w:spacing w:line="276" w:lineRule="exact" w:before="2"/>
              <w:ind w:left="180" w:right="152" w:firstLine="398"/>
              <w:rPr>
                <w:sz w:val="24"/>
              </w:rPr>
            </w:pPr>
            <w:r>
              <w:rPr>
                <w:sz w:val="24"/>
              </w:rPr>
              <w:t>Nr. determinări</w:t>
            </w:r>
          </w:p>
        </w:tc>
        <w:tc>
          <w:tcPr>
            <w:tcW w:w="1908" w:type="dxa"/>
          </w:tcPr>
          <w:p>
            <w:pPr>
              <w:pStyle w:val="TableParagraph"/>
              <w:spacing w:line="276" w:lineRule="exact" w:before="2"/>
              <w:ind w:left="108" w:right="610"/>
              <w:rPr>
                <w:sz w:val="24"/>
              </w:rPr>
            </w:pPr>
            <w:r>
              <w:rPr>
                <w:sz w:val="24"/>
              </w:rPr>
              <w:t>Determinări pozitive</w:t>
            </w:r>
          </w:p>
        </w:tc>
        <w:tc>
          <w:tcPr>
            <w:tcW w:w="235" w:type="dxa"/>
            <w:vMerge w:val="restart"/>
            <w:tcBorders>
              <w:top w:val="nil"/>
              <w:right w:val="nil"/>
            </w:tcBorders>
          </w:tcPr>
          <w:p>
            <w:pPr>
              <w:pStyle w:val="TableParagraph"/>
              <w:rPr>
                <w:sz w:val="24"/>
              </w:rPr>
            </w:pPr>
          </w:p>
        </w:tc>
      </w:tr>
      <w:tr>
        <w:trPr>
          <w:trHeight w:val="549" w:hRule="atLeast"/>
        </w:trPr>
        <w:tc>
          <w:tcPr>
            <w:tcW w:w="4009" w:type="dxa"/>
          </w:tcPr>
          <w:p>
            <w:pPr>
              <w:pStyle w:val="TableParagraph"/>
              <w:spacing w:line="273" w:lineRule="exact"/>
              <w:ind w:left="708"/>
              <w:rPr>
                <w:sz w:val="24"/>
              </w:rPr>
            </w:pPr>
            <w:r>
              <w:rPr>
                <w:sz w:val="24"/>
              </w:rPr>
              <w:t>Staţii + puncte fixe</w:t>
            </w:r>
          </w:p>
          <w:p>
            <w:pPr>
              <w:pStyle w:val="TableParagraph"/>
              <w:spacing w:line="257" w:lineRule="exact"/>
              <w:ind w:left="108"/>
              <w:rPr>
                <w:sz w:val="24"/>
              </w:rPr>
            </w:pPr>
            <w:r>
              <w:rPr>
                <w:sz w:val="24"/>
              </w:rPr>
              <w:t>(recoltate de CFRMVM şi laborator)</w:t>
            </w:r>
          </w:p>
        </w:tc>
        <w:tc>
          <w:tcPr>
            <w:tcW w:w="1649" w:type="dxa"/>
          </w:tcPr>
          <w:p>
            <w:pPr>
              <w:pStyle w:val="TableParagraph"/>
              <w:spacing w:line="273" w:lineRule="exact"/>
              <w:ind w:left="570" w:right="549"/>
              <w:jc w:val="center"/>
              <w:rPr>
                <w:sz w:val="24"/>
              </w:rPr>
            </w:pPr>
            <w:r>
              <w:rPr>
                <w:sz w:val="24"/>
              </w:rPr>
              <w:t>2239</w:t>
            </w:r>
          </w:p>
        </w:tc>
        <w:tc>
          <w:tcPr>
            <w:tcW w:w="1075" w:type="dxa"/>
          </w:tcPr>
          <w:p>
            <w:pPr>
              <w:pStyle w:val="TableParagraph"/>
              <w:spacing w:line="273" w:lineRule="exact"/>
              <w:ind w:left="10"/>
              <w:jc w:val="center"/>
              <w:rPr>
                <w:sz w:val="24"/>
              </w:rPr>
            </w:pPr>
            <w:r>
              <w:rPr>
                <w:sz w:val="24"/>
              </w:rPr>
              <w:t>0</w:t>
            </w:r>
          </w:p>
        </w:tc>
        <w:tc>
          <w:tcPr>
            <w:tcW w:w="1469" w:type="dxa"/>
          </w:tcPr>
          <w:p>
            <w:pPr>
              <w:pStyle w:val="TableParagraph"/>
              <w:spacing w:line="273" w:lineRule="exact"/>
              <w:ind w:left="475" w:right="464"/>
              <w:jc w:val="center"/>
              <w:rPr>
                <w:sz w:val="24"/>
              </w:rPr>
            </w:pPr>
            <w:r>
              <w:rPr>
                <w:sz w:val="24"/>
              </w:rPr>
              <w:t>6785</w:t>
            </w:r>
          </w:p>
        </w:tc>
        <w:tc>
          <w:tcPr>
            <w:tcW w:w="1908" w:type="dxa"/>
          </w:tcPr>
          <w:p>
            <w:pPr>
              <w:pStyle w:val="TableParagraph"/>
              <w:spacing w:line="273" w:lineRule="exact"/>
              <w:ind w:left="8"/>
              <w:jc w:val="center"/>
              <w:rPr>
                <w:sz w:val="24"/>
              </w:rPr>
            </w:pPr>
            <w:r>
              <w:rPr>
                <w:sz w:val="24"/>
              </w:rPr>
              <w:t>0</w:t>
            </w:r>
          </w:p>
        </w:tc>
        <w:tc>
          <w:tcPr>
            <w:tcW w:w="235" w:type="dxa"/>
            <w:vMerge/>
            <w:tcBorders>
              <w:top w:val="nil"/>
              <w:right w:val="nil"/>
            </w:tcBorders>
          </w:tcPr>
          <w:p>
            <w:pPr>
              <w:rPr>
                <w:sz w:val="2"/>
                <w:szCs w:val="2"/>
              </w:rPr>
            </w:pPr>
          </w:p>
        </w:tc>
      </w:tr>
      <w:tr>
        <w:trPr>
          <w:trHeight w:val="275" w:hRule="atLeast"/>
        </w:trPr>
        <w:tc>
          <w:tcPr>
            <w:tcW w:w="4009" w:type="dxa"/>
          </w:tcPr>
          <w:p>
            <w:pPr>
              <w:pStyle w:val="TableParagraph"/>
              <w:spacing w:line="256" w:lineRule="exact"/>
              <w:ind w:left="168"/>
              <w:rPr>
                <w:sz w:val="24"/>
              </w:rPr>
            </w:pPr>
            <w:r>
              <w:rPr>
                <w:sz w:val="24"/>
              </w:rPr>
              <w:t>Particulari</w:t>
            </w:r>
          </w:p>
        </w:tc>
        <w:tc>
          <w:tcPr>
            <w:tcW w:w="1649" w:type="dxa"/>
          </w:tcPr>
          <w:p>
            <w:pPr>
              <w:pStyle w:val="TableParagraph"/>
              <w:spacing w:line="256" w:lineRule="exact"/>
              <w:ind w:left="570" w:right="457"/>
              <w:jc w:val="center"/>
              <w:rPr>
                <w:sz w:val="24"/>
              </w:rPr>
            </w:pPr>
            <w:r>
              <w:rPr>
                <w:sz w:val="24"/>
              </w:rPr>
              <w:t>535</w:t>
            </w:r>
          </w:p>
        </w:tc>
        <w:tc>
          <w:tcPr>
            <w:tcW w:w="1075" w:type="dxa"/>
          </w:tcPr>
          <w:p>
            <w:pPr>
              <w:pStyle w:val="TableParagraph"/>
              <w:spacing w:line="256" w:lineRule="exact"/>
              <w:ind w:left="89" w:right="79"/>
              <w:jc w:val="center"/>
              <w:rPr>
                <w:sz w:val="24"/>
              </w:rPr>
            </w:pPr>
            <w:r>
              <w:rPr>
                <w:sz w:val="24"/>
              </w:rPr>
              <w:t>19</w:t>
            </w:r>
          </w:p>
        </w:tc>
        <w:tc>
          <w:tcPr>
            <w:tcW w:w="1469" w:type="dxa"/>
          </w:tcPr>
          <w:p>
            <w:pPr>
              <w:pStyle w:val="TableParagraph"/>
              <w:spacing w:line="256" w:lineRule="exact"/>
              <w:ind w:left="475" w:right="464"/>
              <w:jc w:val="center"/>
              <w:rPr>
                <w:sz w:val="24"/>
              </w:rPr>
            </w:pPr>
            <w:r>
              <w:rPr>
                <w:sz w:val="24"/>
              </w:rPr>
              <w:t>2510</w:t>
            </w:r>
          </w:p>
        </w:tc>
        <w:tc>
          <w:tcPr>
            <w:tcW w:w="1908" w:type="dxa"/>
          </w:tcPr>
          <w:p>
            <w:pPr>
              <w:pStyle w:val="TableParagraph"/>
              <w:spacing w:line="256" w:lineRule="exact"/>
              <w:ind w:left="813" w:right="805"/>
              <w:jc w:val="center"/>
              <w:rPr>
                <w:sz w:val="24"/>
              </w:rPr>
            </w:pPr>
            <w:r>
              <w:rPr>
                <w:sz w:val="24"/>
              </w:rPr>
              <w:t>19</w:t>
            </w:r>
          </w:p>
        </w:tc>
        <w:tc>
          <w:tcPr>
            <w:tcW w:w="235" w:type="dxa"/>
            <w:vMerge/>
            <w:tcBorders>
              <w:top w:val="nil"/>
              <w:right w:val="nil"/>
            </w:tcBorders>
          </w:tcPr>
          <w:p>
            <w:pPr>
              <w:rPr>
                <w:sz w:val="2"/>
                <w:szCs w:val="2"/>
              </w:rPr>
            </w:pPr>
          </w:p>
        </w:tc>
      </w:tr>
      <w:tr>
        <w:trPr>
          <w:trHeight w:val="275" w:hRule="atLeast"/>
        </w:trPr>
        <w:tc>
          <w:tcPr>
            <w:tcW w:w="4009" w:type="dxa"/>
          </w:tcPr>
          <w:p>
            <w:pPr>
              <w:pStyle w:val="TableParagraph"/>
              <w:spacing w:line="256" w:lineRule="exact"/>
              <w:ind w:left="168"/>
              <w:rPr>
                <w:sz w:val="24"/>
              </w:rPr>
            </w:pPr>
            <w:r>
              <w:rPr>
                <w:sz w:val="24"/>
              </w:rPr>
              <w:t>Sesizări</w:t>
            </w:r>
          </w:p>
        </w:tc>
        <w:tc>
          <w:tcPr>
            <w:tcW w:w="1649" w:type="dxa"/>
          </w:tcPr>
          <w:p>
            <w:pPr>
              <w:pStyle w:val="TableParagraph"/>
              <w:spacing w:line="256" w:lineRule="exact"/>
              <w:ind w:left="185"/>
              <w:jc w:val="center"/>
              <w:rPr>
                <w:sz w:val="24"/>
              </w:rPr>
            </w:pPr>
            <w:r>
              <w:rPr>
                <w:sz w:val="24"/>
              </w:rPr>
              <w:t>3</w:t>
            </w:r>
          </w:p>
        </w:tc>
        <w:tc>
          <w:tcPr>
            <w:tcW w:w="1075" w:type="dxa"/>
          </w:tcPr>
          <w:p>
            <w:pPr>
              <w:pStyle w:val="TableParagraph"/>
              <w:spacing w:line="256" w:lineRule="exact"/>
              <w:ind w:left="10"/>
              <w:jc w:val="center"/>
              <w:rPr>
                <w:sz w:val="24"/>
              </w:rPr>
            </w:pPr>
            <w:r>
              <w:rPr>
                <w:sz w:val="24"/>
              </w:rPr>
              <w:t>0</w:t>
            </w:r>
          </w:p>
        </w:tc>
        <w:tc>
          <w:tcPr>
            <w:tcW w:w="1469" w:type="dxa"/>
          </w:tcPr>
          <w:p>
            <w:pPr>
              <w:pStyle w:val="TableParagraph"/>
              <w:spacing w:line="256" w:lineRule="exact"/>
              <w:ind w:left="11"/>
              <w:jc w:val="center"/>
              <w:rPr>
                <w:sz w:val="24"/>
              </w:rPr>
            </w:pPr>
            <w:r>
              <w:rPr>
                <w:sz w:val="24"/>
              </w:rPr>
              <w:t>9</w:t>
            </w:r>
          </w:p>
        </w:tc>
        <w:tc>
          <w:tcPr>
            <w:tcW w:w="1908" w:type="dxa"/>
          </w:tcPr>
          <w:p>
            <w:pPr>
              <w:pStyle w:val="TableParagraph"/>
              <w:spacing w:line="256" w:lineRule="exact"/>
              <w:ind w:left="8"/>
              <w:jc w:val="center"/>
              <w:rPr>
                <w:sz w:val="24"/>
              </w:rPr>
            </w:pPr>
            <w:r>
              <w:rPr>
                <w:sz w:val="24"/>
              </w:rPr>
              <w:t>0</w:t>
            </w:r>
          </w:p>
        </w:tc>
        <w:tc>
          <w:tcPr>
            <w:tcW w:w="235" w:type="dxa"/>
          </w:tcPr>
          <w:p>
            <w:pPr>
              <w:pStyle w:val="TableParagraph"/>
              <w:rPr>
                <w:sz w:val="20"/>
              </w:rPr>
            </w:pPr>
          </w:p>
        </w:tc>
      </w:tr>
      <w:tr>
        <w:trPr>
          <w:trHeight w:val="278" w:hRule="atLeast"/>
        </w:trPr>
        <w:tc>
          <w:tcPr>
            <w:tcW w:w="4009" w:type="dxa"/>
          </w:tcPr>
          <w:p>
            <w:pPr>
              <w:pStyle w:val="TableParagraph"/>
              <w:spacing w:line="258" w:lineRule="exact"/>
              <w:ind w:left="168"/>
              <w:rPr>
                <w:sz w:val="24"/>
              </w:rPr>
            </w:pPr>
            <w:r>
              <w:rPr>
                <w:sz w:val="24"/>
              </w:rPr>
              <w:t>DSP-IF</w:t>
            </w:r>
          </w:p>
        </w:tc>
        <w:tc>
          <w:tcPr>
            <w:tcW w:w="1649" w:type="dxa"/>
          </w:tcPr>
          <w:p>
            <w:pPr>
              <w:pStyle w:val="TableParagraph"/>
              <w:spacing w:line="258" w:lineRule="exact"/>
              <w:ind w:left="570" w:right="443"/>
              <w:jc w:val="center"/>
              <w:rPr>
                <w:sz w:val="24"/>
              </w:rPr>
            </w:pPr>
            <w:r>
              <w:rPr>
                <w:sz w:val="24"/>
              </w:rPr>
              <w:t>205</w:t>
            </w:r>
          </w:p>
        </w:tc>
        <w:tc>
          <w:tcPr>
            <w:tcW w:w="2544" w:type="dxa"/>
            <w:gridSpan w:val="2"/>
          </w:tcPr>
          <w:p>
            <w:pPr>
              <w:pStyle w:val="TableParagraph"/>
              <w:tabs>
                <w:tab w:pos="1691" w:val="left" w:leader="none"/>
              </w:tabs>
              <w:spacing w:line="258" w:lineRule="exact"/>
              <w:ind w:left="492"/>
              <w:rPr>
                <w:sz w:val="24"/>
              </w:rPr>
            </w:pPr>
            <w:r>
              <w:rPr>
                <w:sz w:val="24"/>
              </w:rPr>
              <w:t>21</w:t>
              <w:tab/>
              <w:t>740</w:t>
            </w:r>
          </w:p>
        </w:tc>
        <w:tc>
          <w:tcPr>
            <w:tcW w:w="1908" w:type="dxa"/>
          </w:tcPr>
          <w:p>
            <w:pPr>
              <w:pStyle w:val="TableParagraph"/>
              <w:spacing w:line="258" w:lineRule="exact"/>
              <w:ind w:left="813" w:right="805"/>
              <w:jc w:val="center"/>
              <w:rPr>
                <w:sz w:val="24"/>
              </w:rPr>
            </w:pPr>
            <w:r>
              <w:rPr>
                <w:sz w:val="24"/>
              </w:rPr>
              <w:t>25</w:t>
            </w:r>
          </w:p>
        </w:tc>
        <w:tc>
          <w:tcPr>
            <w:tcW w:w="235" w:type="dxa"/>
            <w:tcBorders>
              <w:bottom w:val="nil"/>
              <w:right w:val="nil"/>
            </w:tcBorders>
          </w:tcPr>
          <w:p>
            <w:pPr>
              <w:pStyle w:val="TableParagraph"/>
              <w:rPr>
                <w:sz w:val="20"/>
              </w:rPr>
            </w:pPr>
          </w:p>
        </w:tc>
      </w:tr>
    </w:tbl>
    <w:p>
      <w:pPr>
        <w:pStyle w:val="BodyText"/>
        <w:spacing w:before="11"/>
        <w:ind w:left="0"/>
        <w:rPr>
          <w:sz w:val="23"/>
        </w:rPr>
      </w:pPr>
    </w:p>
    <w:p>
      <w:pPr>
        <w:pStyle w:val="BodyText"/>
        <w:ind w:left="233"/>
      </w:pPr>
      <w:r>
        <w:rPr/>
        <w:t>Apa potabila din surse proprii, fantani publice, izvoare;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9"/>
        <w:gridCol w:w="1380"/>
        <w:gridCol w:w="1080"/>
        <w:gridCol w:w="1441"/>
        <w:gridCol w:w="1902"/>
      </w:tblGrid>
      <w:tr>
        <w:trPr>
          <w:trHeight w:val="551" w:hRule="atLeast"/>
        </w:trPr>
        <w:tc>
          <w:tcPr>
            <w:tcW w:w="4309" w:type="dxa"/>
          </w:tcPr>
          <w:p>
            <w:pPr>
              <w:pStyle w:val="TableParagraph"/>
              <w:rPr>
                <w:sz w:val="24"/>
              </w:rPr>
            </w:pPr>
          </w:p>
        </w:tc>
        <w:tc>
          <w:tcPr>
            <w:tcW w:w="1380" w:type="dxa"/>
          </w:tcPr>
          <w:p>
            <w:pPr>
              <w:pStyle w:val="TableParagraph"/>
              <w:spacing w:line="275" w:lineRule="exact"/>
              <w:ind w:left="107"/>
              <w:rPr>
                <w:sz w:val="24"/>
              </w:rPr>
            </w:pPr>
            <w:r>
              <w:rPr>
                <w:sz w:val="24"/>
              </w:rPr>
              <w:t>Total probe</w:t>
            </w:r>
          </w:p>
        </w:tc>
        <w:tc>
          <w:tcPr>
            <w:tcW w:w="1080" w:type="dxa"/>
          </w:tcPr>
          <w:p>
            <w:pPr>
              <w:pStyle w:val="TableParagraph"/>
              <w:spacing w:line="275" w:lineRule="exact"/>
              <w:ind w:left="89" w:right="153"/>
              <w:jc w:val="center"/>
              <w:rPr>
                <w:sz w:val="24"/>
              </w:rPr>
            </w:pPr>
            <w:r>
              <w:rPr>
                <w:sz w:val="24"/>
              </w:rPr>
              <w:t>Pozitive</w:t>
            </w:r>
          </w:p>
        </w:tc>
        <w:tc>
          <w:tcPr>
            <w:tcW w:w="1441" w:type="dxa"/>
          </w:tcPr>
          <w:p>
            <w:pPr>
              <w:pStyle w:val="TableParagraph"/>
              <w:spacing w:line="276" w:lineRule="exact" w:before="2"/>
              <w:ind w:left="166" w:right="138" w:firstLine="398"/>
              <w:rPr>
                <w:sz w:val="24"/>
              </w:rPr>
            </w:pPr>
            <w:r>
              <w:rPr>
                <w:sz w:val="24"/>
              </w:rPr>
              <w:t>Nr. determinări</w:t>
            </w:r>
          </w:p>
        </w:tc>
        <w:tc>
          <w:tcPr>
            <w:tcW w:w="1902" w:type="dxa"/>
          </w:tcPr>
          <w:p>
            <w:pPr>
              <w:pStyle w:val="TableParagraph"/>
              <w:spacing w:line="276" w:lineRule="exact" w:before="2"/>
              <w:ind w:left="107" w:right="605"/>
              <w:rPr>
                <w:sz w:val="24"/>
              </w:rPr>
            </w:pPr>
            <w:r>
              <w:rPr>
                <w:sz w:val="24"/>
              </w:rPr>
              <w:t>Determinări pozitive</w:t>
            </w:r>
          </w:p>
        </w:tc>
      </w:tr>
      <w:tr>
        <w:trPr>
          <w:trHeight w:val="549" w:hRule="atLeast"/>
        </w:trPr>
        <w:tc>
          <w:tcPr>
            <w:tcW w:w="4309" w:type="dxa"/>
          </w:tcPr>
          <w:p>
            <w:pPr>
              <w:pStyle w:val="TableParagraph"/>
              <w:spacing w:line="276" w:lineRule="exact"/>
              <w:ind w:left="108" w:right="445"/>
              <w:rPr>
                <w:sz w:val="24"/>
              </w:rPr>
            </w:pPr>
            <w:r>
              <w:rPr>
                <w:sz w:val="24"/>
              </w:rPr>
              <w:t>surse proprii, fantani publice, izvoare - Bucuresti</w:t>
            </w:r>
          </w:p>
        </w:tc>
        <w:tc>
          <w:tcPr>
            <w:tcW w:w="1380" w:type="dxa"/>
          </w:tcPr>
          <w:p>
            <w:pPr>
              <w:pStyle w:val="TableParagraph"/>
              <w:spacing w:before="8"/>
              <w:rPr>
                <w:sz w:val="23"/>
              </w:rPr>
            </w:pPr>
          </w:p>
          <w:p>
            <w:pPr>
              <w:pStyle w:val="TableParagraph"/>
              <w:spacing w:line="257" w:lineRule="exact"/>
              <w:ind w:left="448"/>
              <w:rPr>
                <w:sz w:val="24"/>
              </w:rPr>
            </w:pPr>
            <w:r>
              <w:rPr>
                <w:sz w:val="24"/>
              </w:rPr>
              <w:t>1043</w:t>
            </w:r>
          </w:p>
        </w:tc>
        <w:tc>
          <w:tcPr>
            <w:tcW w:w="1080" w:type="dxa"/>
          </w:tcPr>
          <w:p>
            <w:pPr>
              <w:pStyle w:val="TableParagraph"/>
              <w:spacing w:before="8"/>
              <w:rPr>
                <w:sz w:val="23"/>
              </w:rPr>
            </w:pPr>
          </w:p>
          <w:p>
            <w:pPr>
              <w:pStyle w:val="TableParagraph"/>
              <w:spacing w:line="257" w:lineRule="exact"/>
              <w:ind w:left="89" w:right="79"/>
              <w:jc w:val="center"/>
              <w:rPr>
                <w:sz w:val="24"/>
              </w:rPr>
            </w:pPr>
            <w:r>
              <w:rPr>
                <w:sz w:val="24"/>
              </w:rPr>
              <w:t>225</w:t>
            </w:r>
          </w:p>
        </w:tc>
        <w:tc>
          <w:tcPr>
            <w:tcW w:w="1441" w:type="dxa"/>
          </w:tcPr>
          <w:p>
            <w:pPr>
              <w:pStyle w:val="TableParagraph"/>
              <w:spacing w:before="8"/>
              <w:rPr>
                <w:sz w:val="23"/>
              </w:rPr>
            </w:pPr>
          </w:p>
          <w:p>
            <w:pPr>
              <w:pStyle w:val="TableParagraph"/>
              <w:spacing w:line="257" w:lineRule="exact"/>
              <w:ind w:left="460" w:right="450"/>
              <w:jc w:val="center"/>
              <w:rPr>
                <w:sz w:val="24"/>
              </w:rPr>
            </w:pPr>
            <w:r>
              <w:rPr>
                <w:sz w:val="24"/>
              </w:rPr>
              <w:t>4206</w:t>
            </w:r>
          </w:p>
        </w:tc>
        <w:tc>
          <w:tcPr>
            <w:tcW w:w="1902" w:type="dxa"/>
          </w:tcPr>
          <w:p>
            <w:pPr>
              <w:pStyle w:val="TableParagraph"/>
              <w:spacing w:before="8"/>
              <w:rPr>
                <w:sz w:val="23"/>
              </w:rPr>
            </w:pPr>
          </w:p>
          <w:p>
            <w:pPr>
              <w:pStyle w:val="TableParagraph"/>
              <w:spacing w:line="257" w:lineRule="exact"/>
              <w:ind w:left="750" w:right="742"/>
              <w:jc w:val="center"/>
              <w:rPr>
                <w:sz w:val="24"/>
              </w:rPr>
            </w:pPr>
            <w:r>
              <w:rPr>
                <w:sz w:val="24"/>
              </w:rPr>
              <w:t>274</w:t>
            </w:r>
          </w:p>
        </w:tc>
      </w:tr>
      <w:tr>
        <w:trPr>
          <w:trHeight w:val="272" w:hRule="atLeast"/>
        </w:trPr>
        <w:tc>
          <w:tcPr>
            <w:tcW w:w="4309" w:type="dxa"/>
          </w:tcPr>
          <w:p>
            <w:pPr>
              <w:pStyle w:val="TableParagraph"/>
              <w:spacing w:line="253" w:lineRule="exact"/>
              <w:ind w:left="108"/>
              <w:rPr>
                <w:sz w:val="24"/>
              </w:rPr>
            </w:pPr>
            <w:r>
              <w:rPr>
                <w:sz w:val="24"/>
              </w:rPr>
              <w:t>DSP Ilfov – apa surse proprii</w:t>
            </w:r>
          </w:p>
        </w:tc>
        <w:tc>
          <w:tcPr>
            <w:tcW w:w="1380" w:type="dxa"/>
          </w:tcPr>
          <w:p>
            <w:pPr>
              <w:pStyle w:val="TableParagraph"/>
              <w:spacing w:line="253" w:lineRule="exact"/>
              <w:ind w:left="434"/>
              <w:rPr>
                <w:sz w:val="24"/>
              </w:rPr>
            </w:pPr>
            <w:r>
              <w:rPr>
                <w:sz w:val="24"/>
              </w:rPr>
              <w:t>14</w:t>
            </w:r>
          </w:p>
        </w:tc>
        <w:tc>
          <w:tcPr>
            <w:tcW w:w="1080" w:type="dxa"/>
          </w:tcPr>
          <w:p>
            <w:pPr>
              <w:pStyle w:val="TableParagraph"/>
              <w:spacing w:line="253" w:lineRule="exact"/>
              <w:ind w:left="10"/>
              <w:jc w:val="center"/>
              <w:rPr>
                <w:sz w:val="24"/>
              </w:rPr>
            </w:pPr>
            <w:r>
              <w:rPr>
                <w:sz w:val="24"/>
              </w:rPr>
              <w:t>1</w:t>
            </w:r>
          </w:p>
        </w:tc>
        <w:tc>
          <w:tcPr>
            <w:tcW w:w="1441" w:type="dxa"/>
          </w:tcPr>
          <w:p>
            <w:pPr>
              <w:pStyle w:val="TableParagraph"/>
              <w:spacing w:line="253" w:lineRule="exact"/>
              <w:ind w:left="460" w:right="450"/>
              <w:jc w:val="center"/>
              <w:rPr>
                <w:sz w:val="24"/>
              </w:rPr>
            </w:pPr>
            <w:r>
              <w:rPr>
                <w:sz w:val="24"/>
              </w:rPr>
              <w:t>66</w:t>
            </w:r>
          </w:p>
        </w:tc>
        <w:tc>
          <w:tcPr>
            <w:tcW w:w="1902" w:type="dxa"/>
          </w:tcPr>
          <w:p>
            <w:pPr>
              <w:pStyle w:val="TableParagraph"/>
              <w:spacing w:line="253" w:lineRule="exact"/>
              <w:ind w:left="90"/>
              <w:jc w:val="center"/>
              <w:rPr>
                <w:sz w:val="24"/>
              </w:rPr>
            </w:pPr>
            <w:r>
              <w:rPr>
                <w:sz w:val="24"/>
              </w:rPr>
              <w:t>1</w:t>
            </w:r>
          </w:p>
        </w:tc>
      </w:tr>
    </w:tbl>
    <w:p>
      <w:pPr>
        <w:pStyle w:val="BodyText"/>
        <w:ind w:left="233" w:right="901"/>
      </w:pPr>
      <w:r>
        <w:rPr/>
        <w:t>Referitor la rezultatele prezentate in tabelul de mai sus, 10 probe, 50 determinari, reprezinta activitatea desfasurata in cadrul PN II</w:t>
      </w:r>
    </w:p>
    <w:p>
      <w:pPr>
        <w:pStyle w:val="BodyText"/>
        <w:ind w:left="0"/>
      </w:pPr>
    </w:p>
    <w:p>
      <w:pPr>
        <w:pStyle w:val="BodyText"/>
        <w:ind w:left="233"/>
      </w:pPr>
      <w:r>
        <w:rPr/>
        <w:t>Apă îmbuteliată, dozatoare, gheaţă alimentară</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89"/>
        <w:gridCol w:w="1099"/>
        <w:gridCol w:w="1100"/>
        <w:gridCol w:w="1323"/>
        <w:gridCol w:w="1547"/>
      </w:tblGrid>
      <w:tr>
        <w:trPr>
          <w:trHeight w:val="552" w:hRule="atLeast"/>
        </w:trPr>
        <w:tc>
          <w:tcPr>
            <w:tcW w:w="5089" w:type="dxa"/>
          </w:tcPr>
          <w:p>
            <w:pPr>
              <w:pStyle w:val="TableParagraph"/>
              <w:rPr>
                <w:sz w:val="24"/>
              </w:rPr>
            </w:pPr>
          </w:p>
        </w:tc>
        <w:tc>
          <w:tcPr>
            <w:tcW w:w="1099" w:type="dxa"/>
          </w:tcPr>
          <w:p>
            <w:pPr>
              <w:pStyle w:val="TableParagraph"/>
              <w:spacing w:line="276" w:lineRule="exact" w:before="2"/>
              <w:ind w:left="110" w:right="412"/>
              <w:rPr>
                <w:sz w:val="24"/>
              </w:rPr>
            </w:pPr>
            <w:r>
              <w:rPr>
                <w:sz w:val="24"/>
              </w:rPr>
              <w:t>Total probe</w:t>
            </w:r>
          </w:p>
        </w:tc>
        <w:tc>
          <w:tcPr>
            <w:tcW w:w="1100" w:type="dxa"/>
          </w:tcPr>
          <w:p>
            <w:pPr>
              <w:pStyle w:val="TableParagraph"/>
              <w:spacing w:line="275" w:lineRule="exact"/>
              <w:ind w:left="108"/>
              <w:rPr>
                <w:sz w:val="24"/>
              </w:rPr>
            </w:pPr>
            <w:r>
              <w:rPr>
                <w:sz w:val="24"/>
              </w:rPr>
              <w:t>Pozitive</w:t>
            </w:r>
          </w:p>
        </w:tc>
        <w:tc>
          <w:tcPr>
            <w:tcW w:w="1323" w:type="dxa"/>
          </w:tcPr>
          <w:p>
            <w:pPr>
              <w:pStyle w:val="TableParagraph"/>
              <w:spacing w:line="276" w:lineRule="exact" w:before="2"/>
              <w:ind w:left="108" w:right="78" w:firstLine="396"/>
              <w:rPr>
                <w:sz w:val="24"/>
              </w:rPr>
            </w:pPr>
            <w:r>
              <w:rPr>
                <w:sz w:val="24"/>
              </w:rPr>
              <w:t>Nr. determinări</w:t>
            </w:r>
          </w:p>
        </w:tc>
        <w:tc>
          <w:tcPr>
            <w:tcW w:w="1547" w:type="dxa"/>
          </w:tcPr>
          <w:p>
            <w:pPr>
              <w:pStyle w:val="TableParagraph"/>
              <w:spacing w:line="276" w:lineRule="exact" w:before="2"/>
              <w:ind w:left="110"/>
              <w:rPr>
                <w:sz w:val="24"/>
              </w:rPr>
            </w:pPr>
            <w:r>
              <w:rPr>
                <w:sz w:val="24"/>
              </w:rPr>
              <w:t>Determinări pozitive</w:t>
            </w:r>
          </w:p>
        </w:tc>
      </w:tr>
      <w:tr>
        <w:trPr>
          <w:trHeight w:val="273" w:hRule="atLeast"/>
        </w:trPr>
        <w:tc>
          <w:tcPr>
            <w:tcW w:w="5089" w:type="dxa"/>
          </w:tcPr>
          <w:p>
            <w:pPr>
              <w:pStyle w:val="TableParagraph"/>
              <w:spacing w:line="254" w:lineRule="exact"/>
              <w:ind w:left="108"/>
              <w:rPr>
                <w:sz w:val="24"/>
              </w:rPr>
            </w:pPr>
            <w:r>
              <w:rPr>
                <w:sz w:val="24"/>
              </w:rPr>
              <w:t>Apă îmbuteliată, Dozatoare - Bucuresti</w:t>
            </w:r>
          </w:p>
        </w:tc>
        <w:tc>
          <w:tcPr>
            <w:tcW w:w="1099" w:type="dxa"/>
          </w:tcPr>
          <w:p>
            <w:pPr>
              <w:pStyle w:val="TableParagraph"/>
              <w:spacing w:line="254" w:lineRule="exact"/>
              <w:ind w:left="412" w:right="397"/>
              <w:jc w:val="center"/>
              <w:rPr>
                <w:sz w:val="24"/>
              </w:rPr>
            </w:pPr>
            <w:r>
              <w:rPr>
                <w:sz w:val="24"/>
              </w:rPr>
              <w:t>87</w:t>
            </w:r>
          </w:p>
        </w:tc>
        <w:tc>
          <w:tcPr>
            <w:tcW w:w="1100" w:type="dxa"/>
          </w:tcPr>
          <w:p>
            <w:pPr>
              <w:pStyle w:val="TableParagraph"/>
              <w:spacing w:line="254" w:lineRule="exact"/>
              <w:ind w:left="10"/>
              <w:jc w:val="center"/>
              <w:rPr>
                <w:sz w:val="24"/>
              </w:rPr>
            </w:pPr>
            <w:r>
              <w:rPr>
                <w:sz w:val="24"/>
              </w:rPr>
              <w:t>3</w:t>
            </w:r>
          </w:p>
        </w:tc>
        <w:tc>
          <w:tcPr>
            <w:tcW w:w="1323" w:type="dxa"/>
          </w:tcPr>
          <w:p>
            <w:pPr>
              <w:pStyle w:val="TableParagraph"/>
              <w:spacing w:line="254" w:lineRule="exact"/>
              <w:ind w:left="460" w:right="453"/>
              <w:jc w:val="center"/>
              <w:rPr>
                <w:sz w:val="24"/>
              </w:rPr>
            </w:pPr>
            <w:r>
              <w:rPr>
                <w:sz w:val="24"/>
              </w:rPr>
              <w:t>473</w:t>
            </w:r>
          </w:p>
        </w:tc>
        <w:tc>
          <w:tcPr>
            <w:tcW w:w="1547" w:type="dxa"/>
          </w:tcPr>
          <w:p>
            <w:pPr>
              <w:pStyle w:val="TableParagraph"/>
              <w:spacing w:line="254" w:lineRule="exact"/>
              <w:ind w:left="13"/>
              <w:jc w:val="center"/>
              <w:rPr>
                <w:sz w:val="24"/>
              </w:rPr>
            </w:pPr>
            <w:r>
              <w:rPr>
                <w:sz w:val="24"/>
              </w:rPr>
              <w:t>4</w:t>
            </w:r>
          </w:p>
        </w:tc>
      </w:tr>
      <w:tr>
        <w:trPr>
          <w:trHeight w:val="277" w:hRule="atLeast"/>
        </w:trPr>
        <w:tc>
          <w:tcPr>
            <w:tcW w:w="5089" w:type="dxa"/>
          </w:tcPr>
          <w:p>
            <w:pPr>
              <w:pStyle w:val="TableParagraph"/>
              <w:spacing w:line="257" w:lineRule="exact" w:before="1"/>
              <w:ind w:left="108"/>
              <w:rPr>
                <w:sz w:val="24"/>
              </w:rPr>
            </w:pPr>
            <w:r>
              <w:rPr>
                <w:sz w:val="24"/>
              </w:rPr>
              <w:t>Apă îmbuteliată, Dozatoare - Ilfov</w:t>
            </w:r>
          </w:p>
        </w:tc>
        <w:tc>
          <w:tcPr>
            <w:tcW w:w="1099" w:type="dxa"/>
          </w:tcPr>
          <w:p>
            <w:pPr>
              <w:pStyle w:val="TableParagraph"/>
              <w:spacing w:line="257" w:lineRule="exact" w:before="1"/>
              <w:ind w:left="15"/>
              <w:jc w:val="center"/>
              <w:rPr>
                <w:sz w:val="24"/>
              </w:rPr>
            </w:pPr>
            <w:r>
              <w:rPr>
                <w:sz w:val="24"/>
              </w:rPr>
              <w:t>2</w:t>
            </w:r>
          </w:p>
        </w:tc>
        <w:tc>
          <w:tcPr>
            <w:tcW w:w="1100" w:type="dxa"/>
          </w:tcPr>
          <w:p>
            <w:pPr>
              <w:pStyle w:val="TableParagraph"/>
              <w:spacing w:line="257" w:lineRule="exact" w:before="1"/>
              <w:ind w:left="10"/>
              <w:jc w:val="center"/>
              <w:rPr>
                <w:sz w:val="24"/>
              </w:rPr>
            </w:pPr>
            <w:r>
              <w:rPr>
                <w:sz w:val="24"/>
              </w:rPr>
              <w:t>0</w:t>
            </w:r>
          </w:p>
        </w:tc>
        <w:tc>
          <w:tcPr>
            <w:tcW w:w="1323" w:type="dxa"/>
          </w:tcPr>
          <w:p>
            <w:pPr>
              <w:pStyle w:val="TableParagraph"/>
              <w:spacing w:line="257" w:lineRule="exact" w:before="1"/>
              <w:ind w:left="460" w:right="453"/>
              <w:jc w:val="center"/>
              <w:rPr>
                <w:sz w:val="24"/>
              </w:rPr>
            </w:pPr>
            <w:r>
              <w:rPr>
                <w:sz w:val="24"/>
              </w:rPr>
              <w:t>12</w:t>
            </w:r>
          </w:p>
        </w:tc>
        <w:tc>
          <w:tcPr>
            <w:tcW w:w="1547" w:type="dxa"/>
          </w:tcPr>
          <w:p>
            <w:pPr>
              <w:pStyle w:val="TableParagraph"/>
              <w:spacing w:line="257" w:lineRule="exact" w:before="1"/>
              <w:ind w:right="529"/>
              <w:jc w:val="right"/>
              <w:rPr>
                <w:sz w:val="24"/>
              </w:rPr>
            </w:pPr>
            <w:r>
              <w:rPr>
                <w:sz w:val="24"/>
              </w:rPr>
              <w:t>0</w:t>
            </w:r>
          </w:p>
        </w:tc>
      </w:tr>
      <w:tr>
        <w:trPr>
          <w:trHeight w:val="275" w:hRule="atLeast"/>
        </w:trPr>
        <w:tc>
          <w:tcPr>
            <w:tcW w:w="5089" w:type="dxa"/>
          </w:tcPr>
          <w:p>
            <w:pPr>
              <w:pStyle w:val="TableParagraph"/>
              <w:spacing w:line="256" w:lineRule="exact"/>
              <w:ind w:left="108"/>
              <w:rPr>
                <w:sz w:val="24"/>
              </w:rPr>
            </w:pPr>
            <w:r>
              <w:rPr>
                <w:sz w:val="24"/>
              </w:rPr>
              <w:t>Gheaţă alimentară</w:t>
            </w:r>
          </w:p>
        </w:tc>
        <w:tc>
          <w:tcPr>
            <w:tcW w:w="1099" w:type="dxa"/>
          </w:tcPr>
          <w:p>
            <w:pPr>
              <w:pStyle w:val="TableParagraph"/>
              <w:spacing w:line="256" w:lineRule="exact"/>
              <w:ind w:left="15"/>
              <w:jc w:val="center"/>
              <w:rPr>
                <w:sz w:val="24"/>
              </w:rPr>
            </w:pPr>
            <w:r>
              <w:rPr>
                <w:sz w:val="24"/>
              </w:rPr>
              <w:t>2</w:t>
            </w:r>
          </w:p>
        </w:tc>
        <w:tc>
          <w:tcPr>
            <w:tcW w:w="1100" w:type="dxa"/>
          </w:tcPr>
          <w:p>
            <w:pPr>
              <w:pStyle w:val="TableParagraph"/>
              <w:spacing w:line="256" w:lineRule="exact"/>
              <w:ind w:left="10"/>
              <w:jc w:val="center"/>
              <w:rPr>
                <w:sz w:val="24"/>
              </w:rPr>
            </w:pPr>
            <w:r>
              <w:rPr>
                <w:sz w:val="24"/>
              </w:rPr>
              <w:t>0</w:t>
            </w:r>
          </w:p>
        </w:tc>
        <w:tc>
          <w:tcPr>
            <w:tcW w:w="1323" w:type="dxa"/>
          </w:tcPr>
          <w:p>
            <w:pPr>
              <w:pStyle w:val="TableParagraph"/>
              <w:spacing w:line="256" w:lineRule="exact"/>
              <w:ind w:left="460" w:right="453"/>
              <w:jc w:val="center"/>
              <w:rPr>
                <w:sz w:val="24"/>
              </w:rPr>
            </w:pPr>
            <w:r>
              <w:rPr>
                <w:sz w:val="24"/>
              </w:rPr>
              <w:t>12</w:t>
            </w:r>
          </w:p>
        </w:tc>
        <w:tc>
          <w:tcPr>
            <w:tcW w:w="1547" w:type="dxa"/>
          </w:tcPr>
          <w:p>
            <w:pPr>
              <w:pStyle w:val="TableParagraph"/>
              <w:spacing w:line="256" w:lineRule="exact"/>
              <w:ind w:right="529"/>
              <w:jc w:val="right"/>
              <w:rPr>
                <w:sz w:val="24"/>
              </w:rPr>
            </w:pPr>
            <w:r>
              <w:rPr>
                <w:sz w:val="24"/>
              </w:rPr>
              <w:t>0</w:t>
            </w:r>
          </w:p>
        </w:tc>
      </w:tr>
    </w:tbl>
    <w:p>
      <w:pPr>
        <w:pStyle w:val="BodyText"/>
        <w:spacing w:before="10"/>
        <w:ind w:left="0"/>
        <w:rPr>
          <w:sz w:val="23"/>
        </w:rPr>
      </w:pPr>
    </w:p>
    <w:p>
      <w:pPr>
        <w:pStyle w:val="BodyText"/>
        <w:ind w:left="233"/>
      </w:pPr>
      <w:r>
        <w:rPr/>
        <w:t>Ape nepotabile din bazine înot, piscine, jacuzzi: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1620"/>
        <w:gridCol w:w="1440"/>
        <w:gridCol w:w="1437"/>
        <w:gridCol w:w="2445"/>
      </w:tblGrid>
      <w:tr>
        <w:trPr>
          <w:trHeight w:val="551" w:hRule="atLeast"/>
        </w:trPr>
        <w:tc>
          <w:tcPr>
            <w:tcW w:w="3169" w:type="dxa"/>
          </w:tcPr>
          <w:p>
            <w:pPr>
              <w:pStyle w:val="TableParagraph"/>
              <w:rPr>
                <w:sz w:val="24"/>
              </w:rPr>
            </w:pPr>
          </w:p>
        </w:tc>
        <w:tc>
          <w:tcPr>
            <w:tcW w:w="1620" w:type="dxa"/>
          </w:tcPr>
          <w:p>
            <w:pPr>
              <w:pStyle w:val="TableParagraph"/>
              <w:spacing w:line="275" w:lineRule="exact"/>
              <w:ind w:left="107"/>
              <w:rPr>
                <w:sz w:val="24"/>
              </w:rPr>
            </w:pPr>
            <w:r>
              <w:rPr>
                <w:sz w:val="24"/>
              </w:rPr>
              <w:t>Total probe</w:t>
            </w:r>
          </w:p>
        </w:tc>
        <w:tc>
          <w:tcPr>
            <w:tcW w:w="1440" w:type="dxa"/>
          </w:tcPr>
          <w:p>
            <w:pPr>
              <w:pStyle w:val="TableParagraph"/>
              <w:spacing w:line="275" w:lineRule="exact"/>
              <w:ind w:left="108"/>
              <w:rPr>
                <w:sz w:val="24"/>
              </w:rPr>
            </w:pPr>
            <w:r>
              <w:rPr>
                <w:sz w:val="24"/>
              </w:rPr>
              <w:t>Pozitive</w:t>
            </w:r>
          </w:p>
        </w:tc>
        <w:tc>
          <w:tcPr>
            <w:tcW w:w="1437" w:type="dxa"/>
          </w:tcPr>
          <w:p>
            <w:pPr>
              <w:pStyle w:val="TableParagraph"/>
              <w:spacing w:line="276" w:lineRule="exact" w:before="2"/>
              <w:ind w:left="163" w:right="137" w:firstLine="396"/>
              <w:rPr>
                <w:sz w:val="24"/>
              </w:rPr>
            </w:pPr>
            <w:r>
              <w:rPr>
                <w:sz w:val="24"/>
              </w:rPr>
              <w:t>Nr. determinări</w:t>
            </w:r>
          </w:p>
        </w:tc>
        <w:tc>
          <w:tcPr>
            <w:tcW w:w="2445" w:type="dxa"/>
          </w:tcPr>
          <w:p>
            <w:pPr>
              <w:pStyle w:val="TableParagraph"/>
              <w:spacing w:line="275" w:lineRule="exact"/>
              <w:ind w:left="107"/>
              <w:rPr>
                <w:sz w:val="24"/>
              </w:rPr>
            </w:pPr>
            <w:r>
              <w:rPr>
                <w:sz w:val="24"/>
              </w:rPr>
              <w:t>Determinări pozitive</w:t>
            </w:r>
          </w:p>
        </w:tc>
      </w:tr>
      <w:tr>
        <w:trPr>
          <w:trHeight w:val="273" w:hRule="atLeast"/>
        </w:trPr>
        <w:tc>
          <w:tcPr>
            <w:tcW w:w="3169" w:type="dxa"/>
          </w:tcPr>
          <w:p>
            <w:pPr>
              <w:pStyle w:val="TableParagraph"/>
              <w:spacing w:line="253" w:lineRule="exact"/>
              <w:ind w:left="108"/>
              <w:rPr>
                <w:sz w:val="24"/>
              </w:rPr>
            </w:pPr>
            <w:r>
              <w:rPr>
                <w:sz w:val="24"/>
              </w:rPr>
              <w:t>DSP Bucuresti</w:t>
            </w:r>
          </w:p>
        </w:tc>
        <w:tc>
          <w:tcPr>
            <w:tcW w:w="1620" w:type="dxa"/>
          </w:tcPr>
          <w:p>
            <w:pPr>
              <w:pStyle w:val="TableParagraph"/>
              <w:spacing w:line="253" w:lineRule="exact"/>
              <w:ind w:left="331" w:right="233"/>
              <w:jc w:val="center"/>
              <w:rPr>
                <w:sz w:val="24"/>
              </w:rPr>
            </w:pPr>
            <w:r>
              <w:rPr>
                <w:sz w:val="24"/>
              </w:rPr>
              <w:t>65</w:t>
            </w:r>
          </w:p>
        </w:tc>
        <w:tc>
          <w:tcPr>
            <w:tcW w:w="1440" w:type="dxa"/>
          </w:tcPr>
          <w:p>
            <w:pPr>
              <w:pStyle w:val="TableParagraph"/>
              <w:spacing w:line="253" w:lineRule="exact"/>
              <w:ind w:left="39"/>
              <w:jc w:val="center"/>
              <w:rPr>
                <w:sz w:val="24"/>
              </w:rPr>
            </w:pPr>
            <w:r>
              <w:rPr>
                <w:sz w:val="24"/>
              </w:rPr>
              <w:t>8</w:t>
            </w:r>
          </w:p>
        </w:tc>
        <w:tc>
          <w:tcPr>
            <w:tcW w:w="1437" w:type="dxa"/>
          </w:tcPr>
          <w:p>
            <w:pPr>
              <w:pStyle w:val="TableParagraph"/>
              <w:spacing w:line="253" w:lineRule="exact"/>
              <w:ind w:left="491" w:right="329"/>
              <w:jc w:val="center"/>
              <w:rPr>
                <w:sz w:val="24"/>
              </w:rPr>
            </w:pPr>
            <w:r>
              <w:rPr>
                <w:sz w:val="24"/>
              </w:rPr>
              <w:t>325</w:t>
            </w:r>
          </w:p>
        </w:tc>
        <w:tc>
          <w:tcPr>
            <w:tcW w:w="2445" w:type="dxa"/>
          </w:tcPr>
          <w:p>
            <w:pPr>
              <w:pStyle w:val="TableParagraph"/>
              <w:spacing w:line="253" w:lineRule="exact"/>
              <w:ind w:left="795" w:right="1271"/>
              <w:jc w:val="center"/>
              <w:rPr>
                <w:sz w:val="24"/>
              </w:rPr>
            </w:pPr>
            <w:r>
              <w:rPr>
                <w:sz w:val="24"/>
              </w:rPr>
              <w:t>16</w:t>
            </w:r>
          </w:p>
        </w:tc>
      </w:tr>
      <w:tr>
        <w:trPr>
          <w:trHeight w:val="275" w:hRule="atLeast"/>
        </w:trPr>
        <w:tc>
          <w:tcPr>
            <w:tcW w:w="3169" w:type="dxa"/>
          </w:tcPr>
          <w:p>
            <w:pPr>
              <w:pStyle w:val="TableParagraph"/>
              <w:spacing w:line="256" w:lineRule="exact"/>
              <w:ind w:left="108"/>
              <w:rPr>
                <w:sz w:val="24"/>
              </w:rPr>
            </w:pPr>
            <w:r>
              <w:rPr>
                <w:sz w:val="24"/>
              </w:rPr>
              <w:t>DSP Ilfov</w:t>
            </w:r>
          </w:p>
        </w:tc>
        <w:tc>
          <w:tcPr>
            <w:tcW w:w="1620" w:type="dxa"/>
          </w:tcPr>
          <w:p>
            <w:pPr>
              <w:pStyle w:val="TableParagraph"/>
              <w:spacing w:line="256" w:lineRule="exact"/>
              <w:ind w:right="19"/>
              <w:jc w:val="center"/>
              <w:rPr>
                <w:sz w:val="24"/>
              </w:rPr>
            </w:pPr>
            <w:r>
              <w:rPr>
                <w:sz w:val="24"/>
              </w:rPr>
              <w:t>2</w:t>
            </w:r>
          </w:p>
        </w:tc>
        <w:tc>
          <w:tcPr>
            <w:tcW w:w="1440" w:type="dxa"/>
          </w:tcPr>
          <w:p>
            <w:pPr>
              <w:pStyle w:val="TableParagraph"/>
              <w:spacing w:line="256" w:lineRule="exact"/>
              <w:ind w:left="39"/>
              <w:jc w:val="center"/>
              <w:rPr>
                <w:sz w:val="24"/>
              </w:rPr>
            </w:pPr>
            <w:r>
              <w:rPr>
                <w:sz w:val="24"/>
              </w:rPr>
              <w:t>0</w:t>
            </w:r>
          </w:p>
        </w:tc>
        <w:tc>
          <w:tcPr>
            <w:tcW w:w="1437" w:type="dxa"/>
          </w:tcPr>
          <w:p>
            <w:pPr>
              <w:pStyle w:val="TableParagraph"/>
              <w:spacing w:line="256" w:lineRule="exact"/>
              <w:ind w:left="458" w:right="416"/>
              <w:jc w:val="center"/>
              <w:rPr>
                <w:sz w:val="24"/>
              </w:rPr>
            </w:pPr>
            <w:r>
              <w:rPr>
                <w:sz w:val="24"/>
              </w:rPr>
              <w:t>10</w:t>
            </w:r>
          </w:p>
        </w:tc>
        <w:tc>
          <w:tcPr>
            <w:tcW w:w="2445" w:type="dxa"/>
          </w:tcPr>
          <w:p>
            <w:pPr>
              <w:pStyle w:val="TableParagraph"/>
              <w:spacing w:line="256" w:lineRule="exact"/>
              <w:ind w:right="596"/>
              <w:jc w:val="center"/>
              <w:rPr>
                <w:sz w:val="24"/>
              </w:rPr>
            </w:pPr>
            <w:r>
              <w:rPr>
                <w:sz w:val="24"/>
              </w:rPr>
              <w:t>0</w:t>
            </w:r>
          </w:p>
        </w:tc>
      </w:tr>
      <w:tr>
        <w:trPr>
          <w:trHeight w:val="277" w:hRule="atLeast"/>
        </w:trPr>
        <w:tc>
          <w:tcPr>
            <w:tcW w:w="3169" w:type="dxa"/>
          </w:tcPr>
          <w:p>
            <w:pPr>
              <w:pStyle w:val="TableParagraph"/>
              <w:spacing w:line="258" w:lineRule="exact"/>
              <w:ind w:left="108"/>
              <w:rPr>
                <w:sz w:val="24"/>
              </w:rPr>
            </w:pPr>
            <w:r>
              <w:rPr>
                <w:sz w:val="24"/>
              </w:rPr>
              <w:t>Particulari</w:t>
            </w:r>
          </w:p>
        </w:tc>
        <w:tc>
          <w:tcPr>
            <w:tcW w:w="1620" w:type="dxa"/>
          </w:tcPr>
          <w:p>
            <w:pPr>
              <w:pStyle w:val="TableParagraph"/>
              <w:spacing w:line="258" w:lineRule="exact"/>
              <w:ind w:left="218" w:right="325"/>
              <w:jc w:val="center"/>
              <w:rPr>
                <w:sz w:val="24"/>
              </w:rPr>
            </w:pPr>
            <w:r>
              <w:rPr>
                <w:sz w:val="24"/>
              </w:rPr>
              <w:t>368</w:t>
            </w:r>
          </w:p>
        </w:tc>
        <w:tc>
          <w:tcPr>
            <w:tcW w:w="1440" w:type="dxa"/>
          </w:tcPr>
          <w:p>
            <w:pPr>
              <w:pStyle w:val="TableParagraph"/>
              <w:spacing w:line="258" w:lineRule="exact"/>
              <w:ind w:left="552" w:right="597"/>
              <w:jc w:val="center"/>
              <w:rPr>
                <w:sz w:val="24"/>
              </w:rPr>
            </w:pPr>
            <w:r>
              <w:rPr>
                <w:sz w:val="24"/>
              </w:rPr>
              <w:t>19</w:t>
            </w:r>
          </w:p>
        </w:tc>
        <w:tc>
          <w:tcPr>
            <w:tcW w:w="1437" w:type="dxa"/>
          </w:tcPr>
          <w:p>
            <w:pPr>
              <w:pStyle w:val="TableParagraph"/>
              <w:spacing w:line="258" w:lineRule="exact"/>
              <w:ind w:left="491" w:right="416"/>
              <w:jc w:val="center"/>
              <w:rPr>
                <w:sz w:val="24"/>
              </w:rPr>
            </w:pPr>
            <w:r>
              <w:rPr>
                <w:sz w:val="24"/>
              </w:rPr>
              <w:t>1840</w:t>
            </w:r>
          </w:p>
        </w:tc>
        <w:tc>
          <w:tcPr>
            <w:tcW w:w="2445" w:type="dxa"/>
          </w:tcPr>
          <w:p>
            <w:pPr>
              <w:pStyle w:val="TableParagraph"/>
              <w:spacing w:line="258" w:lineRule="exact"/>
              <w:ind w:left="751" w:right="1315"/>
              <w:jc w:val="center"/>
              <w:rPr>
                <w:sz w:val="24"/>
              </w:rPr>
            </w:pPr>
            <w:r>
              <w:rPr>
                <w:sz w:val="24"/>
              </w:rPr>
              <w:t>23</w:t>
            </w:r>
          </w:p>
        </w:tc>
      </w:tr>
    </w:tbl>
    <w:p>
      <w:pPr>
        <w:pStyle w:val="BodyText"/>
        <w:ind w:left="233" w:right="901"/>
      </w:pPr>
      <w:r>
        <w:rPr/>
        <w:t>Referitor la rezultatele prezentate in tabelul de mai sus, 10 probe, 28 determinari, reprezinta activitatea desfasurata in cadrul PN II</w:t>
      </w:r>
    </w:p>
    <w:p>
      <w:pPr>
        <w:pStyle w:val="BodyText"/>
        <w:ind w:left="0"/>
      </w:pPr>
    </w:p>
    <w:p>
      <w:pPr>
        <w:pStyle w:val="BodyText"/>
        <w:ind w:left="233"/>
      </w:pPr>
      <w:r>
        <w:rPr/>
        <w:t>Ape nepotabile - lacuri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2034"/>
        <w:gridCol w:w="2031"/>
        <w:gridCol w:w="2031"/>
        <w:gridCol w:w="2031"/>
      </w:tblGrid>
      <w:tr>
        <w:trPr>
          <w:trHeight w:val="551" w:hRule="atLeast"/>
        </w:trPr>
        <w:tc>
          <w:tcPr>
            <w:tcW w:w="2031" w:type="dxa"/>
          </w:tcPr>
          <w:p>
            <w:pPr>
              <w:pStyle w:val="TableParagraph"/>
              <w:rPr>
                <w:sz w:val="24"/>
              </w:rPr>
            </w:pPr>
          </w:p>
        </w:tc>
        <w:tc>
          <w:tcPr>
            <w:tcW w:w="2034" w:type="dxa"/>
          </w:tcPr>
          <w:p>
            <w:pPr>
              <w:pStyle w:val="TableParagraph"/>
              <w:spacing w:line="275" w:lineRule="exact"/>
              <w:ind w:left="110"/>
              <w:rPr>
                <w:sz w:val="24"/>
              </w:rPr>
            </w:pPr>
            <w:r>
              <w:rPr>
                <w:sz w:val="24"/>
              </w:rPr>
              <w:t>Total probe</w:t>
            </w:r>
          </w:p>
        </w:tc>
        <w:tc>
          <w:tcPr>
            <w:tcW w:w="2031" w:type="dxa"/>
          </w:tcPr>
          <w:p>
            <w:pPr>
              <w:pStyle w:val="TableParagraph"/>
              <w:spacing w:line="275" w:lineRule="exact"/>
              <w:ind w:left="107"/>
              <w:rPr>
                <w:sz w:val="24"/>
              </w:rPr>
            </w:pPr>
            <w:r>
              <w:rPr>
                <w:sz w:val="24"/>
              </w:rPr>
              <w:t>Pozitive</w:t>
            </w:r>
          </w:p>
        </w:tc>
        <w:tc>
          <w:tcPr>
            <w:tcW w:w="2031" w:type="dxa"/>
          </w:tcPr>
          <w:p>
            <w:pPr>
              <w:pStyle w:val="TableParagraph"/>
              <w:spacing w:line="275" w:lineRule="exact"/>
              <w:ind w:left="253" w:right="247"/>
              <w:jc w:val="center"/>
              <w:rPr>
                <w:sz w:val="24"/>
              </w:rPr>
            </w:pPr>
            <w:r>
              <w:rPr>
                <w:sz w:val="24"/>
              </w:rPr>
              <w:t>Nr. determinări</w:t>
            </w:r>
          </w:p>
        </w:tc>
        <w:tc>
          <w:tcPr>
            <w:tcW w:w="2031" w:type="dxa"/>
          </w:tcPr>
          <w:p>
            <w:pPr>
              <w:pStyle w:val="TableParagraph"/>
              <w:spacing w:line="276" w:lineRule="exact" w:before="2"/>
              <w:ind w:left="106" w:right="735"/>
              <w:rPr>
                <w:sz w:val="24"/>
              </w:rPr>
            </w:pPr>
            <w:r>
              <w:rPr>
                <w:sz w:val="24"/>
              </w:rPr>
              <w:t>Determinări pozitive</w:t>
            </w:r>
          </w:p>
        </w:tc>
      </w:tr>
      <w:tr>
        <w:trPr>
          <w:trHeight w:val="273" w:hRule="atLeast"/>
        </w:trPr>
        <w:tc>
          <w:tcPr>
            <w:tcW w:w="2031" w:type="dxa"/>
          </w:tcPr>
          <w:p>
            <w:pPr>
              <w:pStyle w:val="TableParagraph"/>
              <w:spacing w:line="253" w:lineRule="exact"/>
              <w:ind w:left="108"/>
              <w:rPr>
                <w:sz w:val="24"/>
              </w:rPr>
            </w:pPr>
            <w:r>
              <w:rPr>
                <w:sz w:val="24"/>
              </w:rPr>
              <w:t>DSP Bucuresti</w:t>
            </w:r>
          </w:p>
        </w:tc>
        <w:tc>
          <w:tcPr>
            <w:tcW w:w="2034" w:type="dxa"/>
          </w:tcPr>
          <w:p>
            <w:pPr>
              <w:pStyle w:val="TableParagraph"/>
              <w:spacing w:line="253" w:lineRule="exact"/>
              <w:ind w:left="11"/>
              <w:jc w:val="center"/>
              <w:rPr>
                <w:sz w:val="24"/>
              </w:rPr>
            </w:pPr>
            <w:r>
              <w:rPr>
                <w:sz w:val="24"/>
              </w:rPr>
              <w:t>4</w:t>
            </w:r>
          </w:p>
        </w:tc>
        <w:tc>
          <w:tcPr>
            <w:tcW w:w="2031" w:type="dxa"/>
          </w:tcPr>
          <w:p>
            <w:pPr>
              <w:pStyle w:val="TableParagraph"/>
              <w:spacing w:line="253" w:lineRule="exact"/>
              <w:ind w:right="944"/>
              <w:jc w:val="right"/>
              <w:rPr>
                <w:sz w:val="24"/>
              </w:rPr>
            </w:pPr>
            <w:r>
              <w:rPr>
                <w:sz w:val="24"/>
              </w:rPr>
              <w:t>0</w:t>
            </w:r>
          </w:p>
        </w:tc>
        <w:tc>
          <w:tcPr>
            <w:tcW w:w="2031" w:type="dxa"/>
          </w:tcPr>
          <w:p>
            <w:pPr>
              <w:pStyle w:val="TableParagraph"/>
              <w:spacing w:line="253" w:lineRule="exact"/>
              <w:ind w:left="253" w:right="245"/>
              <w:jc w:val="center"/>
              <w:rPr>
                <w:sz w:val="24"/>
              </w:rPr>
            </w:pPr>
            <w:r>
              <w:rPr>
                <w:sz w:val="24"/>
              </w:rPr>
              <w:t>12</w:t>
            </w:r>
          </w:p>
        </w:tc>
        <w:tc>
          <w:tcPr>
            <w:tcW w:w="2031" w:type="dxa"/>
          </w:tcPr>
          <w:p>
            <w:pPr>
              <w:pStyle w:val="TableParagraph"/>
              <w:spacing w:line="253" w:lineRule="exact"/>
              <w:ind w:left="7"/>
              <w:jc w:val="center"/>
              <w:rPr>
                <w:sz w:val="24"/>
              </w:rPr>
            </w:pPr>
            <w:r>
              <w:rPr>
                <w:sz w:val="24"/>
              </w:rPr>
              <w:t>0</w:t>
            </w:r>
          </w:p>
        </w:tc>
      </w:tr>
      <w:tr>
        <w:trPr>
          <w:trHeight w:val="275" w:hRule="atLeast"/>
        </w:trPr>
        <w:tc>
          <w:tcPr>
            <w:tcW w:w="2031" w:type="dxa"/>
          </w:tcPr>
          <w:p>
            <w:pPr>
              <w:pStyle w:val="TableParagraph"/>
              <w:spacing w:line="256" w:lineRule="exact"/>
              <w:ind w:left="108"/>
              <w:rPr>
                <w:sz w:val="24"/>
              </w:rPr>
            </w:pPr>
            <w:r>
              <w:rPr>
                <w:sz w:val="24"/>
              </w:rPr>
              <w:t>DSP Ilfov</w:t>
            </w:r>
          </w:p>
        </w:tc>
        <w:tc>
          <w:tcPr>
            <w:tcW w:w="2034" w:type="dxa"/>
          </w:tcPr>
          <w:p>
            <w:pPr>
              <w:pStyle w:val="TableParagraph"/>
              <w:spacing w:line="256" w:lineRule="exact"/>
              <w:ind w:left="877" w:right="866"/>
              <w:jc w:val="center"/>
              <w:rPr>
                <w:sz w:val="24"/>
              </w:rPr>
            </w:pPr>
            <w:r>
              <w:rPr>
                <w:sz w:val="24"/>
              </w:rPr>
              <w:t>10</w:t>
            </w:r>
          </w:p>
        </w:tc>
        <w:tc>
          <w:tcPr>
            <w:tcW w:w="2031" w:type="dxa"/>
          </w:tcPr>
          <w:p>
            <w:pPr>
              <w:pStyle w:val="TableParagraph"/>
              <w:spacing w:line="256" w:lineRule="exact"/>
              <w:ind w:right="944"/>
              <w:jc w:val="right"/>
              <w:rPr>
                <w:sz w:val="24"/>
              </w:rPr>
            </w:pPr>
            <w:r>
              <w:rPr>
                <w:sz w:val="24"/>
              </w:rPr>
              <w:t>0</w:t>
            </w:r>
          </w:p>
        </w:tc>
        <w:tc>
          <w:tcPr>
            <w:tcW w:w="2031" w:type="dxa"/>
          </w:tcPr>
          <w:p>
            <w:pPr>
              <w:pStyle w:val="TableParagraph"/>
              <w:spacing w:line="256" w:lineRule="exact"/>
              <w:ind w:left="253" w:right="245"/>
              <w:jc w:val="center"/>
              <w:rPr>
                <w:sz w:val="24"/>
              </w:rPr>
            </w:pPr>
            <w:r>
              <w:rPr>
                <w:sz w:val="24"/>
              </w:rPr>
              <w:t>28</w:t>
            </w:r>
          </w:p>
        </w:tc>
        <w:tc>
          <w:tcPr>
            <w:tcW w:w="2031" w:type="dxa"/>
          </w:tcPr>
          <w:p>
            <w:pPr>
              <w:pStyle w:val="TableParagraph"/>
              <w:spacing w:line="256" w:lineRule="exact"/>
              <w:ind w:left="7"/>
              <w:jc w:val="center"/>
              <w:rPr>
                <w:sz w:val="24"/>
              </w:rPr>
            </w:pPr>
            <w:r>
              <w:rPr>
                <w:sz w:val="24"/>
              </w:rPr>
              <w:t>0</w:t>
            </w:r>
          </w:p>
        </w:tc>
      </w:tr>
      <w:tr>
        <w:trPr>
          <w:trHeight w:val="275" w:hRule="atLeast"/>
        </w:trPr>
        <w:tc>
          <w:tcPr>
            <w:tcW w:w="2031" w:type="dxa"/>
          </w:tcPr>
          <w:p>
            <w:pPr>
              <w:pStyle w:val="TableParagraph"/>
              <w:spacing w:line="256" w:lineRule="exact"/>
              <w:ind w:left="108"/>
              <w:rPr>
                <w:sz w:val="24"/>
              </w:rPr>
            </w:pPr>
            <w:r>
              <w:rPr>
                <w:sz w:val="24"/>
              </w:rPr>
              <w:t>Particulari</w:t>
            </w:r>
          </w:p>
        </w:tc>
        <w:tc>
          <w:tcPr>
            <w:tcW w:w="2034" w:type="dxa"/>
          </w:tcPr>
          <w:p>
            <w:pPr>
              <w:pStyle w:val="TableParagraph"/>
              <w:spacing w:line="256" w:lineRule="exact"/>
              <w:ind w:left="11"/>
              <w:jc w:val="center"/>
              <w:rPr>
                <w:sz w:val="24"/>
              </w:rPr>
            </w:pPr>
            <w:r>
              <w:rPr>
                <w:sz w:val="24"/>
              </w:rPr>
              <w:t>2</w:t>
            </w:r>
          </w:p>
        </w:tc>
        <w:tc>
          <w:tcPr>
            <w:tcW w:w="2031" w:type="dxa"/>
          </w:tcPr>
          <w:p>
            <w:pPr>
              <w:pStyle w:val="TableParagraph"/>
              <w:spacing w:line="256" w:lineRule="exact"/>
              <w:ind w:right="944"/>
              <w:jc w:val="right"/>
              <w:rPr>
                <w:sz w:val="24"/>
              </w:rPr>
            </w:pPr>
            <w:r>
              <w:rPr>
                <w:sz w:val="24"/>
              </w:rPr>
              <w:t>0</w:t>
            </w:r>
          </w:p>
        </w:tc>
        <w:tc>
          <w:tcPr>
            <w:tcW w:w="2031" w:type="dxa"/>
          </w:tcPr>
          <w:p>
            <w:pPr>
              <w:pStyle w:val="TableParagraph"/>
              <w:spacing w:line="256" w:lineRule="exact"/>
              <w:ind w:left="8"/>
              <w:jc w:val="center"/>
              <w:rPr>
                <w:sz w:val="24"/>
              </w:rPr>
            </w:pPr>
            <w:r>
              <w:rPr>
                <w:sz w:val="24"/>
              </w:rPr>
              <w:t>6</w:t>
            </w:r>
          </w:p>
        </w:tc>
        <w:tc>
          <w:tcPr>
            <w:tcW w:w="2031" w:type="dxa"/>
          </w:tcPr>
          <w:p>
            <w:pPr>
              <w:pStyle w:val="TableParagraph"/>
              <w:spacing w:line="256" w:lineRule="exact"/>
              <w:ind w:left="7"/>
              <w:jc w:val="center"/>
              <w:rPr>
                <w:sz w:val="24"/>
              </w:rPr>
            </w:pPr>
            <w:r>
              <w:rPr>
                <w:sz w:val="24"/>
              </w:rPr>
              <w:t>0</w:t>
            </w:r>
          </w:p>
        </w:tc>
      </w:tr>
    </w:tbl>
    <w:p>
      <w:pPr>
        <w:pStyle w:val="BodyText"/>
        <w:spacing w:before="10"/>
        <w:ind w:left="0"/>
        <w:rPr>
          <w:sz w:val="23"/>
        </w:rPr>
      </w:pPr>
    </w:p>
    <w:p>
      <w:pPr>
        <w:pStyle w:val="BodyText"/>
        <w:ind w:left="233"/>
      </w:pPr>
      <w:r>
        <w:rPr/>
        <w:t>Ape reziduale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2034"/>
        <w:gridCol w:w="2031"/>
        <w:gridCol w:w="2031"/>
        <w:gridCol w:w="2031"/>
      </w:tblGrid>
      <w:tr>
        <w:trPr>
          <w:trHeight w:val="553" w:hRule="atLeast"/>
        </w:trPr>
        <w:tc>
          <w:tcPr>
            <w:tcW w:w="2031" w:type="dxa"/>
          </w:tcPr>
          <w:p>
            <w:pPr>
              <w:pStyle w:val="TableParagraph"/>
              <w:rPr>
                <w:sz w:val="24"/>
              </w:rPr>
            </w:pPr>
          </w:p>
        </w:tc>
        <w:tc>
          <w:tcPr>
            <w:tcW w:w="2034" w:type="dxa"/>
          </w:tcPr>
          <w:p>
            <w:pPr>
              <w:pStyle w:val="TableParagraph"/>
              <w:spacing w:before="1"/>
              <w:ind w:right="799"/>
              <w:jc w:val="right"/>
              <w:rPr>
                <w:sz w:val="24"/>
              </w:rPr>
            </w:pPr>
            <w:r>
              <w:rPr>
                <w:sz w:val="24"/>
              </w:rPr>
              <w:t>Total probe</w:t>
            </w:r>
          </w:p>
        </w:tc>
        <w:tc>
          <w:tcPr>
            <w:tcW w:w="2031" w:type="dxa"/>
          </w:tcPr>
          <w:p>
            <w:pPr>
              <w:pStyle w:val="TableParagraph"/>
              <w:spacing w:before="1"/>
              <w:ind w:left="107"/>
              <w:rPr>
                <w:sz w:val="24"/>
              </w:rPr>
            </w:pPr>
            <w:r>
              <w:rPr>
                <w:sz w:val="24"/>
              </w:rPr>
              <w:t>Pozitive</w:t>
            </w:r>
          </w:p>
        </w:tc>
        <w:tc>
          <w:tcPr>
            <w:tcW w:w="2031" w:type="dxa"/>
          </w:tcPr>
          <w:p>
            <w:pPr>
              <w:pStyle w:val="TableParagraph"/>
              <w:spacing w:before="1"/>
              <w:ind w:left="274"/>
              <w:rPr>
                <w:sz w:val="24"/>
              </w:rPr>
            </w:pPr>
            <w:r>
              <w:rPr>
                <w:sz w:val="24"/>
              </w:rPr>
              <w:t>Nr. determinări</w:t>
            </w:r>
          </w:p>
        </w:tc>
        <w:tc>
          <w:tcPr>
            <w:tcW w:w="2031" w:type="dxa"/>
          </w:tcPr>
          <w:p>
            <w:pPr>
              <w:pStyle w:val="TableParagraph"/>
              <w:spacing w:line="270" w:lineRule="atLeast" w:before="1"/>
              <w:ind w:left="106" w:right="735"/>
              <w:rPr>
                <w:sz w:val="24"/>
              </w:rPr>
            </w:pPr>
            <w:r>
              <w:rPr>
                <w:sz w:val="24"/>
              </w:rPr>
              <w:t>Determinări pozitive</w:t>
            </w:r>
          </w:p>
        </w:tc>
      </w:tr>
      <w:tr>
        <w:trPr>
          <w:trHeight w:val="276" w:hRule="atLeast"/>
        </w:trPr>
        <w:tc>
          <w:tcPr>
            <w:tcW w:w="2031" w:type="dxa"/>
          </w:tcPr>
          <w:p>
            <w:pPr>
              <w:pStyle w:val="TableParagraph"/>
              <w:spacing w:line="256" w:lineRule="exact"/>
              <w:ind w:left="108"/>
              <w:rPr>
                <w:sz w:val="24"/>
              </w:rPr>
            </w:pPr>
            <w:r>
              <w:rPr>
                <w:sz w:val="24"/>
              </w:rPr>
              <w:t>Particulari</w:t>
            </w:r>
          </w:p>
        </w:tc>
        <w:tc>
          <w:tcPr>
            <w:tcW w:w="2034" w:type="dxa"/>
          </w:tcPr>
          <w:p>
            <w:pPr>
              <w:pStyle w:val="TableParagraph"/>
              <w:spacing w:line="256" w:lineRule="exact"/>
              <w:ind w:right="824"/>
              <w:jc w:val="right"/>
              <w:rPr>
                <w:sz w:val="24"/>
              </w:rPr>
            </w:pPr>
            <w:r>
              <w:rPr>
                <w:sz w:val="24"/>
              </w:rPr>
              <w:t>306</w:t>
            </w:r>
          </w:p>
        </w:tc>
        <w:tc>
          <w:tcPr>
            <w:tcW w:w="2031" w:type="dxa"/>
          </w:tcPr>
          <w:p>
            <w:pPr>
              <w:pStyle w:val="TableParagraph"/>
              <w:spacing w:line="256" w:lineRule="exact"/>
              <w:ind w:left="450"/>
              <w:rPr>
                <w:sz w:val="24"/>
              </w:rPr>
            </w:pPr>
            <w:r>
              <w:rPr>
                <w:sz w:val="24"/>
              </w:rPr>
              <w:t>153</w:t>
            </w:r>
          </w:p>
        </w:tc>
        <w:tc>
          <w:tcPr>
            <w:tcW w:w="2031" w:type="dxa"/>
          </w:tcPr>
          <w:p>
            <w:pPr>
              <w:pStyle w:val="TableParagraph"/>
              <w:spacing w:line="256" w:lineRule="exact"/>
              <w:ind w:left="390"/>
              <w:rPr>
                <w:sz w:val="24"/>
              </w:rPr>
            </w:pPr>
            <w:r>
              <w:rPr>
                <w:sz w:val="24"/>
              </w:rPr>
              <w:t>1212</w:t>
            </w:r>
          </w:p>
        </w:tc>
        <w:tc>
          <w:tcPr>
            <w:tcW w:w="2031" w:type="dxa"/>
          </w:tcPr>
          <w:p>
            <w:pPr>
              <w:pStyle w:val="TableParagraph"/>
              <w:spacing w:line="256" w:lineRule="exact"/>
              <w:ind w:left="87" w:right="247"/>
              <w:jc w:val="center"/>
              <w:rPr>
                <w:sz w:val="24"/>
              </w:rPr>
            </w:pPr>
            <w:r>
              <w:rPr>
                <w:sz w:val="24"/>
              </w:rPr>
              <w:t>381</w:t>
            </w:r>
          </w:p>
        </w:tc>
      </w:tr>
    </w:tbl>
    <w:p>
      <w:pPr>
        <w:spacing w:after="0" w:line="256" w:lineRule="exact"/>
        <w:jc w:val="center"/>
        <w:rPr>
          <w:sz w:val="24"/>
        </w:rPr>
        <w:sectPr>
          <w:pgSz w:w="11910" w:h="16840"/>
          <w:pgMar w:header="0" w:footer="738" w:top="1360" w:bottom="920" w:left="900" w:right="0"/>
        </w:sectPr>
      </w:pPr>
    </w:p>
    <w:p>
      <w:pPr>
        <w:pStyle w:val="Heading1"/>
        <w:spacing w:before="117"/>
        <w:rPr>
          <w:b w:val="0"/>
          <w:u w:val="none"/>
        </w:rPr>
      </w:pPr>
      <w:r>
        <w:rPr>
          <w:u w:val="none"/>
        </w:rPr>
        <w:t>Imunoserologie </w:t>
      </w:r>
      <w:r>
        <w:rPr>
          <w:b w:val="0"/>
          <w:u w:val="none"/>
        </w:rPr>
        <w:t>:</w:t>
      </w:r>
    </w:p>
    <w:p>
      <w:pPr>
        <w:pStyle w:val="BodyText"/>
        <w:ind w:left="233"/>
      </w:pPr>
      <w:r>
        <w:rPr>
          <w:u w:val="single"/>
        </w:rPr>
        <w:t>Teste H.I.V</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6"/>
        <w:gridCol w:w="2393"/>
        <w:gridCol w:w="2396"/>
        <w:gridCol w:w="2393"/>
      </w:tblGrid>
      <w:tr>
        <w:trPr>
          <w:trHeight w:val="551" w:hRule="atLeast"/>
        </w:trPr>
        <w:tc>
          <w:tcPr>
            <w:tcW w:w="2396" w:type="dxa"/>
          </w:tcPr>
          <w:p>
            <w:pPr>
              <w:pStyle w:val="TableParagraph"/>
              <w:rPr>
                <w:sz w:val="24"/>
              </w:rPr>
            </w:pPr>
          </w:p>
        </w:tc>
        <w:tc>
          <w:tcPr>
            <w:tcW w:w="2393" w:type="dxa"/>
          </w:tcPr>
          <w:p>
            <w:pPr>
              <w:pStyle w:val="TableParagraph"/>
              <w:spacing w:line="275" w:lineRule="exact"/>
              <w:ind w:left="787" w:right="782"/>
              <w:jc w:val="center"/>
              <w:rPr>
                <w:sz w:val="24"/>
              </w:rPr>
            </w:pPr>
            <w:r>
              <w:rPr>
                <w:sz w:val="24"/>
              </w:rPr>
              <w:t>Gravide</w:t>
            </w:r>
          </w:p>
        </w:tc>
        <w:tc>
          <w:tcPr>
            <w:tcW w:w="2396" w:type="dxa"/>
          </w:tcPr>
          <w:p>
            <w:pPr>
              <w:pStyle w:val="TableParagraph"/>
              <w:spacing w:line="275" w:lineRule="exact"/>
              <w:ind w:left="100" w:right="97"/>
              <w:jc w:val="center"/>
              <w:rPr>
                <w:sz w:val="24"/>
              </w:rPr>
            </w:pPr>
            <w:r>
              <w:rPr>
                <w:sz w:val="24"/>
              </w:rPr>
              <w:t>Testǎri la cerere</w:t>
            </w:r>
          </w:p>
        </w:tc>
        <w:tc>
          <w:tcPr>
            <w:tcW w:w="2393" w:type="dxa"/>
          </w:tcPr>
          <w:p>
            <w:pPr>
              <w:pStyle w:val="TableParagraph"/>
              <w:spacing w:line="276" w:lineRule="exact" w:before="2"/>
              <w:ind w:left="849" w:right="329" w:hanging="495"/>
              <w:rPr>
                <w:sz w:val="24"/>
              </w:rPr>
            </w:pPr>
            <w:r>
              <w:rPr>
                <w:sz w:val="24"/>
              </w:rPr>
              <w:t>Control extern de calitate</w:t>
            </w:r>
          </w:p>
        </w:tc>
      </w:tr>
      <w:tr>
        <w:trPr>
          <w:trHeight w:val="273" w:hRule="atLeast"/>
        </w:trPr>
        <w:tc>
          <w:tcPr>
            <w:tcW w:w="2396" w:type="dxa"/>
          </w:tcPr>
          <w:p>
            <w:pPr>
              <w:pStyle w:val="TableParagraph"/>
              <w:spacing w:line="253" w:lineRule="exact"/>
              <w:ind w:left="100" w:right="94"/>
              <w:jc w:val="center"/>
              <w:rPr>
                <w:sz w:val="24"/>
              </w:rPr>
            </w:pPr>
            <w:r>
              <w:rPr>
                <w:sz w:val="24"/>
              </w:rPr>
              <w:t>Nr. Probe</w:t>
            </w:r>
          </w:p>
        </w:tc>
        <w:tc>
          <w:tcPr>
            <w:tcW w:w="2393" w:type="dxa"/>
          </w:tcPr>
          <w:p>
            <w:pPr>
              <w:pStyle w:val="TableParagraph"/>
              <w:spacing w:line="253" w:lineRule="exact"/>
              <w:ind w:left="787" w:right="780"/>
              <w:jc w:val="center"/>
              <w:rPr>
                <w:sz w:val="24"/>
              </w:rPr>
            </w:pPr>
            <w:r>
              <w:rPr>
                <w:sz w:val="24"/>
              </w:rPr>
              <w:t>2113</w:t>
            </w:r>
          </w:p>
        </w:tc>
        <w:tc>
          <w:tcPr>
            <w:tcW w:w="2396" w:type="dxa"/>
          </w:tcPr>
          <w:p>
            <w:pPr>
              <w:pStyle w:val="TableParagraph"/>
              <w:spacing w:line="253" w:lineRule="exact"/>
              <w:ind w:left="100" w:right="96"/>
              <w:jc w:val="center"/>
              <w:rPr>
                <w:sz w:val="24"/>
              </w:rPr>
            </w:pPr>
            <w:r>
              <w:rPr>
                <w:sz w:val="24"/>
              </w:rPr>
              <w:t>12</w:t>
            </w:r>
          </w:p>
        </w:tc>
        <w:tc>
          <w:tcPr>
            <w:tcW w:w="2393" w:type="dxa"/>
          </w:tcPr>
          <w:p>
            <w:pPr>
              <w:pStyle w:val="TableParagraph"/>
              <w:spacing w:line="253" w:lineRule="exact"/>
              <w:ind w:left="1135"/>
              <w:rPr>
                <w:sz w:val="24"/>
              </w:rPr>
            </w:pPr>
            <w:r>
              <w:rPr>
                <w:sz w:val="24"/>
              </w:rPr>
              <w:t>1</w:t>
            </w:r>
          </w:p>
        </w:tc>
      </w:tr>
      <w:tr>
        <w:trPr>
          <w:trHeight w:val="275" w:hRule="atLeast"/>
        </w:trPr>
        <w:tc>
          <w:tcPr>
            <w:tcW w:w="2396" w:type="dxa"/>
          </w:tcPr>
          <w:p>
            <w:pPr>
              <w:pStyle w:val="TableParagraph"/>
              <w:spacing w:line="256" w:lineRule="exact"/>
              <w:ind w:left="100" w:right="98"/>
              <w:jc w:val="center"/>
              <w:rPr>
                <w:sz w:val="24"/>
              </w:rPr>
            </w:pPr>
            <w:r>
              <w:rPr>
                <w:sz w:val="24"/>
              </w:rPr>
              <w:t>Nr. Probe testate Elisa</w:t>
            </w:r>
          </w:p>
        </w:tc>
        <w:tc>
          <w:tcPr>
            <w:tcW w:w="2393" w:type="dxa"/>
          </w:tcPr>
          <w:p>
            <w:pPr>
              <w:pStyle w:val="TableParagraph"/>
              <w:spacing w:line="256" w:lineRule="exact"/>
              <w:ind w:left="787" w:right="780"/>
              <w:jc w:val="center"/>
              <w:rPr>
                <w:sz w:val="24"/>
              </w:rPr>
            </w:pPr>
            <w:r>
              <w:rPr>
                <w:sz w:val="24"/>
              </w:rPr>
              <w:t>567</w:t>
            </w:r>
          </w:p>
        </w:tc>
        <w:tc>
          <w:tcPr>
            <w:tcW w:w="2396" w:type="dxa"/>
          </w:tcPr>
          <w:p>
            <w:pPr>
              <w:pStyle w:val="TableParagraph"/>
              <w:spacing w:line="256" w:lineRule="exact"/>
              <w:ind w:left="4"/>
              <w:jc w:val="center"/>
              <w:rPr>
                <w:sz w:val="24"/>
              </w:rPr>
            </w:pPr>
            <w:r>
              <w:rPr>
                <w:sz w:val="24"/>
              </w:rPr>
              <w:t>9</w:t>
            </w:r>
          </w:p>
        </w:tc>
        <w:tc>
          <w:tcPr>
            <w:tcW w:w="2393" w:type="dxa"/>
          </w:tcPr>
          <w:p>
            <w:pPr>
              <w:pStyle w:val="TableParagraph"/>
              <w:spacing w:line="256" w:lineRule="exact"/>
              <w:ind w:left="1135"/>
              <w:rPr>
                <w:sz w:val="24"/>
              </w:rPr>
            </w:pPr>
            <w:r>
              <w:rPr>
                <w:sz w:val="24"/>
              </w:rPr>
              <w:t>1</w:t>
            </w:r>
          </w:p>
        </w:tc>
      </w:tr>
      <w:tr>
        <w:trPr>
          <w:trHeight w:val="278" w:hRule="atLeast"/>
        </w:trPr>
        <w:tc>
          <w:tcPr>
            <w:tcW w:w="2396" w:type="dxa"/>
          </w:tcPr>
          <w:p>
            <w:pPr>
              <w:pStyle w:val="TableParagraph"/>
              <w:spacing w:line="257" w:lineRule="exact" w:before="1"/>
              <w:ind w:left="100" w:right="96"/>
              <w:jc w:val="center"/>
              <w:rPr>
                <w:sz w:val="24"/>
              </w:rPr>
            </w:pPr>
            <w:r>
              <w:rPr>
                <w:sz w:val="24"/>
              </w:rPr>
              <w:t>Nr. Probe test Rapid</w:t>
            </w:r>
          </w:p>
        </w:tc>
        <w:tc>
          <w:tcPr>
            <w:tcW w:w="2393" w:type="dxa"/>
          </w:tcPr>
          <w:p>
            <w:pPr>
              <w:pStyle w:val="TableParagraph"/>
              <w:spacing w:line="257" w:lineRule="exact" w:before="1"/>
              <w:ind w:left="787" w:right="780"/>
              <w:jc w:val="center"/>
              <w:rPr>
                <w:sz w:val="24"/>
              </w:rPr>
            </w:pPr>
            <w:r>
              <w:rPr>
                <w:sz w:val="24"/>
              </w:rPr>
              <w:t>1546</w:t>
            </w:r>
          </w:p>
        </w:tc>
        <w:tc>
          <w:tcPr>
            <w:tcW w:w="2396" w:type="dxa"/>
          </w:tcPr>
          <w:p>
            <w:pPr>
              <w:pStyle w:val="TableParagraph"/>
              <w:spacing w:line="257" w:lineRule="exact" w:before="1"/>
              <w:ind w:left="4"/>
              <w:jc w:val="center"/>
              <w:rPr>
                <w:sz w:val="24"/>
              </w:rPr>
            </w:pPr>
            <w:r>
              <w:rPr>
                <w:sz w:val="24"/>
              </w:rPr>
              <w:t>3</w:t>
            </w:r>
          </w:p>
        </w:tc>
        <w:tc>
          <w:tcPr>
            <w:tcW w:w="2393" w:type="dxa"/>
          </w:tcPr>
          <w:p>
            <w:pPr>
              <w:pStyle w:val="TableParagraph"/>
              <w:rPr>
                <w:sz w:val="20"/>
              </w:rPr>
            </w:pPr>
          </w:p>
        </w:tc>
      </w:tr>
      <w:tr>
        <w:trPr>
          <w:trHeight w:val="275" w:hRule="atLeast"/>
        </w:trPr>
        <w:tc>
          <w:tcPr>
            <w:tcW w:w="2396" w:type="dxa"/>
          </w:tcPr>
          <w:p>
            <w:pPr>
              <w:pStyle w:val="TableParagraph"/>
              <w:spacing w:line="256" w:lineRule="exact"/>
              <w:ind w:left="100" w:right="94"/>
              <w:jc w:val="center"/>
              <w:rPr>
                <w:sz w:val="24"/>
              </w:rPr>
            </w:pPr>
            <w:r>
              <w:rPr>
                <w:sz w:val="24"/>
              </w:rPr>
              <w:t>Total teste utilizate</w:t>
            </w:r>
          </w:p>
        </w:tc>
        <w:tc>
          <w:tcPr>
            <w:tcW w:w="2393" w:type="dxa"/>
          </w:tcPr>
          <w:p>
            <w:pPr>
              <w:pStyle w:val="TableParagraph"/>
              <w:spacing w:line="256" w:lineRule="exact"/>
              <w:ind w:left="787" w:right="780"/>
              <w:jc w:val="center"/>
              <w:rPr>
                <w:sz w:val="24"/>
              </w:rPr>
            </w:pPr>
            <w:r>
              <w:rPr>
                <w:sz w:val="24"/>
              </w:rPr>
              <w:t>2813</w:t>
            </w:r>
          </w:p>
        </w:tc>
        <w:tc>
          <w:tcPr>
            <w:tcW w:w="2396" w:type="dxa"/>
          </w:tcPr>
          <w:p>
            <w:pPr>
              <w:pStyle w:val="TableParagraph"/>
              <w:spacing w:line="256" w:lineRule="exact"/>
              <w:ind w:left="100" w:right="96"/>
              <w:jc w:val="center"/>
              <w:rPr>
                <w:sz w:val="24"/>
              </w:rPr>
            </w:pPr>
            <w:r>
              <w:rPr>
                <w:sz w:val="24"/>
              </w:rPr>
              <w:t>19</w:t>
            </w:r>
          </w:p>
        </w:tc>
        <w:tc>
          <w:tcPr>
            <w:tcW w:w="2393" w:type="dxa"/>
          </w:tcPr>
          <w:p>
            <w:pPr>
              <w:pStyle w:val="TableParagraph"/>
              <w:rPr>
                <w:sz w:val="20"/>
              </w:rPr>
            </w:pPr>
          </w:p>
        </w:tc>
      </w:tr>
      <w:tr>
        <w:trPr>
          <w:trHeight w:val="275" w:hRule="atLeast"/>
        </w:trPr>
        <w:tc>
          <w:tcPr>
            <w:tcW w:w="2396" w:type="dxa"/>
          </w:tcPr>
          <w:p>
            <w:pPr>
              <w:pStyle w:val="TableParagraph"/>
              <w:spacing w:line="256" w:lineRule="exact"/>
              <w:ind w:left="100" w:right="94"/>
              <w:jc w:val="center"/>
              <w:rPr>
                <w:sz w:val="24"/>
              </w:rPr>
            </w:pPr>
            <w:r>
              <w:rPr>
                <w:sz w:val="24"/>
              </w:rPr>
              <w:t>Probe pozitive</w:t>
            </w:r>
          </w:p>
        </w:tc>
        <w:tc>
          <w:tcPr>
            <w:tcW w:w="2393" w:type="dxa"/>
          </w:tcPr>
          <w:p>
            <w:pPr>
              <w:pStyle w:val="TableParagraph"/>
              <w:spacing w:line="256" w:lineRule="exact"/>
              <w:ind w:left="7"/>
              <w:jc w:val="center"/>
              <w:rPr>
                <w:sz w:val="24"/>
              </w:rPr>
            </w:pPr>
            <w:r>
              <w:rPr>
                <w:sz w:val="24"/>
              </w:rPr>
              <w:t>8</w:t>
            </w:r>
          </w:p>
        </w:tc>
        <w:tc>
          <w:tcPr>
            <w:tcW w:w="2396" w:type="dxa"/>
          </w:tcPr>
          <w:p>
            <w:pPr>
              <w:pStyle w:val="TableParagraph"/>
              <w:spacing w:line="256" w:lineRule="exact"/>
              <w:ind w:left="4"/>
              <w:jc w:val="center"/>
              <w:rPr>
                <w:sz w:val="24"/>
              </w:rPr>
            </w:pPr>
            <w:r>
              <w:rPr>
                <w:sz w:val="24"/>
              </w:rPr>
              <w:t>3</w:t>
            </w:r>
          </w:p>
        </w:tc>
        <w:tc>
          <w:tcPr>
            <w:tcW w:w="2393" w:type="dxa"/>
          </w:tcPr>
          <w:p>
            <w:pPr>
              <w:pStyle w:val="TableParagraph"/>
              <w:rPr>
                <w:sz w:val="20"/>
              </w:rPr>
            </w:pPr>
          </w:p>
        </w:tc>
      </w:tr>
      <w:tr>
        <w:trPr>
          <w:trHeight w:val="275" w:hRule="atLeast"/>
        </w:trPr>
        <w:tc>
          <w:tcPr>
            <w:tcW w:w="2396" w:type="dxa"/>
          </w:tcPr>
          <w:p>
            <w:pPr>
              <w:pStyle w:val="TableParagraph"/>
              <w:spacing w:line="256" w:lineRule="exact"/>
              <w:ind w:left="100" w:right="97"/>
              <w:jc w:val="center"/>
              <w:rPr>
                <w:sz w:val="24"/>
              </w:rPr>
            </w:pPr>
            <w:r>
              <w:rPr>
                <w:sz w:val="24"/>
              </w:rPr>
              <w:t>Western Blot</w:t>
            </w:r>
          </w:p>
        </w:tc>
        <w:tc>
          <w:tcPr>
            <w:tcW w:w="2393" w:type="dxa"/>
          </w:tcPr>
          <w:p>
            <w:pPr>
              <w:pStyle w:val="TableParagraph"/>
              <w:spacing w:line="256" w:lineRule="exact"/>
              <w:ind w:left="7"/>
              <w:jc w:val="center"/>
              <w:rPr>
                <w:sz w:val="24"/>
              </w:rPr>
            </w:pPr>
            <w:r>
              <w:rPr>
                <w:sz w:val="24"/>
              </w:rPr>
              <w:t>3</w:t>
            </w:r>
          </w:p>
        </w:tc>
        <w:tc>
          <w:tcPr>
            <w:tcW w:w="2396" w:type="dxa"/>
          </w:tcPr>
          <w:p>
            <w:pPr>
              <w:pStyle w:val="TableParagraph"/>
              <w:rPr>
                <w:sz w:val="20"/>
              </w:rPr>
            </w:pPr>
          </w:p>
        </w:tc>
        <w:tc>
          <w:tcPr>
            <w:tcW w:w="2393" w:type="dxa"/>
          </w:tcPr>
          <w:p>
            <w:pPr>
              <w:pStyle w:val="TableParagraph"/>
              <w:rPr>
                <w:sz w:val="20"/>
              </w:rPr>
            </w:pPr>
          </w:p>
        </w:tc>
      </w:tr>
    </w:tbl>
    <w:p>
      <w:pPr>
        <w:pStyle w:val="BodyText"/>
        <w:ind w:left="0"/>
        <w:rPr>
          <w:sz w:val="26"/>
        </w:rPr>
      </w:pPr>
    </w:p>
    <w:p>
      <w:pPr>
        <w:pStyle w:val="BodyText"/>
        <w:spacing w:before="11"/>
        <w:ind w:left="0"/>
        <w:rPr>
          <w:sz w:val="21"/>
        </w:rPr>
      </w:pPr>
    </w:p>
    <w:p>
      <w:pPr>
        <w:pStyle w:val="BodyText"/>
        <w:ind w:left="233"/>
      </w:pPr>
      <w:r>
        <w:rPr/>
        <w:t>2.2. </w:t>
      </w:r>
      <w:r>
        <w:rPr>
          <w:u w:val="single"/>
        </w:rPr>
        <w:t>SIFILIS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3"/>
        <w:gridCol w:w="3192"/>
        <w:gridCol w:w="3193"/>
      </w:tblGrid>
      <w:tr>
        <w:trPr>
          <w:trHeight w:val="275" w:hRule="atLeast"/>
        </w:trPr>
        <w:tc>
          <w:tcPr>
            <w:tcW w:w="3193" w:type="dxa"/>
          </w:tcPr>
          <w:p>
            <w:pPr>
              <w:pStyle w:val="TableParagraph"/>
              <w:rPr>
                <w:sz w:val="20"/>
              </w:rPr>
            </w:pPr>
          </w:p>
        </w:tc>
        <w:tc>
          <w:tcPr>
            <w:tcW w:w="3192" w:type="dxa"/>
          </w:tcPr>
          <w:p>
            <w:pPr>
              <w:pStyle w:val="TableParagraph"/>
              <w:spacing w:line="256" w:lineRule="exact"/>
              <w:ind w:left="1261" w:right="1254"/>
              <w:jc w:val="center"/>
              <w:rPr>
                <w:sz w:val="24"/>
              </w:rPr>
            </w:pPr>
            <w:r>
              <w:rPr>
                <w:sz w:val="24"/>
              </w:rPr>
              <w:t>TPHA</w:t>
            </w:r>
          </w:p>
        </w:tc>
        <w:tc>
          <w:tcPr>
            <w:tcW w:w="3193" w:type="dxa"/>
          </w:tcPr>
          <w:p>
            <w:pPr>
              <w:pStyle w:val="TableParagraph"/>
              <w:spacing w:line="256" w:lineRule="exact"/>
              <w:ind w:left="358" w:right="346"/>
              <w:jc w:val="center"/>
              <w:rPr>
                <w:sz w:val="24"/>
              </w:rPr>
            </w:pPr>
            <w:r>
              <w:rPr>
                <w:sz w:val="24"/>
              </w:rPr>
              <w:t>VDRL</w:t>
            </w:r>
          </w:p>
        </w:tc>
      </w:tr>
      <w:tr>
        <w:trPr>
          <w:trHeight w:val="278" w:hRule="atLeast"/>
        </w:trPr>
        <w:tc>
          <w:tcPr>
            <w:tcW w:w="3193" w:type="dxa"/>
          </w:tcPr>
          <w:p>
            <w:pPr>
              <w:pStyle w:val="TableParagraph"/>
              <w:spacing w:line="257" w:lineRule="exact" w:before="1"/>
              <w:ind w:left="358" w:right="350"/>
              <w:jc w:val="center"/>
              <w:rPr>
                <w:sz w:val="24"/>
              </w:rPr>
            </w:pPr>
            <w:r>
              <w:rPr>
                <w:sz w:val="24"/>
              </w:rPr>
              <w:t>Total probe</w:t>
            </w:r>
          </w:p>
        </w:tc>
        <w:tc>
          <w:tcPr>
            <w:tcW w:w="3192" w:type="dxa"/>
          </w:tcPr>
          <w:p>
            <w:pPr>
              <w:pStyle w:val="TableParagraph"/>
              <w:spacing w:line="257" w:lineRule="exact" w:before="1"/>
              <w:ind w:left="1261" w:right="1251"/>
              <w:jc w:val="center"/>
              <w:rPr>
                <w:sz w:val="24"/>
              </w:rPr>
            </w:pPr>
            <w:r>
              <w:rPr>
                <w:sz w:val="24"/>
              </w:rPr>
              <w:t>81</w:t>
            </w:r>
          </w:p>
        </w:tc>
        <w:tc>
          <w:tcPr>
            <w:tcW w:w="3193" w:type="dxa"/>
          </w:tcPr>
          <w:p>
            <w:pPr>
              <w:pStyle w:val="TableParagraph"/>
              <w:spacing w:line="257" w:lineRule="exact" w:before="1"/>
              <w:ind w:left="358" w:right="348"/>
              <w:jc w:val="center"/>
              <w:rPr>
                <w:sz w:val="24"/>
              </w:rPr>
            </w:pPr>
            <w:r>
              <w:rPr>
                <w:sz w:val="24"/>
              </w:rPr>
              <w:t>81</w:t>
            </w:r>
          </w:p>
        </w:tc>
      </w:tr>
      <w:tr>
        <w:trPr>
          <w:trHeight w:val="275" w:hRule="atLeast"/>
        </w:trPr>
        <w:tc>
          <w:tcPr>
            <w:tcW w:w="3193" w:type="dxa"/>
          </w:tcPr>
          <w:p>
            <w:pPr>
              <w:pStyle w:val="TableParagraph"/>
              <w:spacing w:line="256" w:lineRule="exact"/>
              <w:ind w:left="358" w:right="350"/>
              <w:jc w:val="center"/>
              <w:rPr>
                <w:sz w:val="24"/>
              </w:rPr>
            </w:pPr>
            <w:r>
              <w:rPr>
                <w:sz w:val="24"/>
              </w:rPr>
              <w:t>Total examene</w:t>
            </w:r>
          </w:p>
        </w:tc>
        <w:tc>
          <w:tcPr>
            <w:tcW w:w="3192" w:type="dxa"/>
          </w:tcPr>
          <w:p>
            <w:pPr>
              <w:pStyle w:val="TableParagraph"/>
              <w:spacing w:line="256" w:lineRule="exact"/>
              <w:ind w:left="1261" w:right="1251"/>
              <w:jc w:val="center"/>
              <w:rPr>
                <w:sz w:val="24"/>
              </w:rPr>
            </w:pPr>
            <w:r>
              <w:rPr>
                <w:sz w:val="24"/>
              </w:rPr>
              <w:t>177</w:t>
            </w:r>
          </w:p>
        </w:tc>
        <w:tc>
          <w:tcPr>
            <w:tcW w:w="3193" w:type="dxa"/>
          </w:tcPr>
          <w:p>
            <w:pPr>
              <w:pStyle w:val="TableParagraph"/>
              <w:spacing w:line="256" w:lineRule="exact"/>
              <w:ind w:left="358" w:right="348"/>
              <w:jc w:val="center"/>
              <w:rPr>
                <w:sz w:val="24"/>
              </w:rPr>
            </w:pPr>
            <w:r>
              <w:rPr>
                <w:sz w:val="24"/>
              </w:rPr>
              <w:t>238</w:t>
            </w:r>
          </w:p>
        </w:tc>
      </w:tr>
      <w:tr>
        <w:trPr>
          <w:trHeight w:val="275" w:hRule="atLeast"/>
        </w:trPr>
        <w:tc>
          <w:tcPr>
            <w:tcW w:w="3193" w:type="dxa"/>
          </w:tcPr>
          <w:p>
            <w:pPr>
              <w:pStyle w:val="TableParagraph"/>
              <w:spacing w:line="256" w:lineRule="exact"/>
              <w:ind w:left="358" w:right="347"/>
              <w:jc w:val="center"/>
              <w:rPr>
                <w:sz w:val="24"/>
              </w:rPr>
            </w:pPr>
            <w:r>
              <w:rPr>
                <w:sz w:val="24"/>
              </w:rPr>
              <w:t>Probe pozitive</w:t>
            </w:r>
          </w:p>
        </w:tc>
        <w:tc>
          <w:tcPr>
            <w:tcW w:w="3192" w:type="dxa"/>
          </w:tcPr>
          <w:p>
            <w:pPr>
              <w:pStyle w:val="TableParagraph"/>
              <w:spacing w:line="256" w:lineRule="exact"/>
              <w:ind w:left="1261" w:right="1251"/>
              <w:jc w:val="center"/>
              <w:rPr>
                <w:sz w:val="24"/>
              </w:rPr>
            </w:pPr>
            <w:r>
              <w:rPr>
                <w:sz w:val="24"/>
              </w:rPr>
              <w:t>49</w:t>
            </w:r>
          </w:p>
        </w:tc>
        <w:tc>
          <w:tcPr>
            <w:tcW w:w="3193" w:type="dxa"/>
          </w:tcPr>
          <w:p>
            <w:pPr>
              <w:pStyle w:val="TableParagraph"/>
              <w:spacing w:line="256" w:lineRule="exact"/>
              <w:ind w:left="358" w:right="348"/>
              <w:jc w:val="center"/>
              <w:rPr>
                <w:sz w:val="24"/>
              </w:rPr>
            </w:pPr>
            <w:r>
              <w:rPr>
                <w:sz w:val="24"/>
              </w:rPr>
              <w:t>21</w:t>
            </w:r>
          </w:p>
        </w:tc>
      </w:tr>
      <w:tr>
        <w:trPr>
          <w:trHeight w:val="275" w:hRule="atLeast"/>
        </w:trPr>
        <w:tc>
          <w:tcPr>
            <w:tcW w:w="3193" w:type="dxa"/>
          </w:tcPr>
          <w:p>
            <w:pPr>
              <w:pStyle w:val="TableParagraph"/>
              <w:spacing w:line="256" w:lineRule="exact"/>
              <w:ind w:left="358" w:right="351"/>
              <w:jc w:val="center"/>
              <w:rPr>
                <w:sz w:val="24"/>
              </w:rPr>
            </w:pPr>
            <w:r>
              <w:rPr>
                <w:sz w:val="24"/>
              </w:rPr>
              <w:t>Control extern de calitate</w:t>
            </w:r>
          </w:p>
        </w:tc>
        <w:tc>
          <w:tcPr>
            <w:tcW w:w="3192" w:type="dxa"/>
          </w:tcPr>
          <w:p>
            <w:pPr>
              <w:pStyle w:val="TableParagraph"/>
              <w:spacing w:line="256" w:lineRule="exact"/>
              <w:ind w:left="10"/>
              <w:jc w:val="center"/>
              <w:rPr>
                <w:sz w:val="24"/>
              </w:rPr>
            </w:pPr>
            <w:r>
              <w:rPr>
                <w:sz w:val="24"/>
              </w:rPr>
              <w:t>2</w:t>
            </w:r>
          </w:p>
        </w:tc>
        <w:tc>
          <w:tcPr>
            <w:tcW w:w="3193" w:type="dxa"/>
          </w:tcPr>
          <w:p>
            <w:pPr>
              <w:pStyle w:val="TableParagraph"/>
              <w:spacing w:line="256" w:lineRule="exact"/>
              <w:ind w:left="10"/>
              <w:jc w:val="center"/>
              <w:rPr>
                <w:sz w:val="24"/>
              </w:rPr>
            </w:pPr>
            <w:r>
              <w:rPr>
                <w:sz w:val="24"/>
              </w:rPr>
              <w:t>2</w:t>
            </w:r>
          </w:p>
        </w:tc>
      </w:tr>
    </w:tbl>
    <w:p>
      <w:pPr>
        <w:pStyle w:val="BodyText"/>
        <w:spacing w:before="10"/>
        <w:ind w:left="0"/>
        <w:rPr>
          <w:sz w:val="23"/>
        </w:rPr>
      </w:pPr>
    </w:p>
    <w:p>
      <w:pPr>
        <w:spacing w:before="0"/>
        <w:ind w:left="233" w:right="2126" w:firstLine="0"/>
        <w:jc w:val="left"/>
        <w:rPr>
          <w:sz w:val="24"/>
        </w:rPr>
      </w:pPr>
      <w:r>
        <w:rPr>
          <w:b/>
          <w:sz w:val="24"/>
        </w:rPr>
        <w:t>Determinari toxicologice: </w:t>
      </w:r>
      <w:r>
        <w:rPr>
          <w:sz w:val="24"/>
        </w:rPr>
        <w:t>evaluare condiţii de mediu în zona de lucru – la solicitare. Obiective investigate : 90</w:t>
      </w:r>
    </w:p>
    <w:p>
      <w:pPr>
        <w:pStyle w:val="BodyText"/>
        <w:ind w:left="233"/>
      </w:pPr>
      <w:r>
        <w:rPr/>
        <w:t>Secţii:</w:t>
      </w:r>
      <w:r>
        <w:rPr>
          <w:spacing w:val="59"/>
        </w:rPr>
        <w:t> </w:t>
      </w:r>
      <w:r>
        <w:rPr/>
        <w:t>437</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1"/>
        <w:gridCol w:w="2074"/>
        <w:gridCol w:w="2463"/>
        <w:gridCol w:w="2453"/>
      </w:tblGrid>
      <w:tr>
        <w:trPr>
          <w:trHeight w:val="275" w:hRule="atLeast"/>
        </w:trPr>
        <w:tc>
          <w:tcPr>
            <w:tcW w:w="2651" w:type="dxa"/>
          </w:tcPr>
          <w:p>
            <w:pPr>
              <w:pStyle w:val="TableParagraph"/>
              <w:spacing w:line="256" w:lineRule="exact"/>
              <w:ind w:left="528"/>
              <w:rPr>
                <w:sz w:val="24"/>
              </w:rPr>
            </w:pPr>
            <w:r>
              <w:rPr>
                <w:sz w:val="24"/>
              </w:rPr>
              <w:t>Determinări</w:t>
            </w:r>
          </w:p>
        </w:tc>
        <w:tc>
          <w:tcPr>
            <w:tcW w:w="2074" w:type="dxa"/>
          </w:tcPr>
          <w:p>
            <w:pPr>
              <w:pStyle w:val="TableParagraph"/>
              <w:spacing w:line="256" w:lineRule="exact"/>
              <w:ind w:left="143" w:right="135"/>
              <w:jc w:val="center"/>
              <w:rPr>
                <w:sz w:val="24"/>
              </w:rPr>
            </w:pPr>
            <w:r>
              <w:rPr>
                <w:sz w:val="24"/>
              </w:rPr>
              <w:t>Nr.probe recoltate</w:t>
            </w:r>
          </w:p>
        </w:tc>
        <w:tc>
          <w:tcPr>
            <w:tcW w:w="2463" w:type="dxa"/>
          </w:tcPr>
          <w:p>
            <w:pPr>
              <w:pStyle w:val="TableParagraph"/>
              <w:spacing w:line="256" w:lineRule="exact"/>
              <w:ind w:left="501" w:right="491"/>
              <w:jc w:val="center"/>
              <w:rPr>
                <w:sz w:val="24"/>
              </w:rPr>
            </w:pPr>
            <w:r>
              <w:rPr>
                <w:sz w:val="24"/>
              </w:rPr>
              <w:t>Nr.determinări</w:t>
            </w:r>
          </w:p>
        </w:tc>
        <w:tc>
          <w:tcPr>
            <w:tcW w:w="2453" w:type="dxa"/>
          </w:tcPr>
          <w:p>
            <w:pPr>
              <w:pStyle w:val="TableParagraph"/>
              <w:spacing w:line="256" w:lineRule="exact"/>
              <w:ind w:left="640" w:right="630"/>
              <w:jc w:val="center"/>
              <w:rPr>
                <w:sz w:val="24"/>
              </w:rPr>
            </w:pPr>
            <w:r>
              <w:rPr>
                <w:sz w:val="24"/>
              </w:rPr>
              <w:t>Nr. depăşiri</w:t>
            </w:r>
          </w:p>
        </w:tc>
      </w:tr>
      <w:tr>
        <w:trPr>
          <w:trHeight w:val="275" w:hRule="atLeast"/>
        </w:trPr>
        <w:tc>
          <w:tcPr>
            <w:tcW w:w="2651" w:type="dxa"/>
          </w:tcPr>
          <w:p>
            <w:pPr>
              <w:pStyle w:val="TableParagraph"/>
              <w:spacing w:line="256" w:lineRule="exact"/>
              <w:ind w:left="108"/>
              <w:rPr>
                <w:sz w:val="24"/>
              </w:rPr>
            </w:pPr>
            <w:r>
              <w:rPr>
                <w:sz w:val="24"/>
              </w:rPr>
              <w:t>Ozon</w:t>
            </w:r>
          </w:p>
        </w:tc>
        <w:tc>
          <w:tcPr>
            <w:tcW w:w="2074" w:type="dxa"/>
          </w:tcPr>
          <w:p>
            <w:pPr>
              <w:pStyle w:val="TableParagraph"/>
              <w:spacing w:line="256" w:lineRule="exact"/>
              <w:ind w:left="143" w:right="135"/>
              <w:jc w:val="center"/>
              <w:rPr>
                <w:sz w:val="24"/>
              </w:rPr>
            </w:pPr>
            <w:r>
              <w:rPr>
                <w:sz w:val="24"/>
              </w:rPr>
              <w:t>231</w:t>
            </w:r>
          </w:p>
        </w:tc>
        <w:tc>
          <w:tcPr>
            <w:tcW w:w="2463" w:type="dxa"/>
          </w:tcPr>
          <w:p>
            <w:pPr>
              <w:pStyle w:val="TableParagraph"/>
              <w:spacing w:line="256" w:lineRule="exact"/>
              <w:ind w:left="501" w:right="488"/>
              <w:jc w:val="center"/>
              <w:rPr>
                <w:sz w:val="24"/>
              </w:rPr>
            </w:pPr>
            <w:r>
              <w:rPr>
                <w:sz w:val="24"/>
              </w:rPr>
              <w:t>231</w:t>
            </w:r>
          </w:p>
        </w:tc>
        <w:tc>
          <w:tcPr>
            <w:tcW w:w="2453" w:type="dxa"/>
          </w:tcPr>
          <w:p>
            <w:pPr>
              <w:pStyle w:val="TableParagraph"/>
              <w:spacing w:line="256" w:lineRule="exact"/>
              <w:ind w:left="640" w:right="627"/>
              <w:jc w:val="center"/>
              <w:rPr>
                <w:sz w:val="24"/>
              </w:rPr>
            </w:pPr>
            <w:r>
              <w:rPr>
                <w:sz w:val="24"/>
              </w:rPr>
              <w:t>112</w:t>
            </w:r>
          </w:p>
        </w:tc>
      </w:tr>
      <w:tr>
        <w:trPr>
          <w:trHeight w:val="278" w:hRule="atLeast"/>
        </w:trPr>
        <w:tc>
          <w:tcPr>
            <w:tcW w:w="2651" w:type="dxa"/>
          </w:tcPr>
          <w:p>
            <w:pPr>
              <w:pStyle w:val="TableParagraph"/>
              <w:spacing w:line="257" w:lineRule="exact" w:before="1"/>
              <w:ind w:left="108"/>
              <w:rPr>
                <w:sz w:val="24"/>
              </w:rPr>
            </w:pPr>
            <w:r>
              <w:rPr>
                <w:sz w:val="24"/>
              </w:rPr>
              <w:t>Oxizi de azot</w:t>
            </w:r>
          </w:p>
        </w:tc>
        <w:tc>
          <w:tcPr>
            <w:tcW w:w="2074" w:type="dxa"/>
          </w:tcPr>
          <w:p>
            <w:pPr>
              <w:pStyle w:val="TableParagraph"/>
              <w:spacing w:line="257" w:lineRule="exact" w:before="1"/>
              <w:ind w:left="143" w:right="135"/>
              <w:jc w:val="center"/>
              <w:rPr>
                <w:sz w:val="24"/>
              </w:rPr>
            </w:pPr>
            <w:r>
              <w:rPr>
                <w:sz w:val="24"/>
              </w:rPr>
              <w:t>85</w:t>
            </w:r>
          </w:p>
        </w:tc>
        <w:tc>
          <w:tcPr>
            <w:tcW w:w="2463" w:type="dxa"/>
          </w:tcPr>
          <w:p>
            <w:pPr>
              <w:pStyle w:val="TableParagraph"/>
              <w:spacing w:line="257" w:lineRule="exact" w:before="1"/>
              <w:ind w:left="501" w:right="488"/>
              <w:jc w:val="center"/>
              <w:rPr>
                <w:sz w:val="24"/>
              </w:rPr>
            </w:pPr>
            <w:r>
              <w:rPr>
                <w:sz w:val="24"/>
              </w:rPr>
              <w:t>85</w:t>
            </w:r>
          </w:p>
        </w:tc>
        <w:tc>
          <w:tcPr>
            <w:tcW w:w="2453" w:type="dxa"/>
          </w:tcPr>
          <w:p>
            <w:pPr>
              <w:pStyle w:val="TableParagraph"/>
              <w:spacing w:line="257" w:lineRule="exact" w:before="1"/>
              <w:ind w:left="640" w:right="627"/>
              <w:jc w:val="center"/>
              <w:rPr>
                <w:sz w:val="24"/>
              </w:rPr>
            </w:pPr>
            <w:r>
              <w:rPr>
                <w:sz w:val="24"/>
              </w:rPr>
              <w:t>31</w:t>
            </w:r>
          </w:p>
        </w:tc>
      </w:tr>
      <w:tr>
        <w:trPr>
          <w:trHeight w:val="275" w:hRule="atLeast"/>
        </w:trPr>
        <w:tc>
          <w:tcPr>
            <w:tcW w:w="2651" w:type="dxa"/>
          </w:tcPr>
          <w:p>
            <w:pPr>
              <w:pStyle w:val="TableParagraph"/>
              <w:spacing w:line="256" w:lineRule="exact"/>
              <w:ind w:left="108"/>
              <w:rPr>
                <w:sz w:val="24"/>
              </w:rPr>
            </w:pPr>
            <w:r>
              <w:rPr>
                <w:sz w:val="24"/>
              </w:rPr>
              <w:t>Oxid de carbon</w:t>
            </w:r>
          </w:p>
        </w:tc>
        <w:tc>
          <w:tcPr>
            <w:tcW w:w="2074" w:type="dxa"/>
          </w:tcPr>
          <w:p>
            <w:pPr>
              <w:pStyle w:val="TableParagraph"/>
              <w:spacing w:line="256" w:lineRule="exact"/>
              <w:ind w:left="143" w:right="135"/>
              <w:jc w:val="center"/>
              <w:rPr>
                <w:sz w:val="24"/>
              </w:rPr>
            </w:pPr>
            <w:r>
              <w:rPr>
                <w:sz w:val="24"/>
              </w:rPr>
              <w:t>142</w:t>
            </w:r>
          </w:p>
        </w:tc>
        <w:tc>
          <w:tcPr>
            <w:tcW w:w="2463" w:type="dxa"/>
          </w:tcPr>
          <w:p>
            <w:pPr>
              <w:pStyle w:val="TableParagraph"/>
              <w:spacing w:line="256" w:lineRule="exact"/>
              <w:ind w:left="501" w:right="488"/>
              <w:jc w:val="center"/>
              <w:rPr>
                <w:sz w:val="24"/>
              </w:rPr>
            </w:pPr>
            <w:r>
              <w:rPr>
                <w:sz w:val="24"/>
              </w:rPr>
              <w:t>142</w:t>
            </w:r>
          </w:p>
        </w:tc>
        <w:tc>
          <w:tcPr>
            <w:tcW w:w="2453" w:type="dxa"/>
          </w:tcPr>
          <w:p>
            <w:pPr>
              <w:pStyle w:val="TableParagraph"/>
              <w:spacing w:line="256" w:lineRule="exact"/>
              <w:ind w:left="640" w:right="627"/>
              <w:jc w:val="center"/>
              <w:rPr>
                <w:sz w:val="24"/>
              </w:rPr>
            </w:pPr>
            <w:r>
              <w:rPr>
                <w:sz w:val="24"/>
              </w:rPr>
              <w:t>56</w:t>
            </w:r>
          </w:p>
        </w:tc>
      </w:tr>
      <w:tr>
        <w:trPr>
          <w:trHeight w:val="551" w:hRule="atLeast"/>
        </w:trPr>
        <w:tc>
          <w:tcPr>
            <w:tcW w:w="2651" w:type="dxa"/>
          </w:tcPr>
          <w:p>
            <w:pPr>
              <w:pStyle w:val="TableParagraph"/>
              <w:spacing w:line="276" w:lineRule="exact" w:before="2"/>
              <w:ind w:left="108" w:right="860"/>
              <w:rPr>
                <w:sz w:val="24"/>
              </w:rPr>
            </w:pPr>
            <w:r>
              <w:rPr>
                <w:sz w:val="24"/>
              </w:rPr>
              <w:t>Pulberi fără efect specific</w:t>
            </w:r>
          </w:p>
        </w:tc>
        <w:tc>
          <w:tcPr>
            <w:tcW w:w="2074" w:type="dxa"/>
          </w:tcPr>
          <w:p>
            <w:pPr>
              <w:pStyle w:val="TableParagraph"/>
              <w:spacing w:line="275" w:lineRule="exact"/>
              <w:ind w:left="143" w:right="135"/>
              <w:jc w:val="center"/>
              <w:rPr>
                <w:sz w:val="24"/>
              </w:rPr>
            </w:pPr>
            <w:r>
              <w:rPr>
                <w:sz w:val="24"/>
              </w:rPr>
              <w:t>635</w:t>
            </w:r>
          </w:p>
        </w:tc>
        <w:tc>
          <w:tcPr>
            <w:tcW w:w="2463" w:type="dxa"/>
          </w:tcPr>
          <w:p>
            <w:pPr>
              <w:pStyle w:val="TableParagraph"/>
              <w:spacing w:line="275" w:lineRule="exact"/>
              <w:ind w:left="501" w:right="488"/>
              <w:jc w:val="center"/>
              <w:rPr>
                <w:sz w:val="24"/>
              </w:rPr>
            </w:pPr>
            <w:r>
              <w:rPr>
                <w:sz w:val="24"/>
              </w:rPr>
              <w:t>635</w:t>
            </w:r>
          </w:p>
        </w:tc>
        <w:tc>
          <w:tcPr>
            <w:tcW w:w="2453" w:type="dxa"/>
          </w:tcPr>
          <w:p>
            <w:pPr>
              <w:pStyle w:val="TableParagraph"/>
              <w:spacing w:line="275" w:lineRule="exact"/>
              <w:ind w:left="640" w:right="627"/>
              <w:jc w:val="center"/>
              <w:rPr>
                <w:sz w:val="24"/>
              </w:rPr>
            </w:pPr>
            <w:r>
              <w:rPr>
                <w:sz w:val="24"/>
              </w:rPr>
              <w:t>230</w:t>
            </w:r>
          </w:p>
        </w:tc>
      </w:tr>
      <w:tr>
        <w:trPr>
          <w:trHeight w:val="273" w:hRule="atLeast"/>
        </w:trPr>
        <w:tc>
          <w:tcPr>
            <w:tcW w:w="2651" w:type="dxa"/>
          </w:tcPr>
          <w:p>
            <w:pPr>
              <w:pStyle w:val="TableParagraph"/>
              <w:spacing w:line="253" w:lineRule="exact"/>
              <w:ind w:left="108"/>
              <w:rPr>
                <w:sz w:val="24"/>
              </w:rPr>
            </w:pPr>
            <w:r>
              <w:rPr>
                <w:sz w:val="24"/>
              </w:rPr>
              <w:t>Hidrochinonă</w:t>
            </w:r>
          </w:p>
        </w:tc>
        <w:tc>
          <w:tcPr>
            <w:tcW w:w="2074" w:type="dxa"/>
          </w:tcPr>
          <w:p>
            <w:pPr>
              <w:pStyle w:val="TableParagraph"/>
              <w:spacing w:line="253" w:lineRule="exact"/>
              <w:ind w:left="8"/>
              <w:jc w:val="center"/>
              <w:rPr>
                <w:sz w:val="24"/>
              </w:rPr>
            </w:pPr>
            <w:r>
              <w:rPr>
                <w:sz w:val="24"/>
              </w:rPr>
              <w:t>2</w:t>
            </w:r>
          </w:p>
        </w:tc>
        <w:tc>
          <w:tcPr>
            <w:tcW w:w="2463" w:type="dxa"/>
          </w:tcPr>
          <w:p>
            <w:pPr>
              <w:pStyle w:val="TableParagraph"/>
              <w:spacing w:line="253" w:lineRule="exact"/>
              <w:ind w:left="13"/>
              <w:jc w:val="center"/>
              <w:rPr>
                <w:sz w:val="24"/>
              </w:rPr>
            </w:pPr>
            <w:r>
              <w:rPr>
                <w:sz w:val="24"/>
              </w:rPr>
              <w:t>2</w:t>
            </w:r>
          </w:p>
        </w:tc>
        <w:tc>
          <w:tcPr>
            <w:tcW w:w="2453" w:type="dxa"/>
          </w:tcPr>
          <w:p>
            <w:pPr>
              <w:pStyle w:val="TableParagraph"/>
              <w:spacing w:line="253" w:lineRule="exact"/>
              <w:ind w:left="13"/>
              <w:jc w:val="center"/>
              <w:rPr>
                <w:sz w:val="24"/>
              </w:rPr>
            </w:pPr>
            <w:r>
              <w:rPr>
                <w:sz w:val="24"/>
              </w:rPr>
              <w:t>1</w:t>
            </w:r>
          </w:p>
        </w:tc>
      </w:tr>
      <w:tr>
        <w:trPr>
          <w:trHeight w:val="275" w:hRule="atLeast"/>
        </w:trPr>
        <w:tc>
          <w:tcPr>
            <w:tcW w:w="2651" w:type="dxa"/>
          </w:tcPr>
          <w:p>
            <w:pPr>
              <w:pStyle w:val="TableParagraph"/>
              <w:spacing w:line="256" w:lineRule="exact"/>
              <w:ind w:left="108"/>
              <w:rPr>
                <w:sz w:val="24"/>
              </w:rPr>
            </w:pPr>
            <w:r>
              <w:rPr>
                <w:sz w:val="24"/>
              </w:rPr>
              <w:t>Tricloretilenă</w:t>
            </w:r>
          </w:p>
        </w:tc>
        <w:tc>
          <w:tcPr>
            <w:tcW w:w="2074" w:type="dxa"/>
          </w:tcPr>
          <w:p>
            <w:pPr>
              <w:pStyle w:val="TableParagraph"/>
              <w:spacing w:line="256" w:lineRule="exact"/>
              <w:ind w:left="8"/>
              <w:jc w:val="center"/>
              <w:rPr>
                <w:sz w:val="24"/>
              </w:rPr>
            </w:pPr>
            <w:r>
              <w:rPr>
                <w:sz w:val="24"/>
              </w:rPr>
              <w:t>2</w:t>
            </w:r>
          </w:p>
        </w:tc>
        <w:tc>
          <w:tcPr>
            <w:tcW w:w="2463" w:type="dxa"/>
          </w:tcPr>
          <w:p>
            <w:pPr>
              <w:pStyle w:val="TableParagraph"/>
              <w:spacing w:line="256" w:lineRule="exact"/>
              <w:ind w:left="13"/>
              <w:jc w:val="center"/>
              <w:rPr>
                <w:sz w:val="24"/>
              </w:rPr>
            </w:pPr>
            <w:r>
              <w:rPr>
                <w:sz w:val="24"/>
              </w:rPr>
              <w:t>2</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Acid acetic</w:t>
            </w:r>
          </w:p>
        </w:tc>
        <w:tc>
          <w:tcPr>
            <w:tcW w:w="2074" w:type="dxa"/>
          </w:tcPr>
          <w:p>
            <w:pPr>
              <w:pStyle w:val="TableParagraph"/>
              <w:spacing w:line="256" w:lineRule="exact"/>
              <w:ind w:left="143" w:right="135"/>
              <w:jc w:val="center"/>
              <w:rPr>
                <w:sz w:val="24"/>
              </w:rPr>
            </w:pPr>
            <w:r>
              <w:rPr>
                <w:sz w:val="24"/>
              </w:rPr>
              <w:t>31</w:t>
            </w:r>
          </w:p>
        </w:tc>
        <w:tc>
          <w:tcPr>
            <w:tcW w:w="2463" w:type="dxa"/>
          </w:tcPr>
          <w:p>
            <w:pPr>
              <w:pStyle w:val="TableParagraph"/>
              <w:spacing w:line="256" w:lineRule="exact"/>
              <w:ind w:left="501" w:right="488"/>
              <w:jc w:val="center"/>
              <w:rPr>
                <w:sz w:val="24"/>
              </w:rPr>
            </w:pPr>
            <w:r>
              <w:rPr>
                <w:sz w:val="24"/>
              </w:rPr>
              <w:t>31</w:t>
            </w:r>
          </w:p>
        </w:tc>
        <w:tc>
          <w:tcPr>
            <w:tcW w:w="2453" w:type="dxa"/>
          </w:tcPr>
          <w:p>
            <w:pPr>
              <w:pStyle w:val="TableParagraph"/>
              <w:spacing w:line="256" w:lineRule="exact"/>
              <w:ind w:left="13"/>
              <w:jc w:val="center"/>
              <w:rPr>
                <w:sz w:val="24"/>
              </w:rPr>
            </w:pPr>
            <w:r>
              <w:rPr>
                <w:sz w:val="24"/>
              </w:rPr>
              <w:t>4</w:t>
            </w:r>
          </w:p>
        </w:tc>
      </w:tr>
      <w:tr>
        <w:trPr>
          <w:trHeight w:val="278" w:hRule="atLeast"/>
        </w:trPr>
        <w:tc>
          <w:tcPr>
            <w:tcW w:w="2651" w:type="dxa"/>
          </w:tcPr>
          <w:p>
            <w:pPr>
              <w:pStyle w:val="TableParagraph"/>
              <w:spacing w:line="257" w:lineRule="exact" w:before="1"/>
              <w:ind w:left="108"/>
              <w:rPr>
                <w:sz w:val="24"/>
              </w:rPr>
            </w:pPr>
            <w:r>
              <w:rPr>
                <w:sz w:val="24"/>
              </w:rPr>
              <w:t>Acetat de butil</w:t>
            </w:r>
          </w:p>
        </w:tc>
        <w:tc>
          <w:tcPr>
            <w:tcW w:w="2074" w:type="dxa"/>
          </w:tcPr>
          <w:p>
            <w:pPr>
              <w:pStyle w:val="TableParagraph"/>
              <w:spacing w:line="257" w:lineRule="exact" w:before="1"/>
              <w:ind w:left="8"/>
              <w:jc w:val="center"/>
              <w:rPr>
                <w:sz w:val="24"/>
              </w:rPr>
            </w:pPr>
            <w:r>
              <w:rPr>
                <w:sz w:val="24"/>
              </w:rPr>
              <w:t>6</w:t>
            </w:r>
          </w:p>
        </w:tc>
        <w:tc>
          <w:tcPr>
            <w:tcW w:w="2463" w:type="dxa"/>
          </w:tcPr>
          <w:p>
            <w:pPr>
              <w:pStyle w:val="TableParagraph"/>
              <w:spacing w:line="257" w:lineRule="exact" w:before="1"/>
              <w:ind w:left="13"/>
              <w:jc w:val="center"/>
              <w:rPr>
                <w:sz w:val="24"/>
              </w:rPr>
            </w:pPr>
            <w:r>
              <w:rPr>
                <w:sz w:val="24"/>
              </w:rPr>
              <w:t>6</w:t>
            </w:r>
          </w:p>
        </w:tc>
        <w:tc>
          <w:tcPr>
            <w:tcW w:w="2453" w:type="dxa"/>
          </w:tcPr>
          <w:p>
            <w:pPr>
              <w:pStyle w:val="TableParagraph"/>
              <w:spacing w:line="257" w:lineRule="exact" w:before="1"/>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Alcool butilic</w:t>
            </w:r>
          </w:p>
        </w:tc>
        <w:tc>
          <w:tcPr>
            <w:tcW w:w="2074" w:type="dxa"/>
          </w:tcPr>
          <w:p>
            <w:pPr>
              <w:pStyle w:val="TableParagraph"/>
              <w:spacing w:line="256" w:lineRule="exact"/>
              <w:ind w:left="8"/>
              <w:jc w:val="center"/>
              <w:rPr>
                <w:sz w:val="24"/>
              </w:rPr>
            </w:pPr>
            <w:r>
              <w:rPr>
                <w:sz w:val="24"/>
              </w:rPr>
              <w:t>8</w:t>
            </w:r>
          </w:p>
        </w:tc>
        <w:tc>
          <w:tcPr>
            <w:tcW w:w="2463" w:type="dxa"/>
          </w:tcPr>
          <w:p>
            <w:pPr>
              <w:pStyle w:val="TableParagraph"/>
              <w:spacing w:line="256" w:lineRule="exact"/>
              <w:ind w:left="13"/>
              <w:jc w:val="center"/>
              <w:rPr>
                <w:sz w:val="24"/>
              </w:rPr>
            </w:pPr>
            <w:r>
              <w:rPr>
                <w:sz w:val="24"/>
              </w:rPr>
              <w:t>8</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Hidroxizi alcalini</w:t>
            </w:r>
          </w:p>
        </w:tc>
        <w:tc>
          <w:tcPr>
            <w:tcW w:w="2074" w:type="dxa"/>
          </w:tcPr>
          <w:p>
            <w:pPr>
              <w:pStyle w:val="TableParagraph"/>
              <w:spacing w:line="256" w:lineRule="exact"/>
              <w:ind w:left="8"/>
              <w:jc w:val="center"/>
              <w:rPr>
                <w:sz w:val="24"/>
              </w:rPr>
            </w:pPr>
            <w:r>
              <w:rPr>
                <w:sz w:val="24"/>
              </w:rPr>
              <w:t>8</w:t>
            </w:r>
          </w:p>
        </w:tc>
        <w:tc>
          <w:tcPr>
            <w:tcW w:w="2463" w:type="dxa"/>
          </w:tcPr>
          <w:p>
            <w:pPr>
              <w:pStyle w:val="TableParagraph"/>
              <w:spacing w:line="256" w:lineRule="exact"/>
              <w:ind w:left="13"/>
              <w:jc w:val="center"/>
              <w:rPr>
                <w:sz w:val="24"/>
              </w:rPr>
            </w:pPr>
            <w:r>
              <w:rPr>
                <w:sz w:val="24"/>
              </w:rPr>
              <w:t>8</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Alcool metilic</w:t>
            </w:r>
          </w:p>
        </w:tc>
        <w:tc>
          <w:tcPr>
            <w:tcW w:w="2074" w:type="dxa"/>
          </w:tcPr>
          <w:p>
            <w:pPr>
              <w:pStyle w:val="TableParagraph"/>
              <w:spacing w:line="256" w:lineRule="exact"/>
              <w:ind w:left="143" w:right="135"/>
              <w:jc w:val="center"/>
              <w:rPr>
                <w:sz w:val="24"/>
              </w:rPr>
            </w:pPr>
            <w:r>
              <w:rPr>
                <w:sz w:val="24"/>
              </w:rPr>
              <w:t>29</w:t>
            </w:r>
          </w:p>
        </w:tc>
        <w:tc>
          <w:tcPr>
            <w:tcW w:w="2463" w:type="dxa"/>
          </w:tcPr>
          <w:p>
            <w:pPr>
              <w:pStyle w:val="TableParagraph"/>
              <w:spacing w:line="256" w:lineRule="exact"/>
              <w:ind w:left="501" w:right="488"/>
              <w:jc w:val="center"/>
              <w:rPr>
                <w:sz w:val="24"/>
              </w:rPr>
            </w:pPr>
            <w:r>
              <w:rPr>
                <w:sz w:val="24"/>
              </w:rPr>
              <w:t>29</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Amoniac</w:t>
            </w:r>
          </w:p>
        </w:tc>
        <w:tc>
          <w:tcPr>
            <w:tcW w:w="2074" w:type="dxa"/>
          </w:tcPr>
          <w:p>
            <w:pPr>
              <w:pStyle w:val="TableParagraph"/>
              <w:spacing w:line="256" w:lineRule="exact"/>
              <w:ind w:left="143" w:right="135"/>
              <w:jc w:val="center"/>
              <w:rPr>
                <w:sz w:val="24"/>
              </w:rPr>
            </w:pPr>
            <w:r>
              <w:rPr>
                <w:sz w:val="24"/>
              </w:rPr>
              <w:t>75</w:t>
            </w:r>
          </w:p>
        </w:tc>
        <w:tc>
          <w:tcPr>
            <w:tcW w:w="2463" w:type="dxa"/>
          </w:tcPr>
          <w:p>
            <w:pPr>
              <w:pStyle w:val="TableParagraph"/>
              <w:spacing w:line="256" w:lineRule="exact"/>
              <w:ind w:left="501" w:right="488"/>
              <w:jc w:val="center"/>
              <w:rPr>
                <w:sz w:val="24"/>
              </w:rPr>
            </w:pPr>
            <w:r>
              <w:rPr>
                <w:sz w:val="24"/>
              </w:rPr>
              <w:t>75</w:t>
            </w:r>
          </w:p>
        </w:tc>
        <w:tc>
          <w:tcPr>
            <w:tcW w:w="2453" w:type="dxa"/>
          </w:tcPr>
          <w:p>
            <w:pPr>
              <w:pStyle w:val="TableParagraph"/>
              <w:spacing w:line="256" w:lineRule="exact"/>
              <w:ind w:left="640" w:right="627"/>
              <w:jc w:val="center"/>
              <w:rPr>
                <w:sz w:val="24"/>
              </w:rPr>
            </w:pPr>
            <w:r>
              <w:rPr>
                <w:sz w:val="24"/>
              </w:rPr>
              <w:t>26</w:t>
            </w:r>
          </w:p>
        </w:tc>
      </w:tr>
      <w:tr>
        <w:trPr>
          <w:trHeight w:val="276" w:hRule="atLeast"/>
        </w:trPr>
        <w:tc>
          <w:tcPr>
            <w:tcW w:w="2651" w:type="dxa"/>
          </w:tcPr>
          <w:p>
            <w:pPr>
              <w:pStyle w:val="TableParagraph"/>
              <w:spacing w:line="256" w:lineRule="exact"/>
              <w:ind w:left="108"/>
              <w:rPr>
                <w:sz w:val="24"/>
              </w:rPr>
            </w:pPr>
            <w:r>
              <w:rPr>
                <w:sz w:val="24"/>
              </w:rPr>
              <w:t>Oxid de etilenă</w:t>
            </w:r>
          </w:p>
        </w:tc>
        <w:tc>
          <w:tcPr>
            <w:tcW w:w="2074" w:type="dxa"/>
          </w:tcPr>
          <w:p>
            <w:pPr>
              <w:pStyle w:val="TableParagraph"/>
              <w:spacing w:line="256" w:lineRule="exact"/>
              <w:ind w:left="143" w:right="135"/>
              <w:jc w:val="center"/>
              <w:rPr>
                <w:sz w:val="24"/>
              </w:rPr>
            </w:pPr>
            <w:r>
              <w:rPr>
                <w:sz w:val="24"/>
              </w:rPr>
              <w:t>17</w:t>
            </w:r>
          </w:p>
        </w:tc>
        <w:tc>
          <w:tcPr>
            <w:tcW w:w="2463" w:type="dxa"/>
          </w:tcPr>
          <w:p>
            <w:pPr>
              <w:pStyle w:val="TableParagraph"/>
              <w:spacing w:line="256" w:lineRule="exact"/>
              <w:ind w:left="501" w:right="488"/>
              <w:jc w:val="center"/>
              <w:rPr>
                <w:sz w:val="24"/>
              </w:rPr>
            </w:pPr>
            <w:r>
              <w:rPr>
                <w:sz w:val="24"/>
              </w:rPr>
              <w:t>17</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Metacrilat de metil</w:t>
            </w:r>
          </w:p>
        </w:tc>
        <w:tc>
          <w:tcPr>
            <w:tcW w:w="2074" w:type="dxa"/>
          </w:tcPr>
          <w:p>
            <w:pPr>
              <w:pStyle w:val="TableParagraph"/>
              <w:spacing w:line="256" w:lineRule="exact"/>
              <w:ind w:left="8"/>
              <w:jc w:val="center"/>
              <w:rPr>
                <w:sz w:val="24"/>
              </w:rPr>
            </w:pPr>
            <w:r>
              <w:rPr>
                <w:sz w:val="24"/>
              </w:rPr>
              <w:t>7</w:t>
            </w:r>
          </w:p>
        </w:tc>
        <w:tc>
          <w:tcPr>
            <w:tcW w:w="2463" w:type="dxa"/>
          </w:tcPr>
          <w:p>
            <w:pPr>
              <w:pStyle w:val="TableParagraph"/>
              <w:spacing w:line="256" w:lineRule="exact"/>
              <w:ind w:left="13"/>
              <w:jc w:val="center"/>
              <w:rPr>
                <w:sz w:val="24"/>
              </w:rPr>
            </w:pPr>
            <w:r>
              <w:rPr>
                <w:sz w:val="24"/>
              </w:rPr>
              <w:t>7</w:t>
            </w:r>
          </w:p>
        </w:tc>
        <w:tc>
          <w:tcPr>
            <w:tcW w:w="2453" w:type="dxa"/>
          </w:tcPr>
          <w:p>
            <w:pPr>
              <w:pStyle w:val="TableParagraph"/>
              <w:spacing w:line="256" w:lineRule="exact"/>
              <w:ind w:left="11"/>
              <w:jc w:val="center"/>
              <w:rPr>
                <w:sz w:val="24"/>
              </w:rPr>
            </w:pPr>
            <w:r>
              <w:rPr>
                <w:w w:val="99"/>
                <w:sz w:val="24"/>
              </w:rPr>
              <w:t>-</w:t>
            </w:r>
          </w:p>
        </w:tc>
      </w:tr>
      <w:tr>
        <w:trPr>
          <w:trHeight w:val="278" w:hRule="atLeast"/>
        </w:trPr>
        <w:tc>
          <w:tcPr>
            <w:tcW w:w="2651" w:type="dxa"/>
          </w:tcPr>
          <w:p>
            <w:pPr>
              <w:pStyle w:val="TableParagraph"/>
              <w:spacing w:line="257" w:lineRule="exact" w:before="1"/>
              <w:ind w:left="108"/>
              <w:rPr>
                <w:sz w:val="24"/>
              </w:rPr>
            </w:pPr>
            <w:r>
              <w:rPr>
                <w:sz w:val="24"/>
              </w:rPr>
              <w:t>Acrilaţi</w:t>
            </w:r>
          </w:p>
        </w:tc>
        <w:tc>
          <w:tcPr>
            <w:tcW w:w="2074" w:type="dxa"/>
          </w:tcPr>
          <w:p>
            <w:pPr>
              <w:pStyle w:val="TableParagraph"/>
              <w:spacing w:line="257" w:lineRule="exact" w:before="1"/>
              <w:ind w:left="8"/>
              <w:jc w:val="center"/>
              <w:rPr>
                <w:sz w:val="24"/>
              </w:rPr>
            </w:pPr>
            <w:r>
              <w:rPr>
                <w:sz w:val="24"/>
              </w:rPr>
              <w:t>2</w:t>
            </w:r>
          </w:p>
        </w:tc>
        <w:tc>
          <w:tcPr>
            <w:tcW w:w="2463" w:type="dxa"/>
          </w:tcPr>
          <w:p>
            <w:pPr>
              <w:pStyle w:val="TableParagraph"/>
              <w:spacing w:line="257" w:lineRule="exact" w:before="1"/>
              <w:ind w:left="13"/>
              <w:jc w:val="center"/>
              <w:rPr>
                <w:sz w:val="24"/>
              </w:rPr>
            </w:pPr>
            <w:r>
              <w:rPr>
                <w:sz w:val="24"/>
              </w:rPr>
              <w:t>2</w:t>
            </w:r>
          </w:p>
        </w:tc>
        <w:tc>
          <w:tcPr>
            <w:tcW w:w="2453" w:type="dxa"/>
          </w:tcPr>
          <w:p>
            <w:pPr>
              <w:pStyle w:val="TableParagraph"/>
              <w:spacing w:line="257" w:lineRule="exact" w:before="1"/>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Acid clorhidric</w:t>
            </w:r>
          </w:p>
        </w:tc>
        <w:tc>
          <w:tcPr>
            <w:tcW w:w="2074" w:type="dxa"/>
          </w:tcPr>
          <w:p>
            <w:pPr>
              <w:pStyle w:val="TableParagraph"/>
              <w:spacing w:line="256" w:lineRule="exact"/>
              <w:ind w:left="143" w:right="135"/>
              <w:jc w:val="center"/>
              <w:rPr>
                <w:sz w:val="24"/>
              </w:rPr>
            </w:pPr>
            <w:r>
              <w:rPr>
                <w:sz w:val="24"/>
              </w:rPr>
              <w:t>27</w:t>
            </w:r>
          </w:p>
        </w:tc>
        <w:tc>
          <w:tcPr>
            <w:tcW w:w="2463" w:type="dxa"/>
          </w:tcPr>
          <w:p>
            <w:pPr>
              <w:pStyle w:val="TableParagraph"/>
              <w:spacing w:line="256" w:lineRule="exact"/>
              <w:ind w:left="501" w:right="488"/>
              <w:jc w:val="center"/>
              <w:rPr>
                <w:sz w:val="24"/>
              </w:rPr>
            </w:pPr>
            <w:r>
              <w:rPr>
                <w:sz w:val="24"/>
              </w:rPr>
              <w:t>27</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Toluen</w:t>
            </w:r>
          </w:p>
        </w:tc>
        <w:tc>
          <w:tcPr>
            <w:tcW w:w="2074" w:type="dxa"/>
          </w:tcPr>
          <w:p>
            <w:pPr>
              <w:pStyle w:val="TableParagraph"/>
              <w:spacing w:line="256" w:lineRule="exact"/>
              <w:ind w:left="143" w:right="135"/>
              <w:jc w:val="center"/>
              <w:rPr>
                <w:sz w:val="24"/>
              </w:rPr>
            </w:pPr>
            <w:r>
              <w:rPr>
                <w:sz w:val="24"/>
              </w:rPr>
              <w:t>73</w:t>
            </w:r>
          </w:p>
        </w:tc>
        <w:tc>
          <w:tcPr>
            <w:tcW w:w="2463" w:type="dxa"/>
          </w:tcPr>
          <w:p>
            <w:pPr>
              <w:pStyle w:val="TableParagraph"/>
              <w:spacing w:line="256" w:lineRule="exact"/>
              <w:ind w:left="501" w:right="488"/>
              <w:jc w:val="center"/>
              <w:rPr>
                <w:sz w:val="24"/>
              </w:rPr>
            </w:pPr>
            <w:r>
              <w:rPr>
                <w:sz w:val="24"/>
              </w:rPr>
              <w:t>73</w:t>
            </w:r>
          </w:p>
        </w:tc>
        <w:tc>
          <w:tcPr>
            <w:tcW w:w="2453" w:type="dxa"/>
          </w:tcPr>
          <w:p>
            <w:pPr>
              <w:pStyle w:val="TableParagraph"/>
              <w:spacing w:line="256" w:lineRule="exact"/>
              <w:ind w:left="640" w:right="627"/>
              <w:jc w:val="center"/>
              <w:rPr>
                <w:sz w:val="24"/>
              </w:rPr>
            </w:pPr>
            <w:r>
              <w:rPr>
                <w:sz w:val="24"/>
              </w:rPr>
              <w:t>23</w:t>
            </w:r>
          </w:p>
        </w:tc>
      </w:tr>
      <w:tr>
        <w:trPr>
          <w:trHeight w:val="275" w:hRule="atLeast"/>
        </w:trPr>
        <w:tc>
          <w:tcPr>
            <w:tcW w:w="2651" w:type="dxa"/>
          </w:tcPr>
          <w:p>
            <w:pPr>
              <w:pStyle w:val="TableParagraph"/>
              <w:spacing w:line="256" w:lineRule="exact"/>
              <w:ind w:left="108"/>
              <w:rPr>
                <w:sz w:val="24"/>
              </w:rPr>
            </w:pPr>
            <w:r>
              <w:rPr>
                <w:sz w:val="24"/>
              </w:rPr>
              <w:t>Formaldehidă</w:t>
            </w:r>
          </w:p>
        </w:tc>
        <w:tc>
          <w:tcPr>
            <w:tcW w:w="2074" w:type="dxa"/>
          </w:tcPr>
          <w:p>
            <w:pPr>
              <w:pStyle w:val="TableParagraph"/>
              <w:spacing w:line="256" w:lineRule="exact"/>
              <w:ind w:left="143" w:right="135"/>
              <w:jc w:val="center"/>
              <w:rPr>
                <w:sz w:val="24"/>
              </w:rPr>
            </w:pPr>
            <w:r>
              <w:rPr>
                <w:sz w:val="24"/>
              </w:rPr>
              <w:t>49</w:t>
            </w:r>
          </w:p>
        </w:tc>
        <w:tc>
          <w:tcPr>
            <w:tcW w:w="2463" w:type="dxa"/>
          </w:tcPr>
          <w:p>
            <w:pPr>
              <w:pStyle w:val="TableParagraph"/>
              <w:spacing w:line="256" w:lineRule="exact"/>
              <w:ind w:left="501" w:right="488"/>
              <w:jc w:val="center"/>
              <w:rPr>
                <w:sz w:val="24"/>
              </w:rPr>
            </w:pPr>
            <w:r>
              <w:rPr>
                <w:sz w:val="24"/>
              </w:rPr>
              <w:t>49</w:t>
            </w:r>
          </w:p>
        </w:tc>
        <w:tc>
          <w:tcPr>
            <w:tcW w:w="2453" w:type="dxa"/>
          </w:tcPr>
          <w:p>
            <w:pPr>
              <w:pStyle w:val="TableParagraph"/>
              <w:spacing w:line="256" w:lineRule="exact"/>
              <w:ind w:left="640" w:right="627"/>
              <w:jc w:val="center"/>
              <w:rPr>
                <w:sz w:val="24"/>
              </w:rPr>
            </w:pPr>
            <w:r>
              <w:rPr>
                <w:sz w:val="24"/>
              </w:rPr>
              <w:t>16</w:t>
            </w:r>
          </w:p>
        </w:tc>
      </w:tr>
      <w:tr>
        <w:trPr>
          <w:trHeight w:val="275" w:hRule="atLeast"/>
        </w:trPr>
        <w:tc>
          <w:tcPr>
            <w:tcW w:w="2651" w:type="dxa"/>
          </w:tcPr>
          <w:p>
            <w:pPr>
              <w:pStyle w:val="TableParagraph"/>
              <w:spacing w:line="256" w:lineRule="exact"/>
              <w:ind w:left="108"/>
              <w:rPr>
                <w:sz w:val="24"/>
              </w:rPr>
            </w:pPr>
            <w:r>
              <w:rPr>
                <w:sz w:val="24"/>
              </w:rPr>
              <w:t>Clor</w:t>
            </w:r>
          </w:p>
        </w:tc>
        <w:tc>
          <w:tcPr>
            <w:tcW w:w="2074" w:type="dxa"/>
          </w:tcPr>
          <w:p>
            <w:pPr>
              <w:pStyle w:val="TableParagraph"/>
              <w:spacing w:line="256" w:lineRule="exact"/>
              <w:ind w:left="143" w:right="135"/>
              <w:jc w:val="center"/>
              <w:rPr>
                <w:sz w:val="24"/>
              </w:rPr>
            </w:pPr>
            <w:r>
              <w:rPr>
                <w:sz w:val="24"/>
              </w:rPr>
              <w:t>111</w:t>
            </w:r>
          </w:p>
        </w:tc>
        <w:tc>
          <w:tcPr>
            <w:tcW w:w="2463" w:type="dxa"/>
          </w:tcPr>
          <w:p>
            <w:pPr>
              <w:pStyle w:val="TableParagraph"/>
              <w:spacing w:line="256" w:lineRule="exact"/>
              <w:ind w:left="501" w:right="488"/>
              <w:jc w:val="center"/>
              <w:rPr>
                <w:sz w:val="24"/>
              </w:rPr>
            </w:pPr>
            <w:r>
              <w:rPr>
                <w:sz w:val="24"/>
              </w:rPr>
              <w:t>111</w:t>
            </w:r>
          </w:p>
        </w:tc>
        <w:tc>
          <w:tcPr>
            <w:tcW w:w="2453" w:type="dxa"/>
          </w:tcPr>
          <w:p>
            <w:pPr>
              <w:pStyle w:val="TableParagraph"/>
              <w:spacing w:line="256" w:lineRule="exact"/>
              <w:ind w:left="640" w:right="627"/>
              <w:jc w:val="center"/>
              <w:rPr>
                <w:sz w:val="24"/>
              </w:rPr>
            </w:pPr>
            <w:r>
              <w:rPr>
                <w:sz w:val="24"/>
              </w:rPr>
              <w:t>72</w:t>
            </w:r>
          </w:p>
        </w:tc>
      </w:tr>
      <w:tr>
        <w:trPr>
          <w:trHeight w:val="275" w:hRule="atLeast"/>
        </w:trPr>
        <w:tc>
          <w:tcPr>
            <w:tcW w:w="2651" w:type="dxa"/>
          </w:tcPr>
          <w:p>
            <w:pPr>
              <w:pStyle w:val="TableParagraph"/>
              <w:spacing w:line="256" w:lineRule="exact"/>
              <w:ind w:left="108"/>
              <w:rPr>
                <w:sz w:val="24"/>
              </w:rPr>
            </w:pPr>
            <w:r>
              <w:rPr>
                <w:sz w:val="24"/>
              </w:rPr>
              <w:t>Hidrocarburi alifatice</w:t>
            </w:r>
          </w:p>
        </w:tc>
        <w:tc>
          <w:tcPr>
            <w:tcW w:w="2074" w:type="dxa"/>
          </w:tcPr>
          <w:p>
            <w:pPr>
              <w:pStyle w:val="TableParagraph"/>
              <w:spacing w:line="256" w:lineRule="exact"/>
              <w:ind w:left="143" w:right="135"/>
              <w:jc w:val="center"/>
              <w:rPr>
                <w:sz w:val="24"/>
              </w:rPr>
            </w:pPr>
            <w:r>
              <w:rPr>
                <w:sz w:val="24"/>
              </w:rPr>
              <w:t>36</w:t>
            </w:r>
          </w:p>
        </w:tc>
        <w:tc>
          <w:tcPr>
            <w:tcW w:w="2463" w:type="dxa"/>
          </w:tcPr>
          <w:p>
            <w:pPr>
              <w:pStyle w:val="TableParagraph"/>
              <w:spacing w:line="256" w:lineRule="exact"/>
              <w:ind w:left="501" w:right="488"/>
              <w:jc w:val="center"/>
              <w:rPr>
                <w:sz w:val="24"/>
              </w:rPr>
            </w:pPr>
            <w:r>
              <w:rPr>
                <w:sz w:val="24"/>
              </w:rPr>
              <w:t>36</w:t>
            </w:r>
          </w:p>
        </w:tc>
        <w:tc>
          <w:tcPr>
            <w:tcW w:w="2453" w:type="dxa"/>
          </w:tcPr>
          <w:p>
            <w:pPr>
              <w:pStyle w:val="TableParagraph"/>
              <w:spacing w:line="256" w:lineRule="exact"/>
              <w:ind w:left="13"/>
              <w:jc w:val="center"/>
              <w:rPr>
                <w:sz w:val="24"/>
              </w:rPr>
            </w:pPr>
            <w:r>
              <w:rPr>
                <w:sz w:val="24"/>
              </w:rPr>
              <w:t>3</w:t>
            </w:r>
          </w:p>
        </w:tc>
      </w:tr>
      <w:tr>
        <w:trPr>
          <w:trHeight w:val="278" w:hRule="atLeast"/>
        </w:trPr>
        <w:tc>
          <w:tcPr>
            <w:tcW w:w="2651" w:type="dxa"/>
          </w:tcPr>
          <w:p>
            <w:pPr>
              <w:pStyle w:val="TableParagraph"/>
              <w:spacing w:line="257" w:lineRule="exact" w:before="1"/>
              <w:ind w:left="108"/>
              <w:rPr>
                <w:sz w:val="24"/>
              </w:rPr>
            </w:pPr>
            <w:r>
              <w:rPr>
                <w:sz w:val="24"/>
              </w:rPr>
              <w:t>Ulei mineral</w:t>
            </w:r>
          </w:p>
        </w:tc>
        <w:tc>
          <w:tcPr>
            <w:tcW w:w="2074" w:type="dxa"/>
          </w:tcPr>
          <w:p>
            <w:pPr>
              <w:pStyle w:val="TableParagraph"/>
              <w:spacing w:line="257" w:lineRule="exact" w:before="1"/>
              <w:ind w:left="8"/>
              <w:jc w:val="center"/>
              <w:rPr>
                <w:sz w:val="24"/>
              </w:rPr>
            </w:pPr>
            <w:r>
              <w:rPr>
                <w:sz w:val="24"/>
              </w:rPr>
              <w:t>4</w:t>
            </w:r>
          </w:p>
        </w:tc>
        <w:tc>
          <w:tcPr>
            <w:tcW w:w="2463" w:type="dxa"/>
          </w:tcPr>
          <w:p>
            <w:pPr>
              <w:pStyle w:val="TableParagraph"/>
              <w:spacing w:line="257" w:lineRule="exact" w:before="1"/>
              <w:ind w:left="13"/>
              <w:jc w:val="center"/>
              <w:rPr>
                <w:sz w:val="24"/>
              </w:rPr>
            </w:pPr>
            <w:r>
              <w:rPr>
                <w:sz w:val="24"/>
              </w:rPr>
              <w:t>4</w:t>
            </w:r>
          </w:p>
        </w:tc>
        <w:tc>
          <w:tcPr>
            <w:tcW w:w="2453" w:type="dxa"/>
          </w:tcPr>
          <w:p>
            <w:pPr>
              <w:pStyle w:val="TableParagraph"/>
              <w:spacing w:line="257" w:lineRule="exact" w:before="1"/>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Xilen</w:t>
            </w:r>
          </w:p>
        </w:tc>
        <w:tc>
          <w:tcPr>
            <w:tcW w:w="2074" w:type="dxa"/>
          </w:tcPr>
          <w:p>
            <w:pPr>
              <w:pStyle w:val="TableParagraph"/>
              <w:spacing w:line="256" w:lineRule="exact"/>
              <w:ind w:left="143" w:right="135"/>
              <w:jc w:val="center"/>
              <w:rPr>
                <w:sz w:val="24"/>
              </w:rPr>
            </w:pPr>
            <w:r>
              <w:rPr>
                <w:sz w:val="24"/>
              </w:rPr>
              <w:t>20</w:t>
            </w:r>
          </w:p>
        </w:tc>
        <w:tc>
          <w:tcPr>
            <w:tcW w:w="2463" w:type="dxa"/>
          </w:tcPr>
          <w:p>
            <w:pPr>
              <w:pStyle w:val="TableParagraph"/>
              <w:spacing w:line="256" w:lineRule="exact"/>
              <w:ind w:left="501" w:right="488"/>
              <w:jc w:val="center"/>
              <w:rPr>
                <w:sz w:val="24"/>
              </w:rPr>
            </w:pPr>
            <w:r>
              <w:rPr>
                <w:sz w:val="24"/>
              </w:rPr>
              <w:t>20</w:t>
            </w:r>
          </w:p>
        </w:tc>
        <w:tc>
          <w:tcPr>
            <w:tcW w:w="2453" w:type="dxa"/>
          </w:tcPr>
          <w:p>
            <w:pPr>
              <w:pStyle w:val="TableParagraph"/>
              <w:spacing w:line="256" w:lineRule="exact"/>
              <w:ind w:left="13"/>
              <w:jc w:val="center"/>
              <w:rPr>
                <w:sz w:val="24"/>
              </w:rPr>
            </w:pPr>
            <w:r>
              <w:rPr>
                <w:sz w:val="24"/>
              </w:rPr>
              <w:t>2</w:t>
            </w:r>
          </w:p>
        </w:tc>
      </w:tr>
      <w:tr>
        <w:trPr>
          <w:trHeight w:val="275" w:hRule="atLeast"/>
        </w:trPr>
        <w:tc>
          <w:tcPr>
            <w:tcW w:w="2651" w:type="dxa"/>
          </w:tcPr>
          <w:p>
            <w:pPr>
              <w:pStyle w:val="TableParagraph"/>
              <w:spacing w:line="256" w:lineRule="exact"/>
              <w:ind w:left="108"/>
              <w:rPr>
                <w:sz w:val="24"/>
              </w:rPr>
            </w:pPr>
            <w:r>
              <w:rPr>
                <w:sz w:val="24"/>
              </w:rPr>
              <w:t>Acetat de etil</w:t>
            </w:r>
          </w:p>
        </w:tc>
        <w:tc>
          <w:tcPr>
            <w:tcW w:w="2074" w:type="dxa"/>
          </w:tcPr>
          <w:p>
            <w:pPr>
              <w:pStyle w:val="TableParagraph"/>
              <w:spacing w:line="256" w:lineRule="exact"/>
              <w:ind w:left="8"/>
              <w:jc w:val="center"/>
              <w:rPr>
                <w:sz w:val="24"/>
              </w:rPr>
            </w:pPr>
            <w:r>
              <w:rPr>
                <w:sz w:val="24"/>
              </w:rPr>
              <w:t>7</w:t>
            </w:r>
          </w:p>
        </w:tc>
        <w:tc>
          <w:tcPr>
            <w:tcW w:w="2463" w:type="dxa"/>
          </w:tcPr>
          <w:p>
            <w:pPr>
              <w:pStyle w:val="TableParagraph"/>
              <w:spacing w:line="256" w:lineRule="exact"/>
              <w:ind w:left="13"/>
              <w:jc w:val="center"/>
              <w:rPr>
                <w:sz w:val="24"/>
              </w:rPr>
            </w:pPr>
            <w:r>
              <w:rPr>
                <w:sz w:val="24"/>
              </w:rPr>
              <w:t>7</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Acetonă</w:t>
            </w:r>
          </w:p>
        </w:tc>
        <w:tc>
          <w:tcPr>
            <w:tcW w:w="2074" w:type="dxa"/>
          </w:tcPr>
          <w:p>
            <w:pPr>
              <w:pStyle w:val="TableParagraph"/>
              <w:spacing w:line="256" w:lineRule="exact"/>
              <w:ind w:left="143" w:right="135"/>
              <w:jc w:val="center"/>
              <w:rPr>
                <w:sz w:val="24"/>
              </w:rPr>
            </w:pPr>
            <w:r>
              <w:rPr>
                <w:sz w:val="24"/>
              </w:rPr>
              <w:t>36</w:t>
            </w:r>
          </w:p>
        </w:tc>
        <w:tc>
          <w:tcPr>
            <w:tcW w:w="2463" w:type="dxa"/>
          </w:tcPr>
          <w:p>
            <w:pPr>
              <w:pStyle w:val="TableParagraph"/>
              <w:spacing w:line="256" w:lineRule="exact"/>
              <w:ind w:left="501" w:right="488"/>
              <w:jc w:val="center"/>
              <w:rPr>
                <w:sz w:val="24"/>
              </w:rPr>
            </w:pPr>
            <w:r>
              <w:rPr>
                <w:sz w:val="24"/>
              </w:rPr>
              <w:t>36</w:t>
            </w:r>
          </w:p>
        </w:tc>
        <w:tc>
          <w:tcPr>
            <w:tcW w:w="2453" w:type="dxa"/>
          </w:tcPr>
          <w:p>
            <w:pPr>
              <w:pStyle w:val="TableParagraph"/>
              <w:spacing w:line="256" w:lineRule="exact"/>
              <w:ind w:left="11"/>
              <w:jc w:val="center"/>
              <w:rPr>
                <w:sz w:val="24"/>
              </w:rPr>
            </w:pPr>
            <w:r>
              <w:rPr>
                <w:w w:val="99"/>
                <w:sz w:val="24"/>
              </w:rPr>
              <w:t>-</w:t>
            </w:r>
          </w:p>
        </w:tc>
      </w:tr>
      <w:tr>
        <w:trPr>
          <w:trHeight w:val="276" w:hRule="atLeast"/>
        </w:trPr>
        <w:tc>
          <w:tcPr>
            <w:tcW w:w="2651" w:type="dxa"/>
          </w:tcPr>
          <w:p>
            <w:pPr>
              <w:pStyle w:val="TableParagraph"/>
              <w:spacing w:line="256" w:lineRule="exact"/>
              <w:ind w:left="108"/>
              <w:rPr>
                <w:sz w:val="24"/>
              </w:rPr>
            </w:pPr>
            <w:r>
              <w:rPr>
                <w:sz w:val="24"/>
              </w:rPr>
              <w:t>Oxid feric</w:t>
            </w:r>
          </w:p>
        </w:tc>
        <w:tc>
          <w:tcPr>
            <w:tcW w:w="2074" w:type="dxa"/>
          </w:tcPr>
          <w:p>
            <w:pPr>
              <w:pStyle w:val="TableParagraph"/>
              <w:spacing w:line="256" w:lineRule="exact"/>
              <w:ind w:left="143" w:right="135"/>
              <w:jc w:val="center"/>
              <w:rPr>
                <w:sz w:val="24"/>
              </w:rPr>
            </w:pPr>
            <w:r>
              <w:rPr>
                <w:sz w:val="24"/>
              </w:rPr>
              <w:t>35</w:t>
            </w:r>
          </w:p>
        </w:tc>
        <w:tc>
          <w:tcPr>
            <w:tcW w:w="2463" w:type="dxa"/>
          </w:tcPr>
          <w:p>
            <w:pPr>
              <w:pStyle w:val="TableParagraph"/>
              <w:spacing w:line="256" w:lineRule="exact"/>
              <w:ind w:left="501" w:right="488"/>
              <w:jc w:val="center"/>
              <w:rPr>
                <w:sz w:val="24"/>
              </w:rPr>
            </w:pPr>
            <w:r>
              <w:rPr>
                <w:sz w:val="24"/>
              </w:rPr>
              <w:t>35</w:t>
            </w:r>
          </w:p>
        </w:tc>
        <w:tc>
          <w:tcPr>
            <w:tcW w:w="2453" w:type="dxa"/>
          </w:tcPr>
          <w:p>
            <w:pPr>
              <w:pStyle w:val="TableParagraph"/>
              <w:spacing w:line="256" w:lineRule="exact"/>
              <w:ind w:left="11"/>
              <w:jc w:val="center"/>
              <w:rPr>
                <w:sz w:val="24"/>
              </w:rPr>
            </w:pPr>
            <w:r>
              <w:rPr>
                <w:w w:val="99"/>
                <w:sz w:val="24"/>
              </w:rPr>
              <w:t>-</w:t>
            </w:r>
          </w:p>
        </w:tc>
      </w:tr>
    </w:tbl>
    <w:p>
      <w:pPr>
        <w:spacing w:after="0" w:line="256" w:lineRule="exact"/>
        <w:jc w:val="center"/>
        <w:rPr>
          <w:sz w:val="24"/>
        </w:rPr>
        <w:sectPr>
          <w:pgSz w:w="11910" w:h="16840"/>
          <w:pgMar w:header="0" w:footer="738" w:top="1580" w:bottom="920" w:left="900" w:right="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1"/>
        <w:gridCol w:w="2074"/>
        <w:gridCol w:w="2463"/>
        <w:gridCol w:w="2453"/>
      </w:tblGrid>
      <w:tr>
        <w:trPr>
          <w:trHeight w:val="276" w:hRule="atLeast"/>
        </w:trPr>
        <w:tc>
          <w:tcPr>
            <w:tcW w:w="2651" w:type="dxa"/>
          </w:tcPr>
          <w:p>
            <w:pPr>
              <w:pStyle w:val="TableParagraph"/>
              <w:spacing w:line="256" w:lineRule="exact"/>
              <w:ind w:left="108"/>
              <w:rPr>
                <w:sz w:val="24"/>
              </w:rPr>
            </w:pPr>
            <w:r>
              <w:rPr>
                <w:sz w:val="24"/>
              </w:rPr>
              <w:t>Mangan</w:t>
            </w:r>
          </w:p>
        </w:tc>
        <w:tc>
          <w:tcPr>
            <w:tcW w:w="2074" w:type="dxa"/>
          </w:tcPr>
          <w:p>
            <w:pPr>
              <w:pStyle w:val="TableParagraph"/>
              <w:spacing w:line="256" w:lineRule="exact"/>
              <w:ind w:left="143" w:right="135"/>
              <w:jc w:val="center"/>
              <w:rPr>
                <w:sz w:val="24"/>
              </w:rPr>
            </w:pPr>
            <w:r>
              <w:rPr>
                <w:sz w:val="24"/>
              </w:rPr>
              <w:t>35</w:t>
            </w:r>
          </w:p>
        </w:tc>
        <w:tc>
          <w:tcPr>
            <w:tcW w:w="2463" w:type="dxa"/>
          </w:tcPr>
          <w:p>
            <w:pPr>
              <w:pStyle w:val="TableParagraph"/>
              <w:spacing w:line="256" w:lineRule="exact"/>
              <w:ind w:left="501" w:right="488"/>
              <w:jc w:val="center"/>
              <w:rPr>
                <w:sz w:val="24"/>
              </w:rPr>
            </w:pPr>
            <w:r>
              <w:rPr>
                <w:sz w:val="24"/>
              </w:rPr>
              <w:t>35</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Cianuri</w:t>
            </w:r>
          </w:p>
        </w:tc>
        <w:tc>
          <w:tcPr>
            <w:tcW w:w="2074" w:type="dxa"/>
          </w:tcPr>
          <w:p>
            <w:pPr>
              <w:pStyle w:val="TableParagraph"/>
              <w:spacing w:line="256" w:lineRule="exact"/>
              <w:ind w:left="8"/>
              <w:jc w:val="center"/>
              <w:rPr>
                <w:sz w:val="24"/>
              </w:rPr>
            </w:pPr>
            <w:r>
              <w:rPr>
                <w:sz w:val="24"/>
              </w:rPr>
              <w:t>2</w:t>
            </w:r>
          </w:p>
        </w:tc>
        <w:tc>
          <w:tcPr>
            <w:tcW w:w="2463" w:type="dxa"/>
          </w:tcPr>
          <w:p>
            <w:pPr>
              <w:pStyle w:val="TableParagraph"/>
              <w:spacing w:line="256" w:lineRule="exact"/>
              <w:ind w:left="13"/>
              <w:jc w:val="center"/>
              <w:rPr>
                <w:sz w:val="24"/>
              </w:rPr>
            </w:pPr>
            <w:r>
              <w:rPr>
                <w:sz w:val="24"/>
              </w:rPr>
              <w:t>2</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Stiren</w:t>
            </w:r>
          </w:p>
        </w:tc>
        <w:tc>
          <w:tcPr>
            <w:tcW w:w="2074" w:type="dxa"/>
          </w:tcPr>
          <w:p>
            <w:pPr>
              <w:pStyle w:val="TableParagraph"/>
              <w:spacing w:line="256" w:lineRule="exact"/>
              <w:ind w:left="70"/>
              <w:jc w:val="center"/>
              <w:rPr>
                <w:sz w:val="24"/>
              </w:rPr>
            </w:pPr>
            <w:r>
              <w:rPr>
                <w:sz w:val="24"/>
              </w:rPr>
              <w:t>5</w:t>
            </w:r>
          </w:p>
        </w:tc>
        <w:tc>
          <w:tcPr>
            <w:tcW w:w="2463" w:type="dxa"/>
          </w:tcPr>
          <w:p>
            <w:pPr>
              <w:pStyle w:val="TableParagraph"/>
              <w:spacing w:line="256" w:lineRule="exact"/>
              <w:ind w:left="13"/>
              <w:jc w:val="center"/>
              <w:rPr>
                <w:sz w:val="24"/>
              </w:rPr>
            </w:pPr>
            <w:r>
              <w:rPr>
                <w:sz w:val="24"/>
              </w:rPr>
              <w:t>5</w:t>
            </w:r>
          </w:p>
        </w:tc>
        <w:tc>
          <w:tcPr>
            <w:tcW w:w="2453" w:type="dxa"/>
          </w:tcPr>
          <w:p>
            <w:pPr>
              <w:pStyle w:val="TableParagraph"/>
              <w:spacing w:line="256" w:lineRule="exact"/>
              <w:ind w:left="11"/>
              <w:jc w:val="center"/>
              <w:rPr>
                <w:sz w:val="24"/>
              </w:rPr>
            </w:pPr>
            <w:r>
              <w:rPr>
                <w:w w:val="99"/>
                <w:sz w:val="24"/>
              </w:rPr>
              <w:t>-</w:t>
            </w:r>
          </w:p>
        </w:tc>
      </w:tr>
      <w:tr>
        <w:trPr>
          <w:trHeight w:val="278" w:hRule="atLeast"/>
        </w:trPr>
        <w:tc>
          <w:tcPr>
            <w:tcW w:w="2651" w:type="dxa"/>
          </w:tcPr>
          <w:p>
            <w:pPr>
              <w:pStyle w:val="TableParagraph"/>
              <w:spacing w:line="257" w:lineRule="exact" w:before="1"/>
              <w:ind w:left="108"/>
              <w:rPr>
                <w:sz w:val="24"/>
              </w:rPr>
            </w:pPr>
            <w:r>
              <w:rPr>
                <w:sz w:val="24"/>
              </w:rPr>
              <w:t>Fenol</w:t>
            </w:r>
          </w:p>
        </w:tc>
        <w:tc>
          <w:tcPr>
            <w:tcW w:w="2074" w:type="dxa"/>
          </w:tcPr>
          <w:p>
            <w:pPr>
              <w:pStyle w:val="TableParagraph"/>
              <w:spacing w:line="257" w:lineRule="exact" w:before="1"/>
              <w:ind w:left="143" w:right="135"/>
              <w:jc w:val="center"/>
              <w:rPr>
                <w:sz w:val="24"/>
              </w:rPr>
            </w:pPr>
            <w:r>
              <w:rPr>
                <w:sz w:val="24"/>
              </w:rPr>
              <w:t>26</w:t>
            </w:r>
          </w:p>
        </w:tc>
        <w:tc>
          <w:tcPr>
            <w:tcW w:w="2463" w:type="dxa"/>
          </w:tcPr>
          <w:p>
            <w:pPr>
              <w:pStyle w:val="TableParagraph"/>
              <w:spacing w:line="257" w:lineRule="exact" w:before="1"/>
              <w:ind w:left="501" w:right="488"/>
              <w:jc w:val="center"/>
              <w:rPr>
                <w:sz w:val="24"/>
              </w:rPr>
            </w:pPr>
            <w:r>
              <w:rPr>
                <w:sz w:val="24"/>
              </w:rPr>
              <w:t>26</w:t>
            </w:r>
          </w:p>
        </w:tc>
        <w:tc>
          <w:tcPr>
            <w:tcW w:w="2453" w:type="dxa"/>
          </w:tcPr>
          <w:p>
            <w:pPr>
              <w:pStyle w:val="TableParagraph"/>
              <w:spacing w:line="257" w:lineRule="exact" w:before="1"/>
              <w:ind w:left="13"/>
              <w:jc w:val="center"/>
              <w:rPr>
                <w:sz w:val="24"/>
              </w:rPr>
            </w:pPr>
            <w:r>
              <w:rPr>
                <w:sz w:val="24"/>
              </w:rPr>
              <w:t>1</w:t>
            </w:r>
          </w:p>
        </w:tc>
      </w:tr>
      <w:tr>
        <w:trPr>
          <w:trHeight w:val="275" w:hRule="atLeast"/>
        </w:trPr>
        <w:tc>
          <w:tcPr>
            <w:tcW w:w="2651" w:type="dxa"/>
          </w:tcPr>
          <w:p>
            <w:pPr>
              <w:pStyle w:val="TableParagraph"/>
              <w:spacing w:line="256" w:lineRule="exact"/>
              <w:ind w:left="108"/>
              <w:rPr>
                <w:sz w:val="24"/>
              </w:rPr>
            </w:pPr>
            <w:r>
              <w:rPr>
                <w:sz w:val="24"/>
              </w:rPr>
              <w:t>Crom</w:t>
            </w:r>
          </w:p>
        </w:tc>
        <w:tc>
          <w:tcPr>
            <w:tcW w:w="2074" w:type="dxa"/>
          </w:tcPr>
          <w:p>
            <w:pPr>
              <w:pStyle w:val="TableParagraph"/>
              <w:spacing w:line="256" w:lineRule="exact"/>
              <w:ind w:left="143" w:right="135"/>
              <w:jc w:val="center"/>
              <w:rPr>
                <w:sz w:val="24"/>
              </w:rPr>
            </w:pPr>
            <w:r>
              <w:rPr>
                <w:sz w:val="24"/>
              </w:rPr>
              <w:t>11</w:t>
            </w:r>
          </w:p>
        </w:tc>
        <w:tc>
          <w:tcPr>
            <w:tcW w:w="2463" w:type="dxa"/>
          </w:tcPr>
          <w:p>
            <w:pPr>
              <w:pStyle w:val="TableParagraph"/>
              <w:spacing w:line="256" w:lineRule="exact"/>
              <w:ind w:left="501" w:right="488"/>
              <w:jc w:val="center"/>
              <w:rPr>
                <w:sz w:val="24"/>
              </w:rPr>
            </w:pPr>
            <w:r>
              <w:rPr>
                <w:sz w:val="24"/>
              </w:rPr>
              <w:t>11</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Cloroform</w:t>
            </w:r>
          </w:p>
        </w:tc>
        <w:tc>
          <w:tcPr>
            <w:tcW w:w="2074" w:type="dxa"/>
          </w:tcPr>
          <w:p>
            <w:pPr>
              <w:pStyle w:val="TableParagraph"/>
              <w:spacing w:line="256" w:lineRule="exact"/>
              <w:ind w:left="8"/>
              <w:jc w:val="center"/>
              <w:rPr>
                <w:sz w:val="24"/>
              </w:rPr>
            </w:pPr>
            <w:r>
              <w:rPr>
                <w:sz w:val="24"/>
              </w:rPr>
              <w:t>8</w:t>
            </w:r>
          </w:p>
        </w:tc>
        <w:tc>
          <w:tcPr>
            <w:tcW w:w="2463" w:type="dxa"/>
          </w:tcPr>
          <w:p>
            <w:pPr>
              <w:pStyle w:val="TableParagraph"/>
              <w:spacing w:line="256" w:lineRule="exact"/>
              <w:ind w:left="13"/>
              <w:jc w:val="center"/>
              <w:rPr>
                <w:sz w:val="24"/>
              </w:rPr>
            </w:pPr>
            <w:r>
              <w:rPr>
                <w:sz w:val="24"/>
              </w:rPr>
              <w:t>8</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Argint</w:t>
            </w:r>
          </w:p>
        </w:tc>
        <w:tc>
          <w:tcPr>
            <w:tcW w:w="2074" w:type="dxa"/>
          </w:tcPr>
          <w:p>
            <w:pPr>
              <w:pStyle w:val="TableParagraph"/>
              <w:spacing w:line="256" w:lineRule="exact"/>
              <w:ind w:left="8"/>
              <w:jc w:val="center"/>
              <w:rPr>
                <w:sz w:val="24"/>
              </w:rPr>
            </w:pPr>
            <w:r>
              <w:rPr>
                <w:sz w:val="24"/>
              </w:rPr>
              <w:t>6</w:t>
            </w:r>
          </w:p>
        </w:tc>
        <w:tc>
          <w:tcPr>
            <w:tcW w:w="2463" w:type="dxa"/>
          </w:tcPr>
          <w:p>
            <w:pPr>
              <w:pStyle w:val="TableParagraph"/>
              <w:spacing w:line="256" w:lineRule="exact"/>
              <w:ind w:left="13"/>
              <w:jc w:val="center"/>
              <w:rPr>
                <w:sz w:val="24"/>
              </w:rPr>
            </w:pPr>
            <w:r>
              <w:rPr>
                <w:sz w:val="24"/>
              </w:rPr>
              <w:t>6</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Ciclohexanonă</w:t>
            </w:r>
          </w:p>
        </w:tc>
        <w:tc>
          <w:tcPr>
            <w:tcW w:w="2074" w:type="dxa"/>
          </w:tcPr>
          <w:p>
            <w:pPr>
              <w:pStyle w:val="TableParagraph"/>
              <w:spacing w:line="256" w:lineRule="exact"/>
              <w:ind w:left="8"/>
              <w:jc w:val="center"/>
              <w:rPr>
                <w:sz w:val="24"/>
              </w:rPr>
            </w:pPr>
            <w:r>
              <w:rPr>
                <w:sz w:val="24"/>
              </w:rPr>
              <w:t>5</w:t>
            </w:r>
          </w:p>
        </w:tc>
        <w:tc>
          <w:tcPr>
            <w:tcW w:w="2463" w:type="dxa"/>
          </w:tcPr>
          <w:p>
            <w:pPr>
              <w:pStyle w:val="TableParagraph"/>
              <w:spacing w:line="256" w:lineRule="exact"/>
              <w:ind w:left="13"/>
              <w:jc w:val="center"/>
              <w:rPr>
                <w:sz w:val="24"/>
              </w:rPr>
            </w:pPr>
            <w:r>
              <w:rPr>
                <w:sz w:val="24"/>
              </w:rPr>
              <w:t>5</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Metil-etil-cetonă</w:t>
            </w:r>
          </w:p>
        </w:tc>
        <w:tc>
          <w:tcPr>
            <w:tcW w:w="2074" w:type="dxa"/>
          </w:tcPr>
          <w:p>
            <w:pPr>
              <w:pStyle w:val="TableParagraph"/>
              <w:spacing w:line="256" w:lineRule="exact"/>
              <w:ind w:left="8"/>
              <w:jc w:val="center"/>
              <w:rPr>
                <w:sz w:val="24"/>
              </w:rPr>
            </w:pPr>
            <w:r>
              <w:rPr>
                <w:sz w:val="24"/>
              </w:rPr>
              <w:t>9</w:t>
            </w:r>
          </w:p>
        </w:tc>
        <w:tc>
          <w:tcPr>
            <w:tcW w:w="2463" w:type="dxa"/>
          </w:tcPr>
          <w:p>
            <w:pPr>
              <w:pStyle w:val="TableParagraph"/>
              <w:spacing w:line="256" w:lineRule="exact"/>
              <w:ind w:left="13"/>
              <w:jc w:val="center"/>
              <w:rPr>
                <w:sz w:val="24"/>
              </w:rPr>
            </w:pPr>
            <w:r>
              <w:rPr>
                <w:sz w:val="24"/>
              </w:rPr>
              <w:t>9</w:t>
            </w:r>
          </w:p>
        </w:tc>
        <w:tc>
          <w:tcPr>
            <w:tcW w:w="2453" w:type="dxa"/>
          </w:tcPr>
          <w:p>
            <w:pPr>
              <w:pStyle w:val="TableParagraph"/>
              <w:spacing w:line="256" w:lineRule="exact"/>
              <w:ind w:left="11"/>
              <w:jc w:val="center"/>
              <w:rPr>
                <w:sz w:val="24"/>
              </w:rPr>
            </w:pPr>
            <w:r>
              <w:rPr>
                <w:w w:val="99"/>
                <w:sz w:val="24"/>
              </w:rPr>
              <w:t>-</w:t>
            </w:r>
          </w:p>
        </w:tc>
      </w:tr>
      <w:tr>
        <w:trPr>
          <w:trHeight w:val="277" w:hRule="atLeast"/>
        </w:trPr>
        <w:tc>
          <w:tcPr>
            <w:tcW w:w="2651" w:type="dxa"/>
          </w:tcPr>
          <w:p>
            <w:pPr>
              <w:pStyle w:val="TableParagraph"/>
              <w:spacing w:line="257" w:lineRule="exact" w:before="1"/>
              <w:ind w:left="108"/>
              <w:rPr>
                <w:sz w:val="24"/>
              </w:rPr>
            </w:pPr>
            <w:r>
              <w:rPr>
                <w:sz w:val="24"/>
              </w:rPr>
              <w:t>Percloretilenă</w:t>
            </w:r>
          </w:p>
        </w:tc>
        <w:tc>
          <w:tcPr>
            <w:tcW w:w="2074" w:type="dxa"/>
          </w:tcPr>
          <w:p>
            <w:pPr>
              <w:pStyle w:val="TableParagraph"/>
              <w:spacing w:line="257" w:lineRule="exact" w:before="1"/>
              <w:ind w:left="143" w:right="135"/>
              <w:jc w:val="center"/>
              <w:rPr>
                <w:sz w:val="24"/>
              </w:rPr>
            </w:pPr>
            <w:r>
              <w:rPr>
                <w:sz w:val="24"/>
              </w:rPr>
              <w:t>12</w:t>
            </w:r>
          </w:p>
        </w:tc>
        <w:tc>
          <w:tcPr>
            <w:tcW w:w="2463" w:type="dxa"/>
          </w:tcPr>
          <w:p>
            <w:pPr>
              <w:pStyle w:val="TableParagraph"/>
              <w:spacing w:line="257" w:lineRule="exact" w:before="1"/>
              <w:ind w:left="501" w:right="488"/>
              <w:jc w:val="center"/>
              <w:rPr>
                <w:sz w:val="24"/>
              </w:rPr>
            </w:pPr>
            <w:r>
              <w:rPr>
                <w:sz w:val="24"/>
              </w:rPr>
              <w:t>12</w:t>
            </w:r>
          </w:p>
        </w:tc>
        <w:tc>
          <w:tcPr>
            <w:tcW w:w="2453" w:type="dxa"/>
          </w:tcPr>
          <w:p>
            <w:pPr>
              <w:pStyle w:val="TableParagraph"/>
              <w:spacing w:line="257" w:lineRule="exact" w:before="1"/>
              <w:ind w:left="13"/>
              <w:jc w:val="center"/>
              <w:rPr>
                <w:sz w:val="24"/>
              </w:rPr>
            </w:pPr>
            <w:r>
              <w:rPr>
                <w:sz w:val="24"/>
              </w:rPr>
              <w:t>2</w:t>
            </w:r>
          </w:p>
        </w:tc>
      </w:tr>
      <w:tr>
        <w:trPr>
          <w:trHeight w:val="275" w:hRule="atLeast"/>
        </w:trPr>
        <w:tc>
          <w:tcPr>
            <w:tcW w:w="2651" w:type="dxa"/>
          </w:tcPr>
          <w:p>
            <w:pPr>
              <w:pStyle w:val="TableParagraph"/>
              <w:spacing w:line="256" w:lineRule="exact"/>
              <w:ind w:left="108"/>
              <w:rPr>
                <w:sz w:val="24"/>
              </w:rPr>
            </w:pPr>
            <w:r>
              <w:rPr>
                <w:sz w:val="24"/>
              </w:rPr>
              <w:t>Gaze lichefiate</w:t>
            </w:r>
          </w:p>
        </w:tc>
        <w:tc>
          <w:tcPr>
            <w:tcW w:w="2074" w:type="dxa"/>
          </w:tcPr>
          <w:p>
            <w:pPr>
              <w:pStyle w:val="TableParagraph"/>
              <w:spacing w:line="256" w:lineRule="exact"/>
              <w:ind w:left="8"/>
              <w:jc w:val="center"/>
              <w:rPr>
                <w:sz w:val="24"/>
              </w:rPr>
            </w:pPr>
            <w:r>
              <w:rPr>
                <w:sz w:val="24"/>
              </w:rPr>
              <w:t>3</w:t>
            </w:r>
          </w:p>
        </w:tc>
        <w:tc>
          <w:tcPr>
            <w:tcW w:w="2463" w:type="dxa"/>
          </w:tcPr>
          <w:p>
            <w:pPr>
              <w:pStyle w:val="TableParagraph"/>
              <w:spacing w:line="256" w:lineRule="exact"/>
              <w:ind w:left="13"/>
              <w:jc w:val="center"/>
              <w:rPr>
                <w:sz w:val="24"/>
              </w:rPr>
            </w:pPr>
            <w:r>
              <w:rPr>
                <w:sz w:val="24"/>
              </w:rPr>
              <w:t>3</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Alcool etilic</w:t>
            </w:r>
          </w:p>
        </w:tc>
        <w:tc>
          <w:tcPr>
            <w:tcW w:w="2074" w:type="dxa"/>
          </w:tcPr>
          <w:p>
            <w:pPr>
              <w:pStyle w:val="TableParagraph"/>
              <w:spacing w:line="256" w:lineRule="exact"/>
              <w:ind w:left="143" w:right="135"/>
              <w:jc w:val="center"/>
              <w:rPr>
                <w:sz w:val="24"/>
              </w:rPr>
            </w:pPr>
            <w:r>
              <w:rPr>
                <w:sz w:val="24"/>
              </w:rPr>
              <w:t>28</w:t>
            </w:r>
          </w:p>
        </w:tc>
        <w:tc>
          <w:tcPr>
            <w:tcW w:w="2463" w:type="dxa"/>
          </w:tcPr>
          <w:p>
            <w:pPr>
              <w:pStyle w:val="TableParagraph"/>
              <w:spacing w:line="256" w:lineRule="exact"/>
              <w:ind w:left="501" w:right="488"/>
              <w:jc w:val="center"/>
              <w:rPr>
                <w:sz w:val="24"/>
              </w:rPr>
            </w:pPr>
            <w:r>
              <w:rPr>
                <w:sz w:val="24"/>
              </w:rPr>
              <w:t>28</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Alcool izopropilic</w:t>
            </w:r>
          </w:p>
        </w:tc>
        <w:tc>
          <w:tcPr>
            <w:tcW w:w="2074" w:type="dxa"/>
          </w:tcPr>
          <w:p>
            <w:pPr>
              <w:pStyle w:val="TableParagraph"/>
              <w:spacing w:line="256" w:lineRule="exact"/>
              <w:ind w:left="143" w:right="135"/>
              <w:jc w:val="center"/>
              <w:rPr>
                <w:sz w:val="24"/>
              </w:rPr>
            </w:pPr>
            <w:r>
              <w:rPr>
                <w:sz w:val="24"/>
              </w:rPr>
              <w:t>15</w:t>
            </w:r>
          </w:p>
        </w:tc>
        <w:tc>
          <w:tcPr>
            <w:tcW w:w="2463" w:type="dxa"/>
          </w:tcPr>
          <w:p>
            <w:pPr>
              <w:pStyle w:val="TableParagraph"/>
              <w:spacing w:line="256" w:lineRule="exact"/>
              <w:ind w:left="501" w:right="488"/>
              <w:jc w:val="center"/>
              <w:rPr>
                <w:sz w:val="24"/>
              </w:rPr>
            </w:pPr>
            <w:r>
              <w:rPr>
                <w:sz w:val="24"/>
              </w:rPr>
              <w:t>15</w:t>
            </w:r>
          </w:p>
        </w:tc>
        <w:tc>
          <w:tcPr>
            <w:tcW w:w="2453" w:type="dxa"/>
          </w:tcPr>
          <w:p>
            <w:pPr>
              <w:pStyle w:val="TableParagraph"/>
              <w:spacing w:line="256" w:lineRule="exact"/>
              <w:ind w:left="13"/>
              <w:jc w:val="center"/>
              <w:rPr>
                <w:sz w:val="24"/>
              </w:rPr>
            </w:pPr>
            <w:r>
              <w:rPr>
                <w:sz w:val="24"/>
              </w:rPr>
              <w:t>1</w:t>
            </w:r>
          </w:p>
        </w:tc>
      </w:tr>
      <w:tr>
        <w:trPr>
          <w:trHeight w:val="276" w:hRule="atLeast"/>
        </w:trPr>
        <w:tc>
          <w:tcPr>
            <w:tcW w:w="2651" w:type="dxa"/>
          </w:tcPr>
          <w:p>
            <w:pPr>
              <w:pStyle w:val="TableParagraph"/>
              <w:spacing w:line="256" w:lineRule="exact"/>
              <w:ind w:left="108"/>
              <w:rPr>
                <w:sz w:val="24"/>
              </w:rPr>
            </w:pPr>
            <w:r>
              <w:rPr>
                <w:sz w:val="24"/>
              </w:rPr>
              <w:t>Benzine</w:t>
            </w:r>
          </w:p>
        </w:tc>
        <w:tc>
          <w:tcPr>
            <w:tcW w:w="2074" w:type="dxa"/>
          </w:tcPr>
          <w:p>
            <w:pPr>
              <w:pStyle w:val="TableParagraph"/>
              <w:spacing w:line="256" w:lineRule="exact"/>
              <w:ind w:left="143" w:right="135"/>
              <w:jc w:val="center"/>
              <w:rPr>
                <w:sz w:val="24"/>
              </w:rPr>
            </w:pPr>
            <w:r>
              <w:rPr>
                <w:sz w:val="24"/>
              </w:rPr>
              <w:t>11</w:t>
            </w:r>
          </w:p>
        </w:tc>
        <w:tc>
          <w:tcPr>
            <w:tcW w:w="2463" w:type="dxa"/>
          </w:tcPr>
          <w:p>
            <w:pPr>
              <w:pStyle w:val="TableParagraph"/>
              <w:spacing w:line="256" w:lineRule="exact"/>
              <w:ind w:left="501" w:right="488"/>
              <w:jc w:val="center"/>
              <w:rPr>
                <w:sz w:val="24"/>
              </w:rPr>
            </w:pPr>
            <w:r>
              <w:rPr>
                <w:sz w:val="24"/>
              </w:rPr>
              <w:t>11</w:t>
            </w:r>
          </w:p>
        </w:tc>
        <w:tc>
          <w:tcPr>
            <w:tcW w:w="2453" w:type="dxa"/>
          </w:tcPr>
          <w:p>
            <w:pPr>
              <w:pStyle w:val="TableParagraph"/>
              <w:spacing w:line="256" w:lineRule="exact"/>
              <w:ind w:left="13"/>
              <w:jc w:val="center"/>
              <w:rPr>
                <w:sz w:val="24"/>
              </w:rPr>
            </w:pPr>
            <w:r>
              <w:rPr>
                <w:sz w:val="24"/>
              </w:rPr>
              <w:t>4</w:t>
            </w:r>
          </w:p>
        </w:tc>
      </w:tr>
      <w:tr>
        <w:trPr>
          <w:trHeight w:val="275" w:hRule="atLeast"/>
        </w:trPr>
        <w:tc>
          <w:tcPr>
            <w:tcW w:w="2651" w:type="dxa"/>
          </w:tcPr>
          <w:p>
            <w:pPr>
              <w:pStyle w:val="TableParagraph"/>
              <w:spacing w:line="256" w:lineRule="exact"/>
              <w:ind w:left="108"/>
              <w:rPr>
                <w:sz w:val="24"/>
              </w:rPr>
            </w:pPr>
            <w:r>
              <w:rPr>
                <w:sz w:val="24"/>
              </w:rPr>
              <w:t>Aluminiu</w:t>
            </w:r>
          </w:p>
        </w:tc>
        <w:tc>
          <w:tcPr>
            <w:tcW w:w="2074" w:type="dxa"/>
          </w:tcPr>
          <w:p>
            <w:pPr>
              <w:pStyle w:val="TableParagraph"/>
              <w:spacing w:line="256" w:lineRule="exact"/>
              <w:ind w:left="8"/>
              <w:jc w:val="center"/>
              <w:rPr>
                <w:sz w:val="24"/>
              </w:rPr>
            </w:pPr>
            <w:r>
              <w:rPr>
                <w:sz w:val="24"/>
              </w:rPr>
              <w:t>6</w:t>
            </w:r>
          </w:p>
        </w:tc>
        <w:tc>
          <w:tcPr>
            <w:tcW w:w="2463" w:type="dxa"/>
          </w:tcPr>
          <w:p>
            <w:pPr>
              <w:pStyle w:val="TableParagraph"/>
              <w:spacing w:line="256" w:lineRule="exact"/>
              <w:ind w:left="13"/>
              <w:jc w:val="center"/>
              <w:rPr>
                <w:sz w:val="24"/>
              </w:rPr>
            </w:pPr>
            <w:r>
              <w:rPr>
                <w:sz w:val="24"/>
              </w:rPr>
              <w:t>6</w:t>
            </w:r>
          </w:p>
        </w:tc>
        <w:tc>
          <w:tcPr>
            <w:tcW w:w="2453" w:type="dxa"/>
          </w:tcPr>
          <w:p>
            <w:pPr>
              <w:pStyle w:val="TableParagraph"/>
              <w:spacing w:line="256" w:lineRule="exact"/>
              <w:ind w:left="11"/>
              <w:jc w:val="center"/>
              <w:rPr>
                <w:sz w:val="24"/>
              </w:rPr>
            </w:pPr>
            <w:r>
              <w:rPr>
                <w:w w:val="99"/>
                <w:sz w:val="24"/>
              </w:rPr>
              <w:t>-</w:t>
            </w:r>
          </w:p>
        </w:tc>
      </w:tr>
      <w:tr>
        <w:trPr>
          <w:trHeight w:val="278" w:hRule="atLeast"/>
        </w:trPr>
        <w:tc>
          <w:tcPr>
            <w:tcW w:w="2651" w:type="dxa"/>
          </w:tcPr>
          <w:p>
            <w:pPr>
              <w:pStyle w:val="TableParagraph"/>
              <w:spacing w:line="257" w:lineRule="exact" w:before="1"/>
              <w:ind w:left="108"/>
              <w:rPr>
                <w:sz w:val="24"/>
              </w:rPr>
            </w:pPr>
            <w:r>
              <w:rPr>
                <w:sz w:val="24"/>
              </w:rPr>
              <w:t>Cupru</w:t>
            </w:r>
          </w:p>
        </w:tc>
        <w:tc>
          <w:tcPr>
            <w:tcW w:w="2074" w:type="dxa"/>
          </w:tcPr>
          <w:p>
            <w:pPr>
              <w:pStyle w:val="TableParagraph"/>
              <w:spacing w:line="257" w:lineRule="exact" w:before="1"/>
              <w:ind w:left="8"/>
              <w:jc w:val="center"/>
              <w:rPr>
                <w:sz w:val="24"/>
              </w:rPr>
            </w:pPr>
            <w:r>
              <w:rPr>
                <w:sz w:val="24"/>
              </w:rPr>
              <w:t>6</w:t>
            </w:r>
          </w:p>
        </w:tc>
        <w:tc>
          <w:tcPr>
            <w:tcW w:w="2463" w:type="dxa"/>
          </w:tcPr>
          <w:p>
            <w:pPr>
              <w:pStyle w:val="TableParagraph"/>
              <w:spacing w:line="257" w:lineRule="exact" w:before="1"/>
              <w:ind w:left="13"/>
              <w:jc w:val="center"/>
              <w:rPr>
                <w:sz w:val="24"/>
              </w:rPr>
            </w:pPr>
            <w:r>
              <w:rPr>
                <w:sz w:val="24"/>
              </w:rPr>
              <w:t>6</w:t>
            </w:r>
          </w:p>
        </w:tc>
        <w:tc>
          <w:tcPr>
            <w:tcW w:w="2453" w:type="dxa"/>
          </w:tcPr>
          <w:p>
            <w:pPr>
              <w:pStyle w:val="TableParagraph"/>
              <w:spacing w:line="257" w:lineRule="exact" w:before="1"/>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Nichel</w:t>
            </w:r>
          </w:p>
        </w:tc>
        <w:tc>
          <w:tcPr>
            <w:tcW w:w="2074" w:type="dxa"/>
          </w:tcPr>
          <w:p>
            <w:pPr>
              <w:pStyle w:val="TableParagraph"/>
              <w:spacing w:line="256" w:lineRule="exact"/>
              <w:ind w:left="8"/>
              <w:jc w:val="center"/>
              <w:rPr>
                <w:sz w:val="24"/>
              </w:rPr>
            </w:pPr>
            <w:r>
              <w:rPr>
                <w:sz w:val="24"/>
              </w:rPr>
              <w:t>6</w:t>
            </w:r>
          </w:p>
        </w:tc>
        <w:tc>
          <w:tcPr>
            <w:tcW w:w="2463" w:type="dxa"/>
          </w:tcPr>
          <w:p>
            <w:pPr>
              <w:pStyle w:val="TableParagraph"/>
              <w:spacing w:line="256" w:lineRule="exact"/>
              <w:ind w:left="13"/>
              <w:jc w:val="center"/>
              <w:rPr>
                <w:sz w:val="24"/>
              </w:rPr>
            </w:pPr>
            <w:r>
              <w:rPr>
                <w:sz w:val="24"/>
              </w:rPr>
              <w:t>6</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Plumb</w:t>
            </w:r>
          </w:p>
        </w:tc>
        <w:tc>
          <w:tcPr>
            <w:tcW w:w="2074" w:type="dxa"/>
          </w:tcPr>
          <w:p>
            <w:pPr>
              <w:pStyle w:val="TableParagraph"/>
              <w:spacing w:line="256" w:lineRule="exact"/>
              <w:ind w:left="8"/>
              <w:jc w:val="center"/>
              <w:rPr>
                <w:sz w:val="24"/>
              </w:rPr>
            </w:pPr>
            <w:r>
              <w:rPr>
                <w:sz w:val="24"/>
              </w:rPr>
              <w:t>9</w:t>
            </w:r>
          </w:p>
        </w:tc>
        <w:tc>
          <w:tcPr>
            <w:tcW w:w="2463" w:type="dxa"/>
          </w:tcPr>
          <w:p>
            <w:pPr>
              <w:pStyle w:val="TableParagraph"/>
              <w:spacing w:line="256" w:lineRule="exact"/>
              <w:ind w:left="13"/>
              <w:jc w:val="center"/>
              <w:rPr>
                <w:sz w:val="24"/>
              </w:rPr>
            </w:pPr>
            <w:r>
              <w:rPr>
                <w:sz w:val="24"/>
              </w:rPr>
              <w:t>9</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Cadmiu</w:t>
            </w:r>
          </w:p>
        </w:tc>
        <w:tc>
          <w:tcPr>
            <w:tcW w:w="2074" w:type="dxa"/>
          </w:tcPr>
          <w:p>
            <w:pPr>
              <w:pStyle w:val="TableParagraph"/>
              <w:spacing w:line="256" w:lineRule="exact"/>
              <w:ind w:left="8"/>
              <w:jc w:val="center"/>
              <w:rPr>
                <w:sz w:val="24"/>
              </w:rPr>
            </w:pPr>
            <w:r>
              <w:rPr>
                <w:sz w:val="24"/>
              </w:rPr>
              <w:t>9</w:t>
            </w:r>
          </w:p>
        </w:tc>
        <w:tc>
          <w:tcPr>
            <w:tcW w:w="2463" w:type="dxa"/>
          </w:tcPr>
          <w:p>
            <w:pPr>
              <w:pStyle w:val="TableParagraph"/>
              <w:spacing w:line="256" w:lineRule="exact"/>
              <w:ind w:left="13"/>
              <w:jc w:val="center"/>
              <w:rPr>
                <w:sz w:val="24"/>
              </w:rPr>
            </w:pPr>
            <w:r>
              <w:rPr>
                <w:sz w:val="24"/>
              </w:rPr>
              <w:t>9</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Mercur</w:t>
            </w:r>
          </w:p>
        </w:tc>
        <w:tc>
          <w:tcPr>
            <w:tcW w:w="2074" w:type="dxa"/>
          </w:tcPr>
          <w:p>
            <w:pPr>
              <w:pStyle w:val="TableParagraph"/>
              <w:spacing w:line="256" w:lineRule="exact"/>
              <w:ind w:left="8"/>
              <w:jc w:val="center"/>
              <w:rPr>
                <w:sz w:val="24"/>
              </w:rPr>
            </w:pPr>
            <w:r>
              <w:rPr>
                <w:sz w:val="24"/>
              </w:rPr>
              <w:t>3</w:t>
            </w:r>
          </w:p>
        </w:tc>
        <w:tc>
          <w:tcPr>
            <w:tcW w:w="2463" w:type="dxa"/>
          </w:tcPr>
          <w:p>
            <w:pPr>
              <w:pStyle w:val="TableParagraph"/>
              <w:spacing w:line="256" w:lineRule="exact"/>
              <w:ind w:left="13"/>
              <w:jc w:val="center"/>
              <w:rPr>
                <w:sz w:val="24"/>
              </w:rPr>
            </w:pPr>
            <w:r>
              <w:rPr>
                <w:sz w:val="24"/>
              </w:rPr>
              <w:t>3</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Acid sulfuric</w:t>
            </w:r>
          </w:p>
        </w:tc>
        <w:tc>
          <w:tcPr>
            <w:tcW w:w="2074" w:type="dxa"/>
          </w:tcPr>
          <w:p>
            <w:pPr>
              <w:pStyle w:val="TableParagraph"/>
              <w:spacing w:line="256" w:lineRule="exact"/>
              <w:ind w:left="8"/>
              <w:jc w:val="center"/>
              <w:rPr>
                <w:sz w:val="24"/>
              </w:rPr>
            </w:pPr>
            <w:r>
              <w:rPr>
                <w:sz w:val="24"/>
              </w:rPr>
              <w:t>6</w:t>
            </w:r>
          </w:p>
        </w:tc>
        <w:tc>
          <w:tcPr>
            <w:tcW w:w="2463" w:type="dxa"/>
          </w:tcPr>
          <w:p>
            <w:pPr>
              <w:pStyle w:val="TableParagraph"/>
              <w:spacing w:line="256" w:lineRule="exact"/>
              <w:ind w:left="13"/>
              <w:jc w:val="center"/>
              <w:rPr>
                <w:sz w:val="24"/>
              </w:rPr>
            </w:pPr>
            <w:r>
              <w:rPr>
                <w:sz w:val="24"/>
              </w:rPr>
              <w:t>6</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Naftalină</w:t>
            </w:r>
          </w:p>
        </w:tc>
        <w:tc>
          <w:tcPr>
            <w:tcW w:w="2074" w:type="dxa"/>
          </w:tcPr>
          <w:p>
            <w:pPr>
              <w:pStyle w:val="TableParagraph"/>
              <w:spacing w:line="256" w:lineRule="exact"/>
              <w:ind w:left="8"/>
              <w:jc w:val="center"/>
              <w:rPr>
                <w:sz w:val="24"/>
              </w:rPr>
            </w:pPr>
            <w:r>
              <w:rPr>
                <w:sz w:val="24"/>
              </w:rPr>
              <w:t>3</w:t>
            </w:r>
          </w:p>
        </w:tc>
        <w:tc>
          <w:tcPr>
            <w:tcW w:w="2463" w:type="dxa"/>
          </w:tcPr>
          <w:p>
            <w:pPr>
              <w:pStyle w:val="TableParagraph"/>
              <w:spacing w:line="256" w:lineRule="exact"/>
              <w:ind w:left="13"/>
              <w:jc w:val="center"/>
              <w:rPr>
                <w:sz w:val="24"/>
              </w:rPr>
            </w:pPr>
            <w:r>
              <w:rPr>
                <w:sz w:val="24"/>
              </w:rPr>
              <w:t>3</w:t>
            </w:r>
          </w:p>
        </w:tc>
        <w:tc>
          <w:tcPr>
            <w:tcW w:w="2453" w:type="dxa"/>
          </w:tcPr>
          <w:p>
            <w:pPr>
              <w:pStyle w:val="TableParagraph"/>
              <w:spacing w:line="256" w:lineRule="exact"/>
              <w:ind w:left="11"/>
              <w:jc w:val="center"/>
              <w:rPr>
                <w:sz w:val="24"/>
              </w:rPr>
            </w:pPr>
            <w:r>
              <w:rPr>
                <w:w w:val="99"/>
                <w:sz w:val="24"/>
              </w:rPr>
              <w:t>-</w:t>
            </w:r>
          </w:p>
        </w:tc>
      </w:tr>
      <w:tr>
        <w:trPr>
          <w:trHeight w:val="278" w:hRule="atLeast"/>
        </w:trPr>
        <w:tc>
          <w:tcPr>
            <w:tcW w:w="2651" w:type="dxa"/>
          </w:tcPr>
          <w:p>
            <w:pPr>
              <w:pStyle w:val="TableParagraph"/>
              <w:spacing w:line="257" w:lineRule="exact" w:before="1"/>
              <w:ind w:left="108"/>
              <w:rPr>
                <w:sz w:val="24"/>
              </w:rPr>
            </w:pPr>
            <w:r>
              <w:rPr>
                <w:sz w:val="24"/>
              </w:rPr>
              <w:t>Pesticide</w:t>
            </w:r>
          </w:p>
        </w:tc>
        <w:tc>
          <w:tcPr>
            <w:tcW w:w="2074" w:type="dxa"/>
          </w:tcPr>
          <w:p>
            <w:pPr>
              <w:pStyle w:val="TableParagraph"/>
              <w:spacing w:line="257" w:lineRule="exact" w:before="1"/>
              <w:ind w:left="8"/>
              <w:jc w:val="center"/>
              <w:rPr>
                <w:sz w:val="24"/>
              </w:rPr>
            </w:pPr>
            <w:r>
              <w:rPr>
                <w:sz w:val="24"/>
              </w:rPr>
              <w:t>2</w:t>
            </w:r>
          </w:p>
        </w:tc>
        <w:tc>
          <w:tcPr>
            <w:tcW w:w="2463" w:type="dxa"/>
          </w:tcPr>
          <w:p>
            <w:pPr>
              <w:pStyle w:val="TableParagraph"/>
              <w:spacing w:line="257" w:lineRule="exact" w:before="1"/>
              <w:ind w:left="13"/>
              <w:jc w:val="center"/>
              <w:rPr>
                <w:sz w:val="24"/>
              </w:rPr>
            </w:pPr>
            <w:r>
              <w:rPr>
                <w:sz w:val="24"/>
              </w:rPr>
              <w:t>2</w:t>
            </w:r>
          </w:p>
        </w:tc>
        <w:tc>
          <w:tcPr>
            <w:tcW w:w="2453" w:type="dxa"/>
          </w:tcPr>
          <w:p>
            <w:pPr>
              <w:pStyle w:val="TableParagraph"/>
              <w:spacing w:line="257" w:lineRule="exact" w:before="1"/>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Eter etilic</w:t>
            </w:r>
          </w:p>
        </w:tc>
        <w:tc>
          <w:tcPr>
            <w:tcW w:w="2074" w:type="dxa"/>
          </w:tcPr>
          <w:p>
            <w:pPr>
              <w:pStyle w:val="TableParagraph"/>
              <w:spacing w:line="256" w:lineRule="exact"/>
              <w:ind w:left="8"/>
              <w:jc w:val="center"/>
              <w:rPr>
                <w:sz w:val="24"/>
              </w:rPr>
            </w:pPr>
            <w:r>
              <w:rPr>
                <w:sz w:val="24"/>
              </w:rPr>
              <w:t>2</w:t>
            </w:r>
          </w:p>
        </w:tc>
        <w:tc>
          <w:tcPr>
            <w:tcW w:w="2463" w:type="dxa"/>
          </w:tcPr>
          <w:p>
            <w:pPr>
              <w:pStyle w:val="TableParagraph"/>
              <w:spacing w:line="256" w:lineRule="exact"/>
              <w:ind w:left="13"/>
              <w:jc w:val="center"/>
              <w:rPr>
                <w:sz w:val="24"/>
              </w:rPr>
            </w:pPr>
            <w:r>
              <w:rPr>
                <w:sz w:val="24"/>
              </w:rPr>
              <w:t>2</w:t>
            </w:r>
          </w:p>
        </w:tc>
        <w:tc>
          <w:tcPr>
            <w:tcW w:w="2453" w:type="dxa"/>
          </w:tcPr>
          <w:p>
            <w:pPr>
              <w:pStyle w:val="TableParagraph"/>
              <w:spacing w:line="256" w:lineRule="exact"/>
              <w:ind w:left="11"/>
              <w:jc w:val="center"/>
              <w:rPr>
                <w:sz w:val="24"/>
              </w:rPr>
            </w:pPr>
            <w:r>
              <w:rPr>
                <w:w w:val="99"/>
                <w:sz w:val="24"/>
              </w:rPr>
              <w:t>-</w:t>
            </w:r>
          </w:p>
        </w:tc>
      </w:tr>
      <w:tr>
        <w:trPr>
          <w:trHeight w:val="275" w:hRule="atLeast"/>
        </w:trPr>
        <w:tc>
          <w:tcPr>
            <w:tcW w:w="2651" w:type="dxa"/>
          </w:tcPr>
          <w:p>
            <w:pPr>
              <w:pStyle w:val="TableParagraph"/>
              <w:spacing w:line="256" w:lineRule="exact"/>
              <w:ind w:left="108"/>
              <w:rPr>
                <w:sz w:val="24"/>
              </w:rPr>
            </w:pPr>
            <w:r>
              <w:rPr>
                <w:sz w:val="24"/>
              </w:rPr>
              <w:t>TOTAL</w:t>
            </w:r>
          </w:p>
        </w:tc>
        <w:tc>
          <w:tcPr>
            <w:tcW w:w="2074" w:type="dxa"/>
          </w:tcPr>
          <w:p>
            <w:pPr>
              <w:pStyle w:val="TableParagraph"/>
              <w:spacing w:line="256" w:lineRule="exact"/>
              <w:ind w:left="143" w:right="135"/>
              <w:jc w:val="center"/>
              <w:rPr>
                <w:sz w:val="24"/>
              </w:rPr>
            </w:pPr>
            <w:r>
              <w:rPr>
                <w:sz w:val="24"/>
              </w:rPr>
              <w:t>1908</w:t>
            </w:r>
          </w:p>
        </w:tc>
        <w:tc>
          <w:tcPr>
            <w:tcW w:w="2463" w:type="dxa"/>
          </w:tcPr>
          <w:p>
            <w:pPr>
              <w:pStyle w:val="TableParagraph"/>
              <w:spacing w:line="256" w:lineRule="exact"/>
              <w:ind w:left="501" w:right="488"/>
              <w:jc w:val="center"/>
              <w:rPr>
                <w:sz w:val="24"/>
              </w:rPr>
            </w:pPr>
            <w:r>
              <w:rPr>
                <w:sz w:val="24"/>
              </w:rPr>
              <w:t>1908</w:t>
            </w:r>
          </w:p>
        </w:tc>
        <w:tc>
          <w:tcPr>
            <w:tcW w:w="2453" w:type="dxa"/>
          </w:tcPr>
          <w:p>
            <w:pPr>
              <w:pStyle w:val="TableParagraph"/>
              <w:spacing w:line="256" w:lineRule="exact"/>
              <w:ind w:left="640" w:right="627"/>
              <w:jc w:val="center"/>
              <w:rPr>
                <w:sz w:val="24"/>
              </w:rPr>
            </w:pPr>
            <w:r>
              <w:rPr>
                <w:sz w:val="24"/>
              </w:rPr>
              <w:t>586</w:t>
            </w:r>
          </w:p>
        </w:tc>
      </w:tr>
    </w:tbl>
    <w:p>
      <w:pPr>
        <w:pStyle w:val="BodyText"/>
        <w:spacing w:before="1"/>
        <w:ind w:left="0"/>
        <w:rPr>
          <w:sz w:val="16"/>
        </w:rPr>
      </w:pPr>
    </w:p>
    <w:p>
      <w:pPr>
        <w:spacing w:before="90"/>
        <w:ind w:left="233" w:right="3779" w:firstLine="0"/>
        <w:jc w:val="left"/>
        <w:rPr>
          <w:sz w:val="24"/>
        </w:rPr>
      </w:pPr>
      <w:r>
        <w:rPr>
          <w:b/>
          <w:sz w:val="24"/>
        </w:rPr>
        <w:t>Determinări indicatori chimici </w:t>
      </w:r>
      <w:r>
        <w:rPr>
          <w:sz w:val="24"/>
        </w:rPr>
        <w:t>în probe de apă reziduală - la solicitare. Unităţi spitaliceşti:130</w:t>
      </w:r>
    </w:p>
    <w:p>
      <w:pPr>
        <w:pStyle w:val="BodyText"/>
        <w:ind w:left="233"/>
      </w:pPr>
      <w:r>
        <w:rPr/>
        <w:t>Nr. probe:279</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7"/>
        <w:gridCol w:w="1803"/>
        <w:gridCol w:w="1801"/>
        <w:gridCol w:w="2562"/>
      </w:tblGrid>
      <w:tr>
        <w:trPr>
          <w:trHeight w:val="827" w:hRule="atLeast"/>
        </w:trPr>
        <w:tc>
          <w:tcPr>
            <w:tcW w:w="3347" w:type="dxa"/>
          </w:tcPr>
          <w:p>
            <w:pPr>
              <w:pStyle w:val="TableParagraph"/>
              <w:spacing w:line="275" w:lineRule="exact"/>
              <w:ind w:left="354" w:right="348"/>
              <w:jc w:val="center"/>
              <w:rPr>
                <w:sz w:val="24"/>
              </w:rPr>
            </w:pPr>
            <w:r>
              <w:rPr>
                <w:sz w:val="24"/>
              </w:rPr>
              <w:t>Indicatori chimici</w:t>
            </w:r>
          </w:p>
        </w:tc>
        <w:tc>
          <w:tcPr>
            <w:tcW w:w="1803" w:type="dxa"/>
          </w:tcPr>
          <w:p>
            <w:pPr>
              <w:pStyle w:val="TableParagraph"/>
              <w:ind w:left="107" w:right="806"/>
              <w:rPr>
                <w:sz w:val="24"/>
              </w:rPr>
            </w:pPr>
            <w:r>
              <w:rPr>
                <w:sz w:val="24"/>
              </w:rPr>
              <w:t>Nr probe 279</w:t>
            </w:r>
          </w:p>
        </w:tc>
        <w:tc>
          <w:tcPr>
            <w:tcW w:w="1801" w:type="dxa"/>
          </w:tcPr>
          <w:p>
            <w:pPr>
              <w:pStyle w:val="TableParagraph"/>
              <w:spacing w:line="276" w:lineRule="exact" w:before="2"/>
              <w:ind w:left="107" w:right="163"/>
              <w:rPr>
                <w:sz w:val="24"/>
              </w:rPr>
            </w:pPr>
            <w:r>
              <w:rPr>
                <w:sz w:val="24"/>
              </w:rPr>
              <w:t>Nr. determinari indicatori chimici</w:t>
            </w:r>
          </w:p>
        </w:tc>
        <w:tc>
          <w:tcPr>
            <w:tcW w:w="2562" w:type="dxa"/>
          </w:tcPr>
          <w:p>
            <w:pPr>
              <w:pStyle w:val="TableParagraph"/>
              <w:spacing w:line="275" w:lineRule="exact"/>
              <w:ind w:left="226"/>
              <w:rPr>
                <w:sz w:val="24"/>
              </w:rPr>
            </w:pPr>
            <w:r>
              <w:rPr>
                <w:sz w:val="24"/>
              </w:rPr>
              <w:t>Depasiri</w:t>
            </w:r>
          </w:p>
        </w:tc>
      </w:tr>
      <w:tr>
        <w:trPr>
          <w:trHeight w:val="273" w:hRule="atLeast"/>
        </w:trPr>
        <w:tc>
          <w:tcPr>
            <w:tcW w:w="3347" w:type="dxa"/>
          </w:tcPr>
          <w:p>
            <w:pPr>
              <w:pStyle w:val="TableParagraph"/>
              <w:spacing w:line="253" w:lineRule="exact"/>
              <w:ind w:left="355" w:right="346"/>
              <w:jc w:val="center"/>
              <w:rPr>
                <w:sz w:val="24"/>
              </w:rPr>
            </w:pPr>
            <w:r>
              <w:rPr>
                <w:sz w:val="24"/>
              </w:rPr>
              <w:t>pH</w:t>
            </w:r>
          </w:p>
        </w:tc>
        <w:tc>
          <w:tcPr>
            <w:tcW w:w="1803" w:type="dxa"/>
          </w:tcPr>
          <w:p>
            <w:pPr>
              <w:pStyle w:val="TableParagraph"/>
              <w:rPr>
                <w:sz w:val="20"/>
              </w:rPr>
            </w:pPr>
          </w:p>
        </w:tc>
        <w:tc>
          <w:tcPr>
            <w:tcW w:w="1801" w:type="dxa"/>
          </w:tcPr>
          <w:p>
            <w:pPr>
              <w:pStyle w:val="TableParagraph"/>
              <w:spacing w:line="253" w:lineRule="exact"/>
              <w:ind w:left="783"/>
              <w:rPr>
                <w:sz w:val="24"/>
              </w:rPr>
            </w:pPr>
            <w:r>
              <w:rPr>
                <w:sz w:val="24"/>
              </w:rPr>
              <w:t>272</w:t>
            </w:r>
          </w:p>
        </w:tc>
        <w:tc>
          <w:tcPr>
            <w:tcW w:w="2562" w:type="dxa"/>
          </w:tcPr>
          <w:p>
            <w:pPr>
              <w:pStyle w:val="TableParagraph"/>
              <w:spacing w:line="253" w:lineRule="exact"/>
              <w:ind w:left="18"/>
              <w:jc w:val="center"/>
              <w:rPr>
                <w:sz w:val="24"/>
              </w:rPr>
            </w:pPr>
            <w:r>
              <w:rPr>
                <w:sz w:val="24"/>
              </w:rPr>
              <w:t>2</w:t>
            </w:r>
          </w:p>
        </w:tc>
      </w:tr>
      <w:tr>
        <w:trPr>
          <w:trHeight w:val="277" w:hRule="atLeast"/>
        </w:trPr>
        <w:tc>
          <w:tcPr>
            <w:tcW w:w="3347" w:type="dxa"/>
          </w:tcPr>
          <w:p>
            <w:pPr>
              <w:pStyle w:val="TableParagraph"/>
              <w:spacing w:line="257" w:lineRule="exact" w:before="1"/>
              <w:ind w:left="354" w:right="348"/>
              <w:jc w:val="center"/>
              <w:rPr>
                <w:sz w:val="24"/>
              </w:rPr>
            </w:pPr>
            <w:r>
              <w:rPr>
                <w:sz w:val="24"/>
              </w:rPr>
              <w:t>Materii in suspensie</w:t>
            </w:r>
          </w:p>
        </w:tc>
        <w:tc>
          <w:tcPr>
            <w:tcW w:w="1803" w:type="dxa"/>
          </w:tcPr>
          <w:p>
            <w:pPr>
              <w:pStyle w:val="TableParagraph"/>
              <w:rPr>
                <w:sz w:val="20"/>
              </w:rPr>
            </w:pPr>
          </w:p>
        </w:tc>
        <w:tc>
          <w:tcPr>
            <w:tcW w:w="1801" w:type="dxa"/>
          </w:tcPr>
          <w:p>
            <w:pPr>
              <w:pStyle w:val="TableParagraph"/>
              <w:spacing w:line="257" w:lineRule="exact" w:before="1"/>
              <w:ind w:left="769"/>
              <w:rPr>
                <w:sz w:val="24"/>
              </w:rPr>
            </w:pPr>
            <w:r>
              <w:rPr>
                <w:sz w:val="24"/>
              </w:rPr>
              <w:t>262</w:t>
            </w:r>
          </w:p>
        </w:tc>
        <w:tc>
          <w:tcPr>
            <w:tcW w:w="2562" w:type="dxa"/>
          </w:tcPr>
          <w:p>
            <w:pPr>
              <w:pStyle w:val="TableParagraph"/>
              <w:spacing w:line="257" w:lineRule="exact" w:before="1"/>
              <w:ind w:left="1123" w:right="1014"/>
              <w:jc w:val="center"/>
              <w:rPr>
                <w:sz w:val="24"/>
              </w:rPr>
            </w:pPr>
            <w:r>
              <w:rPr>
                <w:sz w:val="24"/>
              </w:rPr>
              <w:t>26</w:t>
            </w:r>
          </w:p>
        </w:tc>
      </w:tr>
      <w:tr>
        <w:trPr>
          <w:trHeight w:val="551" w:hRule="atLeast"/>
        </w:trPr>
        <w:tc>
          <w:tcPr>
            <w:tcW w:w="3347" w:type="dxa"/>
          </w:tcPr>
          <w:p>
            <w:pPr>
              <w:pStyle w:val="TableParagraph"/>
              <w:spacing w:line="276" w:lineRule="exact" w:before="2"/>
              <w:ind w:left="859" w:right="761" w:hanging="87"/>
              <w:rPr>
                <w:sz w:val="24"/>
              </w:rPr>
            </w:pPr>
            <w:r>
              <w:rPr>
                <w:sz w:val="24"/>
              </w:rPr>
              <w:t>Consum chimic de oxigen(CCO-Cr)</w:t>
            </w:r>
          </w:p>
        </w:tc>
        <w:tc>
          <w:tcPr>
            <w:tcW w:w="1803" w:type="dxa"/>
          </w:tcPr>
          <w:p>
            <w:pPr>
              <w:pStyle w:val="TableParagraph"/>
              <w:rPr>
                <w:sz w:val="24"/>
              </w:rPr>
            </w:pPr>
          </w:p>
        </w:tc>
        <w:tc>
          <w:tcPr>
            <w:tcW w:w="1801" w:type="dxa"/>
          </w:tcPr>
          <w:p>
            <w:pPr>
              <w:pStyle w:val="TableParagraph"/>
              <w:spacing w:line="275" w:lineRule="exact"/>
              <w:ind w:left="810"/>
              <w:rPr>
                <w:sz w:val="24"/>
              </w:rPr>
            </w:pPr>
            <w:r>
              <w:rPr>
                <w:sz w:val="24"/>
              </w:rPr>
              <w:t>257</w:t>
            </w:r>
          </w:p>
        </w:tc>
        <w:tc>
          <w:tcPr>
            <w:tcW w:w="2562" w:type="dxa"/>
          </w:tcPr>
          <w:p>
            <w:pPr>
              <w:pStyle w:val="TableParagraph"/>
              <w:spacing w:line="275" w:lineRule="exact"/>
              <w:ind w:right="1010"/>
              <w:jc w:val="right"/>
              <w:rPr>
                <w:sz w:val="24"/>
              </w:rPr>
            </w:pPr>
            <w:r>
              <w:rPr>
                <w:sz w:val="24"/>
              </w:rPr>
              <w:t>38</w:t>
            </w:r>
          </w:p>
        </w:tc>
      </w:tr>
      <w:tr>
        <w:trPr>
          <w:trHeight w:val="550" w:hRule="atLeast"/>
        </w:trPr>
        <w:tc>
          <w:tcPr>
            <w:tcW w:w="3347" w:type="dxa"/>
          </w:tcPr>
          <w:p>
            <w:pPr>
              <w:pStyle w:val="TableParagraph"/>
              <w:spacing w:line="273" w:lineRule="exact"/>
              <w:ind w:left="355" w:right="346"/>
              <w:jc w:val="center"/>
              <w:rPr>
                <w:sz w:val="24"/>
              </w:rPr>
            </w:pPr>
            <w:r>
              <w:rPr>
                <w:sz w:val="24"/>
              </w:rPr>
              <w:t>Consum biochimic de</w:t>
            </w:r>
          </w:p>
          <w:p>
            <w:pPr>
              <w:pStyle w:val="TableParagraph"/>
              <w:spacing w:line="257" w:lineRule="exact"/>
              <w:ind w:left="355" w:right="348"/>
              <w:jc w:val="center"/>
              <w:rPr>
                <w:sz w:val="24"/>
              </w:rPr>
            </w:pPr>
            <w:r>
              <w:rPr>
                <w:sz w:val="24"/>
              </w:rPr>
              <w:t>oxigen(CBO5)</w:t>
            </w:r>
          </w:p>
        </w:tc>
        <w:tc>
          <w:tcPr>
            <w:tcW w:w="1803" w:type="dxa"/>
          </w:tcPr>
          <w:p>
            <w:pPr>
              <w:pStyle w:val="TableParagraph"/>
              <w:rPr>
                <w:sz w:val="24"/>
              </w:rPr>
            </w:pPr>
          </w:p>
        </w:tc>
        <w:tc>
          <w:tcPr>
            <w:tcW w:w="1801" w:type="dxa"/>
          </w:tcPr>
          <w:p>
            <w:pPr>
              <w:pStyle w:val="TableParagraph"/>
              <w:spacing w:line="273" w:lineRule="exact"/>
              <w:ind w:left="807"/>
              <w:rPr>
                <w:sz w:val="24"/>
              </w:rPr>
            </w:pPr>
            <w:r>
              <w:rPr>
                <w:sz w:val="24"/>
              </w:rPr>
              <w:t>169</w:t>
            </w:r>
          </w:p>
        </w:tc>
        <w:tc>
          <w:tcPr>
            <w:tcW w:w="2562" w:type="dxa"/>
          </w:tcPr>
          <w:p>
            <w:pPr>
              <w:pStyle w:val="TableParagraph"/>
              <w:spacing w:line="273" w:lineRule="exact"/>
              <w:ind w:left="1138" w:right="957"/>
              <w:jc w:val="center"/>
              <w:rPr>
                <w:sz w:val="24"/>
              </w:rPr>
            </w:pPr>
            <w:r>
              <w:rPr>
                <w:sz w:val="24"/>
              </w:rPr>
              <w:t>53</w:t>
            </w:r>
          </w:p>
        </w:tc>
      </w:tr>
      <w:tr>
        <w:trPr>
          <w:trHeight w:val="275" w:hRule="atLeast"/>
        </w:trPr>
        <w:tc>
          <w:tcPr>
            <w:tcW w:w="3347" w:type="dxa"/>
          </w:tcPr>
          <w:p>
            <w:pPr>
              <w:pStyle w:val="TableParagraph"/>
              <w:spacing w:line="256" w:lineRule="exact"/>
              <w:ind w:left="355" w:right="347"/>
              <w:jc w:val="center"/>
              <w:rPr>
                <w:sz w:val="24"/>
              </w:rPr>
            </w:pPr>
            <w:r>
              <w:rPr>
                <w:sz w:val="24"/>
              </w:rPr>
              <w:t>Azot amoniacal</w:t>
            </w:r>
          </w:p>
        </w:tc>
        <w:tc>
          <w:tcPr>
            <w:tcW w:w="1803" w:type="dxa"/>
          </w:tcPr>
          <w:p>
            <w:pPr>
              <w:pStyle w:val="TableParagraph"/>
              <w:rPr>
                <w:sz w:val="20"/>
              </w:rPr>
            </w:pPr>
          </w:p>
        </w:tc>
        <w:tc>
          <w:tcPr>
            <w:tcW w:w="1801" w:type="dxa"/>
          </w:tcPr>
          <w:p>
            <w:pPr>
              <w:pStyle w:val="TableParagraph"/>
              <w:spacing w:line="256" w:lineRule="exact"/>
              <w:ind w:right="562"/>
              <w:jc w:val="right"/>
              <w:rPr>
                <w:sz w:val="24"/>
              </w:rPr>
            </w:pPr>
            <w:r>
              <w:rPr>
                <w:sz w:val="24"/>
              </w:rPr>
              <w:t>159</w:t>
            </w:r>
          </w:p>
        </w:tc>
        <w:tc>
          <w:tcPr>
            <w:tcW w:w="2562" w:type="dxa"/>
          </w:tcPr>
          <w:p>
            <w:pPr>
              <w:pStyle w:val="TableParagraph"/>
              <w:spacing w:line="256" w:lineRule="exact"/>
              <w:ind w:right="1003"/>
              <w:jc w:val="right"/>
              <w:rPr>
                <w:sz w:val="24"/>
              </w:rPr>
            </w:pPr>
            <w:r>
              <w:rPr>
                <w:sz w:val="24"/>
              </w:rPr>
              <w:t>17</w:t>
            </w:r>
          </w:p>
        </w:tc>
      </w:tr>
      <w:tr>
        <w:trPr>
          <w:trHeight w:val="275" w:hRule="atLeast"/>
        </w:trPr>
        <w:tc>
          <w:tcPr>
            <w:tcW w:w="3347" w:type="dxa"/>
          </w:tcPr>
          <w:p>
            <w:pPr>
              <w:pStyle w:val="TableParagraph"/>
              <w:spacing w:line="256" w:lineRule="exact"/>
              <w:ind w:left="353" w:right="348"/>
              <w:jc w:val="center"/>
              <w:rPr>
                <w:sz w:val="24"/>
              </w:rPr>
            </w:pPr>
            <w:r>
              <w:rPr>
                <w:sz w:val="24"/>
              </w:rPr>
              <w:t>Cloruri</w:t>
            </w:r>
          </w:p>
        </w:tc>
        <w:tc>
          <w:tcPr>
            <w:tcW w:w="1803" w:type="dxa"/>
          </w:tcPr>
          <w:p>
            <w:pPr>
              <w:pStyle w:val="TableParagraph"/>
              <w:rPr>
                <w:sz w:val="20"/>
              </w:rPr>
            </w:pPr>
          </w:p>
        </w:tc>
        <w:tc>
          <w:tcPr>
            <w:tcW w:w="1801" w:type="dxa"/>
          </w:tcPr>
          <w:p>
            <w:pPr>
              <w:pStyle w:val="TableParagraph"/>
              <w:spacing w:line="256" w:lineRule="exact"/>
              <w:ind w:right="592"/>
              <w:jc w:val="right"/>
              <w:rPr>
                <w:sz w:val="24"/>
              </w:rPr>
            </w:pPr>
            <w:r>
              <w:rPr>
                <w:sz w:val="24"/>
              </w:rPr>
              <w:t>188</w:t>
            </w:r>
          </w:p>
        </w:tc>
        <w:tc>
          <w:tcPr>
            <w:tcW w:w="2562" w:type="dxa"/>
          </w:tcPr>
          <w:p>
            <w:pPr>
              <w:pStyle w:val="TableParagraph"/>
              <w:spacing w:line="256" w:lineRule="exact"/>
              <w:ind w:left="1138" w:right="1014"/>
              <w:jc w:val="center"/>
              <w:rPr>
                <w:sz w:val="24"/>
              </w:rPr>
            </w:pPr>
            <w:r>
              <w:rPr>
                <w:sz w:val="24"/>
              </w:rPr>
              <w:t>13</w:t>
            </w:r>
          </w:p>
        </w:tc>
      </w:tr>
      <w:tr>
        <w:trPr>
          <w:trHeight w:val="275" w:hRule="atLeast"/>
        </w:trPr>
        <w:tc>
          <w:tcPr>
            <w:tcW w:w="3347" w:type="dxa"/>
          </w:tcPr>
          <w:p>
            <w:pPr>
              <w:pStyle w:val="TableParagraph"/>
              <w:spacing w:line="256" w:lineRule="exact"/>
              <w:ind w:left="355" w:right="348"/>
              <w:jc w:val="center"/>
              <w:rPr>
                <w:sz w:val="24"/>
              </w:rPr>
            </w:pPr>
            <w:r>
              <w:rPr>
                <w:sz w:val="24"/>
              </w:rPr>
              <w:t>Sulfuri şi hidrogen sulfurat</w:t>
            </w:r>
          </w:p>
        </w:tc>
        <w:tc>
          <w:tcPr>
            <w:tcW w:w="1803" w:type="dxa"/>
          </w:tcPr>
          <w:p>
            <w:pPr>
              <w:pStyle w:val="TableParagraph"/>
              <w:rPr>
                <w:sz w:val="20"/>
              </w:rPr>
            </w:pPr>
          </w:p>
        </w:tc>
        <w:tc>
          <w:tcPr>
            <w:tcW w:w="1801" w:type="dxa"/>
          </w:tcPr>
          <w:p>
            <w:pPr>
              <w:pStyle w:val="TableParagraph"/>
              <w:spacing w:line="256" w:lineRule="exact"/>
              <w:ind w:right="592"/>
              <w:jc w:val="right"/>
              <w:rPr>
                <w:sz w:val="24"/>
              </w:rPr>
            </w:pPr>
            <w:r>
              <w:rPr>
                <w:sz w:val="24"/>
              </w:rPr>
              <w:t>122</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3" w:right="348"/>
              <w:jc w:val="center"/>
              <w:rPr>
                <w:sz w:val="24"/>
              </w:rPr>
            </w:pPr>
            <w:r>
              <w:rPr>
                <w:sz w:val="24"/>
              </w:rPr>
              <w:t>Detergenţi</w:t>
            </w:r>
          </w:p>
        </w:tc>
        <w:tc>
          <w:tcPr>
            <w:tcW w:w="1803" w:type="dxa"/>
          </w:tcPr>
          <w:p>
            <w:pPr>
              <w:pStyle w:val="TableParagraph"/>
              <w:rPr>
                <w:sz w:val="20"/>
              </w:rPr>
            </w:pPr>
          </w:p>
        </w:tc>
        <w:tc>
          <w:tcPr>
            <w:tcW w:w="1801" w:type="dxa"/>
          </w:tcPr>
          <w:p>
            <w:pPr>
              <w:pStyle w:val="TableParagraph"/>
              <w:spacing w:line="256" w:lineRule="exact"/>
              <w:ind w:right="592"/>
              <w:jc w:val="right"/>
              <w:rPr>
                <w:sz w:val="24"/>
              </w:rPr>
            </w:pPr>
            <w:r>
              <w:rPr>
                <w:sz w:val="24"/>
              </w:rPr>
              <w:t>209</w:t>
            </w:r>
          </w:p>
        </w:tc>
        <w:tc>
          <w:tcPr>
            <w:tcW w:w="2562" w:type="dxa"/>
          </w:tcPr>
          <w:p>
            <w:pPr>
              <w:pStyle w:val="TableParagraph"/>
              <w:spacing w:line="256" w:lineRule="exact"/>
              <w:ind w:left="124"/>
              <w:jc w:val="center"/>
              <w:rPr>
                <w:sz w:val="24"/>
              </w:rPr>
            </w:pPr>
            <w:r>
              <w:rPr>
                <w:sz w:val="24"/>
              </w:rPr>
              <w:t>3</w:t>
            </w:r>
          </w:p>
        </w:tc>
      </w:tr>
      <w:tr>
        <w:trPr>
          <w:trHeight w:val="278" w:hRule="atLeast"/>
        </w:trPr>
        <w:tc>
          <w:tcPr>
            <w:tcW w:w="3347" w:type="dxa"/>
          </w:tcPr>
          <w:p>
            <w:pPr>
              <w:pStyle w:val="TableParagraph"/>
              <w:spacing w:line="257" w:lineRule="exact" w:before="1"/>
              <w:ind w:left="355" w:right="347"/>
              <w:jc w:val="center"/>
              <w:rPr>
                <w:sz w:val="24"/>
              </w:rPr>
            </w:pPr>
            <w:r>
              <w:rPr>
                <w:sz w:val="24"/>
              </w:rPr>
              <w:t>Substanţe extractibile</w:t>
            </w:r>
          </w:p>
        </w:tc>
        <w:tc>
          <w:tcPr>
            <w:tcW w:w="1803" w:type="dxa"/>
          </w:tcPr>
          <w:p>
            <w:pPr>
              <w:pStyle w:val="TableParagraph"/>
              <w:rPr>
                <w:sz w:val="20"/>
              </w:rPr>
            </w:pPr>
          </w:p>
        </w:tc>
        <w:tc>
          <w:tcPr>
            <w:tcW w:w="1801" w:type="dxa"/>
          </w:tcPr>
          <w:p>
            <w:pPr>
              <w:pStyle w:val="TableParagraph"/>
              <w:spacing w:line="257" w:lineRule="exact" w:before="1"/>
              <w:ind w:right="592"/>
              <w:jc w:val="right"/>
              <w:rPr>
                <w:sz w:val="24"/>
              </w:rPr>
            </w:pPr>
            <w:r>
              <w:rPr>
                <w:sz w:val="24"/>
              </w:rPr>
              <w:t>138</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4" w:right="348"/>
              <w:jc w:val="center"/>
              <w:rPr>
                <w:sz w:val="24"/>
              </w:rPr>
            </w:pPr>
            <w:r>
              <w:rPr>
                <w:sz w:val="24"/>
              </w:rPr>
              <w:t>Clor rezidual liber</w:t>
            </w:r>
          </w:p>
        </w:tc>
        <w:tc>
          <w:tcPr>
            <w:tcW w:w="1803" w:type="dxa"/>
          </w:tcPr>
          <w:p>
            <w:pPr>
              <w:pStyle w:val="TableParagraph"/>
              <w:rPr>
                <w:sz w:val="20"/>
              </w:rPr>
            </w:pPr>
          </w:p>
        </w:tc>
        <w:tc>
          <w:tcPr>
            <w:tcW w:w="1801" w:type="dxa"/>
          </w:tcPr>
          <w:p>
            <w:pPr>
              <w:pStyle w:val="TableParagraph"/>
              <w:spacing w:line="256" w:lineRule="exact"/>
              <w:ind w:right="592"/>
              <w:jc w:val="right"/>
              <w:rPr>
                <w:sz w:val="24"/>
              </w:rPr>
            </w:pPr>
            <w:r>
              <w:rPr>
                <w:sz w:val="24"/>
              </w:rPr>
              <w:t>104</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2" w:right="348"/>
              <w:jc w:val="center"/>
              <w:rPr>
                <w:sz w:val="24"/>
              </w:rPr>
            </w:pPr>
            <w:r>
              <w:rPr>
                <w:sz w:val="24"/>
              </w:rPr>
              <w:t>Zinc</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45</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4" w:right="348"/>
              <w:jc w:val="center"/>
              <w:rPr>
                <w:sz w:val="24"/>
              </w:rPr>
            </w:pPr>
            <w:r>
              <w:rPr>
                <w:sz w:val="24"/>
              </w:rPr>
              <w:t>Cadmiu</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57</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7"/>
              <w:jc w:val="center"/>
              <w:rPr>
                <w:sz w:val="24"/>
              </w:rPr>
            </w:pPr>
            <w:r>
              <w:rPr>
                <w:sz w:val="24"/>
              </w:rPr>
              <w:t>Crom</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73</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1" w:right="348"/>
              <w:jc w:val="center"/>
              <w:rPr>
                <w:sz w:val="24"/>
              </w:rPr>
            </w:pPr>
            <w:r>
              <w:rPr>
                <w:sz w:val="24"/>
              </w:rPr>
              <w:t>Nichel</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70</w:t>
            </w:r>
          </w:p>
        </w:tc>
        <w:tc>
          <w:tcPr>
            <w:tcW w:w="2562" w:type="dxa"/>
          </w:tcPr>
          <w:p>
            <w:pPr>
              <w:pStyle w:val="TableParagraph"/>
              <w:rPr>
                <w:sz w:val="20"/>
              </w:rPr>
            </w:pPr>
          </w:p>
        </w:tc>
      </w:tr>
      <w:tr>
        <w:trPr>
          <w:trHeight w:val="277" w:hRule="atLeast"/>
        </w:trPr>
        <w:tc>
          <w:tcPr>
            <w:tcW w:w="3347" w:type="dxa"/>
          </w:tcPr>
          <w:p>
            <w:pPr>
              <w:pStyle w:val="TableParagraph"/>
              <w:spacing w:line="257" w:lineRule="exact" w:before="1"/>
              <w:ind w:left="355" w:right="347"/>
              <w:jc w:val="center"/>
              <w:rPr>
                <w:sz w:val="24"/>
              </w:rPr>
            </w:pPr>
            <w:r>
              <w:rPr>
                <w:sz w:val="24"/>
              </w:rPr>
              <w:t>Plumb</w:t>
            </w:r>
          </w:p>
        </w:tc>
        <w:tc>
          <w:tcPr>
            <w:tcW w:w="1803" w:type="dxa"/>
          </w:tcPr>
          <w:p>
            <w:pPr>
              <w:pStyle w:val="TableParagraph"/>
              <w:rPr>
                <w:sz w:val="20"/>
              </w:rPr>
            </w:pPr>
          </w:p>
        </w:tc>
        <w:tc>
          <w:tcPr>
            <w:tcW w:w="1801" w:type="dxa"/>
          </w:tcPr>
          <w:p>
            <w:pPr>
              <w:pStyle w:val="TableParagraph"/>
              <w:spacing w:line="257" w:lineRule="exact" w:before="1"/>
              <w:ind w:left="696" w:right="511"/>
              <w:jc w:val="center"/>
              <w:rPr>
                <w:sz w:val="24"/>
              </w:rPr>
            </w:pPr>
            <w:r>
              <w:rPr>
                <w:sz w:val="24"/>
              </w:rPr>
              <w:t>88</w:t>
            </w:r>
          </w:p>
        </w:tc>
        <w:tc>
          <w:tcPr>
            <w:tcW w:w="2562" w:type="dxa"/>
          </w:tcPr>
          <w:p>
            <w:pPr>
              <w:pStyle w:val="TableParagraph"/>
              <w:rPr>
                <w:sz w:val="20"/>
              </w:rPr>
            </w:pPr>
          </w:p>
        </w:tc>
      </w:tr>
      <w:tr>
        <w:trPr>
          <w:trHeight w:val="276" w:hRule="atLeast"/>
        </w:trPr>
        <w:tc>
          <w:tcPr>
            <w:tcW w:w="3347" w:type="dxa"/>
          </w:tcPr>
          <w:p>
            <w:pPr>
              <w:pStyle w:val="TableParagraph"/>
              <w:spacing w:line="256" w:lineRule="exact"/>
              <w:ind w:left="355" w:right="346"/>
              <w:jc w:val="center"/>
              <w:rPr>
                <w:sz w:val="24"/>
              </w:rPr>
            </w:pPr>
            <w:r>
              <w:rPr>
                <w:sz w:val="24"/>
              </w:rPr>
              <w:t>Cupru</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60</w:t>
            </w:r>
          </w:p>
        </w:tc>
        <w:tc>
          <w:tcPr>
            <w:tcW w:w="2562" w:type="dxa"/>
          </w:tcPr>
          <w:p>
            <w:pPr>
              <w:pStyle w:val="TableParagraph"/>
              <w:rPr>
                <w:sz w:val="20"/>
              </w:rPr>
            </w:pPr>
          </w:p>
        </w:tc>
      </w:tr>
    </w:tbl>
    <w:p>
      <w:pPr>
        <w:spacing w:after="0"/>
        <w:rPr>
          <w:sz w:val="20"/>
        </w:rPr>
        <w:sectPr>
          <w:pgSz w:w="11910" w:h="16840"/>
          <w:pgMar w:header="0" w:footer="738" w:top="1420" w:bottom="920" w:left="900" w:right="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7"/>
        <w:gridCol w:w="1803"/>
        <w:gridCol w:w="1801"/>
        <w:gridCol w:w="2562"/>
      </w:tblGrid>
      <w:tr>
        <w:trPr>
          <w:trHeight w:val="276" w:hRule="atLeast"/>
        </w:trPr>
        <w:tc>
          <w:tcPr>
            <w:tcW w:w="3347" w:type="dxa"/>
          </w:tcPr>
          <w:p>
            <w:pPr>
              <w:pStyle w:val="TableParagraph"/>
              <w:spacing w:line="256" w:lineRule="exact"/>
              <w:ind w:left="355" w:right="348"/>
              <w:jc w:val="center"/>
              <w:rPr>
                <w:sz w:val="24"/>
              </w:rPr>
            </w:pPr>
            <w:r>
              <w:rPr>
                <w:sz w:val="24"/>
              </w:rPr>
              <w:t>Mercur</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25</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5"/>
              <w:jc w:val="center"/>
              <w:rPr>
                <w:sz w:val="24"/>
              </w:rPr>
            </w:pPr>
            <w:r>
              <w:rPr>
                <w:sz w:val="24"/>
              </w:rPr>
              <w:t>Azotaţi</w:t>
            </w:r>
          </w:p>
        </w:tc>
        <w:tc>
          <w:tcPr>
            <w:tcW w:w="1803" w:type="dxa"/>
          </w:tcPr>
          <w:p>
            <w:pPr>
              <w:pStyle w:val="TableParagraph"/>
              <w:rPr>
                <w:sz w:val="20"/>
              </w:rPr>
            </w:pPr>
          </w:p>
        </w:tc>
        <w:tc>
          <w:tcPr>
            <w:tcW w:w="1801" w:type="dxa"/>
          </w:tcPr>
          <w:p>
            <w:pPr>
              <w:pStyle w:val="TableParagraph"/>
              <w:spacing w:line="256" w:lineRule="exact"/>
              <w:ind w:left="122"/>
              <w:jc w:val="center"/>
              <w:rPr>
                <w:sz w:val="24"/>
              </w:rPr>
            </w:pPr>
            <w:r>
              <w:rPr>
                <w:sz w:val="24"/>
              </w:rPr>
              <w:t>9</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3" w:right="348"/>
              <w:jc w:val="center"/>
              <w:rPr>
                <w:sz w:val="24"/>
              </w:rPr>
            </w:pPr>
            <w:r>
              <w:rPr>
                <w:sz w:val="24"/>
              </w:rPr>
              <w:t>Fosfor total</w:t>
            </w:r>
          </w:p>
        </w:tc>
        <w:tc>
          <w:tcPr>
            <w:tcW w:w="1803" w:type="dxa"/>
          </w:tcPr>
          <w:p>
            <w:pPr>
              <w:pStyle w:val="TableParagraph"/>
              <w:rPr>
                <w:sz w:val="20"/>
              </w:rPr>
            </w:pPr>
          </w:p>
        </w:tc>
        <w:tc>
          <w:tcPr>
            <w:tcW w:w="1801" w:type="dxa"/>
          </w:tcPr>
          <w:p>
            <w:pPr>
              <w:pStyle w:val="TableParagraph"/>
              <w:spacing w:line="256" w:lineRule="exact"/>
              <w:ind w:left="696" w:right="511"/>
              <w:jc w:val="center"/>
              <w:rPr>
                <w:sz w:val="24"/>
              </w:rPr>
            </w:pPr>
            <w:r>
              <w:rPr>
                <w:sz w:val="24"/>
              </w:rPr>
              <w:t>35</w:t>
            </w:r>
          </w:p>
        </w:tc>
        <w:tc>
          <w:tcPr>
            <w:tcW w:w="2562" w:type="dxa"/>
          </w:tcPr>
          <w:p>
            <w:pPr>
              <w:pStyle w:val="TableParagraph"/>
              <w:rPr>
                <w:sz w:val="20"/>
              </w:rPr>
            </w:pPr>
          </w:p>
        </w:tc>
      </w:tr>
      <w:tr>
        <w:trPr>
          <w:trHeight w:val="278" w:hRule="atLeast"/>
        </w:trPr>
        <w:tc>
          <w:tcPr>
            <w:tcW w:w="3347" w:type="dxa"/>
          </w:tcPr>
          <w:p>
            <w:pPr>
              <w:pStyle w:val="TableParagraph"/>
              <w:spacing w:line="257" w:lineRule="exact" w:before="1"/>
              <w:ind w:left="355" w:right="346"/>
              <w:jc w:val="center"/>
              <w:rPr>
                <w:sz w:val="24"/>
              </w:rPr>
            </w:pPr>
            <w:r>
              <w:rPr>
                <w:sz w:val="24"/>
              </w:rPr>
              <w:t>Azotiţi</w:t>
            </w:r>
          </w:p>
        </w:tc>
        <w:tc>
          <w:tcPr>
            <w:tcW w:w="1803" w:type="dxa"/>
          </w:tcPr>
          <w:p>
            <w:pPr>
              <w:pStyle w:val="TableParagraph"/>
              <w:rPr>
                <w:sz w:val="20"/>
              </w:rPr>
            </w:pPr>
          </w:p>
        </w:tc>
        <w:tc>
          <w:tcPr>
            <w:tcW w:w="1801" w:type="dxa"/>
          </w:tcPr>
          <w:p>
            <w:pPr>
              <w:pStyle w:val="TableParagraph"/>
              <w:spacing w:line="257" w:lineRule="exact" w:before="1"/>
              <w:ind w:left="122"/>
              <w:jc w:val="center"/>
              <w:rPr>
                <w:sz w:val="24"/>
              </w:rPr>
            </w:pPr>
            <w:r>
              <w:rPr>
                <w:sz w:val="24"/>
              </w:rPr>
              <w:t>2</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7"/>
              <w:jc w:val="center"/>
              <w:rPr>
                <w:sz w:val="24"/>
              </w:rPr>
            </w:pPr>
            <w:r>
              <w:rPr>
                <w:sz w:val="24"/>
              </w:rPr>
              <w:t>Azot total</w:t>
            </w:r>
          </w:p>
        </w:tc>
        <w:tc>
          <w:tcPr>
            <w:tcW w:w="1803" w:type="dxa"/>
          </w:tcPr>
          <w:p>
            <w:pPr>
              <w:pStyle w:val="TableParagraph"/>
              <w:rPr>
                <w:sz w:val="20"/>
              </w:rPr>
            </w:pPr>
          </w:p>
        </w:tc>
        <w:tc>
          <w:tcPr>
            <w:tcW w:w="1801" w:type="dxa"/>
          </w:tcPr>
          <w:p>
            <w:pPr>
              <w:pStyle w:val="TableParagraph"/>
              <w:spacing w:line="256" w:lineRule="exact"/>
              <w:ind w:left="122"/>
              <w:jc w:val="center"/>
              <w:rPr>
                <w:sz w:val="24"/>
              </w:rPr>
            </w:pPr>
            <w:r>
              <w:rPr>
                <w:sz w:val="24"/>
              </w:rPr>
              <w:t>8</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7"/>
              <w:jc w:val="center"/>
              <w:rPr>
                <w:sz w:val="24"/>
              </w:rPr>
            </w:pPr>
            <w:r>
              <w:rPr>
                <w:sz w:val="24"/>
              </w:rPr>
              <w:t>Cianuri</w:t>
            </w:r>
          </w:p>
        </w:tc>
        <w:tc>
          <w:tcPr>
            <w:tcW w:w="1803" w:type="dxa"/>
          </w:tcPr>
          <w:p>
            <w:pPr>
              <w:pStyle w:val="TableParagraph"/>
              <w:rPr>
                <w:sz w:val="20"/>
              </w:rPr>
            </w:pPr>
          </w:p>
        </w:tc>
        <w:tc>
          <w:tcPr>
            <w:tcW w:w="1801" w:type="dxa"/>
          </w:tcPr>
          <w:p>
            <w:pPr>
              <w:pStyle w:val="TableParagraph"/>
              <w:spacing w:line="256" w:lineRule="exact"/>
              <w:ind w:left="696" w:right="574"/>
              <w:jc w:val="center"/>
              <w:rPr>
                <w:sz w:val="24"/>
              </w:rPr>
            </w:pPr>
            <w:r>
              <w:rPr>
                <w:sz w:val="24"/>
              </w:rPr>
              <w:t>34</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3" w:right="348"/>
              <w:jc w:val="center"/>
              <w:rPr>
                <w:sz w:val="24"/>
              </w:rPr>
            </w:pPr>
            <w:r>
              <w:rPr>
                <w:sz w:val="24"/>
              </w:rPr>
              <w:t>Sulfaţi</w:t>
            </w:r>
          </w:p>
        </w:tc>
        <w:tc>
          <w:tcPr>
            <w:tcW w:w="1803" w:type="dxa"/>
          </w:tcPr>
          <w:p>
            <w:pPr>
              <w:pStyle w:val="TableParagraph"/>
              <w:rPr>
                <w:sz w:val="20"/>
              </w:rPr>
            </w:pPr>
          </w:p>
        </w:tc>
        <w:tc>
          <w:tcPr>
            <w:tcW w:w="1801" w:type="dxa"/>
          </w:tcPr>
          <w:p>
            <w:pPr>
              <w:pStyle w:val="TableParagraph"/>
              <w:spacing w:line="256" w:lineRule="exact"/>
              <w:ind w:left="696" w:right="574"/>
              <w:jc w:val="center"/>
              <w:rPr>
                <w:sz w:val="24"/>
              </w:rPr>
            </w:pPr>
            <w:r>
              <w:rPr>
                <w:sz w:val="24"/>
              </w:rPr>
              <w:t>33</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4" w:right="348"/>
              <w:jc w:val="center"/>
              <w:rPr>
                <w:sz w:val="24"/>
              </w:rPr>
            </w:pPr>
            <w:r>
              <w:rPr>
                <w:sz w:val="24"/>
              </w:rPr>
              <w:t>Mangan</w:t>
            </w:r>
          </w:p>
        </w:tc>
        <w:tc>
          <w:tcPr>
            <w:tcW w:w="1803" w:type="dxa"/>
          </w:tcPr>
          <w:p>
            <w:pPr>
              <w:pStyle w:val="TableParagraph"/>
              <w:rPr>
                <w:sz w:val="20"/>
              </w:rPr>
            </w:pPr>
          </w:p>
        </w:tc>
        <w:tc>
          <w:tcPr>
            <w:tcW w:w="1801" w:type="dxa"/>
          </w:tcPr>
          <w:p>
            <w:pPr>
              <w:pStyle w:val="TableParagraph"/>
              <w:spacing w:line="256" w:lineRule="exact"/>
              <w:ind w:left="696" w:right="574"/>
              <w:jc w:val="center"/>
              <w:rPr>
                <w:sz w:val="24"/>
              </w:rPr>
            </w:pPr>
            <w:r>
              <w:rPr>
                <w:sz w:val="24"/>
              </w:rPr>
              <w:t>11</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4" w:right="348"/>
              <w:jc w:val="center"/>
              <w:rPr>
                <w:sz w:val="24"/>
              </w:rPr>
            </w:pPr>
            <w:r>
              <w:rPr>
                <w:sz w:val="24"/>
              </w:rPr>
              <w:t>Reziduu fix</w:t>
            </w:r>
          </w:p>
        </w:tc>
        <w:tc>
          <w:tcPr>
            <w:tcW w:w="1803" w:type="dxa"/>
          </w:tcPr>
          <w:p>
            <w:pPr>
              <w:pStyle w:val="TableParagraph"/>
              <w:rPr>
                <w:sz w:val="20"/>
              </w:rPr>
            </w:pPr>
          </w:p>
        </w:tc>
        <w:tc>
          <w:tcPr>
            <w:tcW w:w="1801" w:type="dxa"/>
          </w:tcPr>
          <w:p>
            <w:pPr>
              <w:pStyle w:val="TableParagraph"/>
              <w:spacing w:line="256" w:lineRule="exact"/>
              <w:ind w:left="122"/>
              <w:jc w:val="center"/>
              <w:rPr>
                <w:sz w:val="24"/>
              </w:rPr>
            </w:pPr>
            <w:r>
              <w:rPr>
                <w:sz w:val="24"/>
              </w:rPr>
              <w:t>5</w:t>
            </w:r>
          </w:p>
        </w:tc>
        <w:tc>
          <w:tcPr>
            <w:tcW w:w="2562" w:type="dxa"/>
          </w:tcPr>
          <w:p>
            <w:pPr>
              <w:pStyle w:val="TableParagraph"/>
              <w:rPr>
                <w:sz w:val="20"/>
              </w:rPr>
            </w:pPr>
          </w:p>
        </w:tc>
      </w:tr>
      <w:tr>
        <w:trPr>
          <w:trHeight w:val="277" w:hRule="atLeast"/>
        </w:trPr>
        <w:tc>
          <w:tcPr>
            <w:tcW w:w="3347" w:type="dxa"/>
          </w:tcPr>
          <w:p>
            <w:pPr>
              <w:pStyle w:val="TableParagraph"/>
              <w:spacing w:line="257" w:lineRule="exact" w:before="1"/>
              <w:ind w:left="353" w:right="348"/>
              <w:jc w:val="center"/>
              <w:rPr>
                <w:sz w:val="24"/>
              </w:rPr>
            </w:pPr>
            <w:r>
              <w:rPr>
                <w:sz w:val="24"/>
              </w:rPr>
              <w:t>Fosfaţi</w:t>
            </w:r>
          </w:p>
        </w:tc>
        <w:tc>
          <w:tcPr>
            <w:tcW w:w="1803" w:type="dxa"/>
          </w:tcPr>
          <w:p>
            <w:pPr>
              <w:pStyle w:val="TableParagraph"/>
              <w:rPr>
                <w:sz w:val="20"/>
              </w:rPr>
            </w:pPr>
          </w:p>
        </w:tc>
        <w:tc>
          <w:tcPr>
            <w:tcW w:w="1801" w:type="dxa"/>
          </w:tcPr>
          <w:p>
            <w:pPr>
              <w:pStyle w:val="TableParagraph"/>
              <w:spacing w:line="257" w:lineRule="exact" w:before="1"/>
              <w:ind w:left="696" w:right="574"/>
              <w:jc w:val="center"/>
              <w:rPr>
                <w:sz w:val="24"/>
              </w:rPr>
            </w:pPr>
            <w:r>
              <w:rPr>
                <w:sz w:val="24"/>
              </w:rPr>
              <w:t>10</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4" w:right="348"/>
              <w:jc w:val="center"/>
              <w:rPr>
                <w:sz w:val="24"/>
              </w:rPr>
            </w:pPr>
            <w:r>
              <w:rPr>
                <w:sz w:val="24"/>
              </w:rPr>
              <w:t>Fenol</w:t>
            </w:r>
          </w:p>
        </w:tc>
        <w:tc>
          <w:tcPr>
            <w:tcW w:w="1803" w:type="dxa"/>
          </w:tcPr>
          <w:p>
            <w:pPr>
              <w:pStyle w:val="TableParagraph"/>
              <w:rPr>
                <w:sz w:val="20"/>
              </w:rPr>
            </w:pPr>
          </w:p>
        </w:tc>
        <w:tc>
          <w:tcPr>
            <w:tcW w:w="1801" w:type="dxa"/>
          </w:tcPr>
          <w:p>
            <w:pPr>
              <w:pStyle w:val="TableParagraph"/>
              <w:spacing w:line="256" w:lineRule="exact"/>
              <w:ind w:left="696" w:right="574"/>
              <w:jc w:val="center"/>
              <w:rPr>
                <w:sz w:val="24"/>
              </w:rPr>
            </w:pPr>
            <w:r>
              <w:rPr>
                <w:sz w:val="24"/>
              </w:rPr>
              <w:t>15</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6"/>
              <w:jc w:val="center"/>
              <w:rPr>
                <w:sz w:val="24"/>
              </w:rPr>
            </w:pPr>
            <w:r>
              <w:rPr>
                <w:sz w:val="24"/>
              </w:rPr>
              <w:t>Turbiditate</w:t>
            </w:r>
          </w:p>
        </w:tc>
        <w:tc>
          <w:tcPr>
            <w:tcW w:w="1803" w:type="dxa"/>
          </w:tcPr>
          <w:p>
            <w:pPr>
              <w:pStyle w:val="TableParagraph"/>
              <w:rPr>
                <w:sz w:val="20"/>
              </w:rPr>
            </w:pPr>
          </w:p>
        </w:tc>
        <w:tc>
          <w:tcPr>
            <w:tcW w:w="1801" w:type="dxa"/>
          </w:tcPr>
          <w:p>
            <w:pPr>
              <w:pStyle w:val="TableParagraph"/>
              <w:spacing w:line="256" w:lineRule="exact"/>
              <w:ind w:left="122"/>
              <w:jc w:val="center"/>
              <w:rPr>
                <w:sz w:val="24"/>
              </w:rPr>
            </w:pPr>
            <w:r>
              <w:rPr>
                <w:sz w:val="24"/>
              </w:rPr>
              <w:t>5</w:t>
            </w:r>
          </w:p>
        </w:tc>
        <w:tc>
          <w:tcPr>
            <w:tcW w:w="2562" w:type="dxa"/>
          </w:tcPr>
          <w:p>
            <w:pPr>
              <w:pStyle w:val="TableParagraph"/>
              <w:rPr>
                <w:sz w:val="20"/>
              </w:rPr>
            </w:pPr>
          </w:p>
        </w:tc>
      </w:tr>
      <w:tr>
        <w:trPr>
          <w:trHeight w:val="275" w:hRule="atLeast"/>
        </w:trPr>
        <w:tc>
          <w:tcPr>
            <w:tcW w:w="3347" w:type="dxa"/>
          </w:tcPr>
          <w:p>
            <w:pPr>
              <w:pStyle w:val="TableParagraph"/>
              <w:spacing w:line="256" w:lineRule="exact"/>
              <w:ind w:left="355" w:right="347"/>
              <w:jc w:val="center"/>
              <w:rPr>
                <w:sz w:val="24"/>
              </w:rPr>
            </w:pPr>
            <w:r>
              <w:rPr>
                <w:sz w:val="24"/>
              </w:rPr>
              <w:t>TOTAL</w:t>
            </w:r>
          </w:p>
        </w:tc>
        <w:tc>
          <w:tcPr>
            <w:tcW w:w="1803" w:type="dxa"/>
          </w:tcPr>
          <w:p>
            <w:pPr>
              <w:pStyle w:val="TableParagraph"/>
              <w:spacing w:line="256" w:lineRule="exact"/>
              <w:ind w:left="759" w:right="634"/>
              <w:jc w:val="center"/>
              <w:rPr>
                <w:sz w:val="24"/>
              </w:rPr>
            </w:pPr>
            <w:r>
              <w:rPr>
                <w:sz w:val="24"/>
              </w:rPr>
              <w:t>279</w:t>
            </w:r>
          </w:p>
        </w:tc>
        <w:tc>
          <w:tcPr>
            <w:tcW w:w="1801" w:type="dxa"/>
          </w:tcPr>
          <w:p>
            <w:pPr>
              <w:pStyle w:val="TableParagraph"/>
              <w:spacing w:line="256" w:lineRule="exact"/>
              <w:ind w:left="696" w:right="574"/>
              <w:jc w:val="center"/>
              <w:rPr>
                <w:sz w:val="24"/>
              </w:rPr>
            </w:pPr>
            <w:r>
              <w:rPr>
                <w:sz w:val="24"/>
              </w:rPr>
              <w:t>2515</w:t>
            </w:r>
          </w:p>
        </w:tc>
        <w:tc>
          <w:tcPr>
            <w:tcW w:w="2562" w:type="dxa"/>
          </w:tcPr>
          <w:p>
            <w:pPr>
              <w:pStyle w:val="TableParagraph"/>
              <w:spacing w:line="256" w:lineRule="exact"/>
              <w:ind w:left="1138" w:right="1014"/>
              <w:jc w:val="center"/>
              <w:rPr>
                <w:sz w:val="24"/>
              </w:rPr>
            </w:pPr>
            <w:r>
              <w:rPr>
                <w:sz w:val="24"/>
              </w:rPr>
              <w:t>152</w:t>
            </w:r>
          </w:p>
        </w:tc>
      </w:tr>
    </w:tbl>
    <w:p>
      <w:pPr>
        <w:pStyle w:val="BodyText"/>
        <w:spacing w:before="1"/>
        <w:ind w:left="0"/>
        <w:rPr>
          <w:sz w:val="16"/>
        </w:rPr>
      </w:pPr>
    </w:p>
    <w:p>
      <w:pPr>
        <w:spacing w:before="90"/>
        <w:ind w:left="233" w:right="4278" w:firstLine="0"/>
        <w:jc w:val="left"/>
        <w:rPr>
          <w:sz w:val="24"/>
        </w:rPr>
      </w:pPr>
      <w:r>
        <w:rPr>
          <w:b/>
          <w:sz w:val="24"/>
        </w:rPr>
        <w:t>Determinări indicatori chimici </w:t>
      </w:r>
      <w:r>
        <w:rPr>
          <w:sz w:val="24"/>
        </w:rPr>
        <w:t>probe aer exterior ( imisii). Unităti: 8</w:t>
      </w:r>
    </w:p>
    <w:p>
      <w:pPr>
        <w:pStyle w:val="BodyText"/>
        <w:ind w:left="233"/>
      </w:pPr>
      <w:r>
        <w:rPr/>
        <w:t>Nr.probe:128 cu 128 determinări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8"/>
        <w:gridCol w:w="2084"/>
        <w:gridCol w:w="2468"/>
        <w:gridCol w:w="2281"/>
      </w:tblGrid>
      <w:tr>
        <w:trPr>
          <w:trHeight w:val="275" w:hRule="atLeast"/>
        </w:trPr>
        <w:tc>
          <w:tcPr>
            <w:tcW w:w="2658" w:type="dxa"/>
          </w:tcPr>
          <w:p>
            <w:pPr>
              <w:pStyle w:val="TableParagraph"/>
              <w:spacing w:line="256" w:lineRule="exact"/>
              <w:ind w:left="528"/>
              <w:rPr>
                <w:sz w:val="24"/>
              </w:rPr>
            </w:pPr>
            <w:r>
              <w:rPr>
                <w:sz w:val="24"/>
              </w:rPr>
              <w:t>Determinări</w:t>
            </w:r>
          </w:p>
        </w:tc>
        <w:tc>
          <w:tcPr>
            <w:tcW w:w="2084" w:type="dxa"/>
          </w:tcPr>
          <w:p>
            <w:pPr>
              <w:pStyle w:val="TableParagraph"/>
              <w:spacing w:line="256" w:lineRule="exact"/>
              <w:ind w:left="148" w:right="140"/>
              <w:jc w:val="center"/>
              <w:rPr>
                <w:sz w:val="24"/>
              </w:rPr>
            </w:pPr>
            <w:r>
              <w:rPr>
                <w:sz w:val="24"/>
              </w:rPr>
              <w:t>Nr.probe recoltate</w:t>
            </w:r>
          </w:p>
        </w:tc>
        <w:tc>
          <w:tcPr>
            <w:tcW w:w="2468" w:type="dxa"/>
          </w:tcPr>
          <w:p>
            <w:pPr>
              <w:pStyle w:val="TableParagraph"/>
              <w:spacing w:line="256" w:lineRule="exact"/>
              <w:ind w:left="501" w:right="497"/>
              <w:jc w:val="center"/>
              <w:rPr>
                <w:sz w:val="24"/>
              </w:rPr>
            </w:pPr>
            <w:r>
              <w:rPr>
                <w:sz w:val="24"/>
              </w:rPr>
              <w:t>Nr.determinari</w:t>
            </w:r>
          </w:p>
        </w:tc>
        <w:tc>
          <w:tcPr>
            <w:tcW w:w="2281" w:type="dxa"/>
          </w:tcPr>
          <w:p>
            <w:pPr>
              <w:pStyle w:val="TableParagraph"/>
              <w:spacing w:line="256" w:lineRule="exact"/>
              <w:ind w:left="579" w:right="578"/>
              <w:jc w:val="center"/>
              <w:rPr>
                <w:sz w:val="24"/>
              </w:rPr>
            </w:pPr>
            <w:r>
              <w:rPr>
                <w:sz w:val="24"/>
              </w:rPr>
              <w:t>Nr.depasiri</w:t>
            </w:r>
          </w:p>
        </w:tc>
      </w:tr>
      <w:tr>
        <w:trPr>
          <w:trHeight w:val="275" w:hRule="atLeast"/>
        </w:trPr>
        <w:tc>
          <w:tcPr>
            <w:tcW w:w="2658" w:type="dxa"/>
          </w:tcPr>
          <w:p>
            <w:pPr>
              <w:pStyle w:val="TableParagraph"/>
              <w:spacing w:line="256" w:lineRule="exact"/>
              <w:ind w:left="108"/>
              <w:rPr>
                <w:sz w:val="24"/>
              </w:rPr>
            </w:pPr>
            <w:r>
              <w:rPr>
                <w:sz w:val="24"/>
              </w:rPr>
              <w:t>Pulberi în suspensie</w:t>
            </w:r>
          </w:p>
        </w:tc>
        <w:tc>
          <w:tcPr>
            <w:tcW w:w="2084" w:type="dxa"/>
          </w:tcPr>
          <w:p>
            <w:pPr>
              <w:pStyle w:val="TableParagraph"/>
              <w:spacing w:line="256" w:lineRule="exact"/>
              <w:ind w:left="148" w:right="135"/>
              <w:jc w:val="center"/>
              <w:rPr>
                <w:sz w:val="24"/>
              </w:rPr>
            </w:pPr>
            <w:r>
              <w:rPr>
                <w:sz w:val="24"/>
              </w:rPr>
              <w:t>28</w:t>
            </w:r>
          </w:p>
        </w:tc>
        <w:tc>
          <w:tcPr>
            <w:tcW w:w="2468" w:type="dxa"/>
          </w:tcPr>
          <w:p>
            <w:pPr>
              <w:pStyle w:val="TableParagraph"/>
              <w:spacing w:line="256" w:lineRule="exact"/>
              <w:ind w:left="501" w:right="494"/>
              <w:jc w:val="center"/>
              <w:rPr>
                <w:sz w:val="24"/>
              </w:rPr>
            </w:pPr>
            <w:r>
              <w:rPr>
                <w:sz w:val="24"/>
              </w:rPr>
              <w:t>28</w:t>
            </w:r>
          </w:p>
        </w:tc>
        <w:tc>
          <w:tcPr>
            <w:tcW w:w="2281" w:type="dxa"/>
          </w:tcPr>
          <w:p>
            <w:pPr>
              <w:pStyle w:val="TableParagraph"/>
              <w:spacing w:line="256" w:lineRule="exact"/>
              <w:ind w:left="5"/>
              <w:jc w:val="center"/>
              <w:rPr>
                <w:sz w:val="24"/>
              </w:rPr>
            </w:pPr>
            <w:r>
              <w:rPr>
                <w:w w:val="99"/>
                <w:sz w:val="24"/>
              </w:rPr>
              <w:t>-</w:t>
            </w:r>
          </w:p>
        </w:tc>
      </w:tr>
      <w:tr>
        <w:trPr>
          <w:trHeight w:val="277" w:hRule="atLeast"/>
        </w:trPr>
        <w:tc>
          <w:tcPr>
            <w:tcW w:w="2658" w:type="dxa"/>
          </w:tcPr>
          <w:p>
            <w:pPr>
              <w:pStyle w:val="TableParagraph"/>
              <w:spacing w:line="257" w:lineRule="exact" w:before="1"/>
              <w:ind w:left="108"/>
              <w:rPr>
                <w:sz w:val="24"/>
              </w:rPr>
            </w:pPr>
            <w:r>
              <w:rPr>
                <w:sz w:val="24"/>
              </w:rPr>
              <w:t>Dioxid de sulf</w:t>
            </w:r>
          </w:p>
        </w:tc>
        <w:tc>
          <w:tcPr>
            <w:tcW w:w="2084" w:type="dxa"/>
          </w:tcPr>
          <w:p>
            <w:pPr>
              <w:pStyle w:val="TableParagraph"/>
              <w:spacing w:line="257" w:lineRule="exact" w:before="1"/>
              <w:ind w:left="148" w:right="135"/>
              <w:jc w:val="center"/>
              <w:rPr>
                <w:sz w:val="24"/>
              </w:rPr>
            </w:pPr>
            <w:r>
              <w:rPr>
                <w:sz w:val="24"/>
              </w:rPr>
              <w:t>28</w:t>
            </w:r>
          </w:p>
        </w:tc>
        <w:tc>
          <w:tcPr>
            <w:tcW w:w="2468" w:type="dxa"/>
          </w:tcPr>
          <w:p>
            <w:pPr>
              <w:pStyle w:val="TableParagraph"/>
              <w:spacing w:line="257" w:lineRule="exact" w:before="1"/>
              <w:ind w:left="501" w:right="494"/>
              <w:jc w:val="center"/>
              <w:rPr>
                <w:sz w:val="24"/>
              </w:rPr>
            </w:pPr>
            <w:r>
              <w:rPr>
                <w:sz w:val="24"/>
              </w:rPr>
              <w:t>28</w:t>
            </w:r>
          </w:p>
        </w:tc>
        <w:tc>
          <w:tcPr>
            <w:tcW w:w="2281" w:type="dxa"/>
          </w:tcPr>
          <w:p>
            <w:pPr>
              <w:pStyle w:val="TableParagraph"/>
              <w:spacing w:line="257" w:lineRule="exact" w:before="1"/>
              <w:ind w:left="5"/>
              <w:jc w:val="center"/>
              <w:rPr>
                <w:sz w:val="24"/>
              </w:rPr>
            </w:pPr>
            <w:r>
              <w:rPr>
                <w:w w:val="99"/>
                <w:sz w:val="24"/>
              </w:rPr>
              <w:t>-</w:t>
            </w:r>
          </w:p>
        </w:tc>
      </w:tr>
      <w:tr>
        <w:trPr>
          <w:trHeight w:val="275" w:hRule="atLeast"/>
        </w:trPr>
        <w:tc>
          <w:tcPr>
            <w:tcW w:w="2658" w:type="dxa"/>
          </w:tcPr>
          <w:p>
            <w:pPr>
              <w:pStyle w:val="TableParagraph"/>
              <w:spacing w:line="256" w:lineRule="exact"/>
              <w:ind w:left="108"/>
              <w:rPr>
                <w:sz w:val="24"/>
              </w:rPr>
            </w:pPr>
            <w:r>
              <w:rPr>
                <w:sz w:val="24"/>
              </w:rPr>
              <w:t>Dioxid de azot</w:t>
            </w:r>
          </w:p>
        </w:tc>
        <w:tc>
          <w:tcPr>
            <w:tcW w:w="2084" w:type="dxa"/>
          </w:tcPr>
          <w:p>
            <w:pPr>
              <w:pStyle w:val="TableParagraph"/>
              <w:spacing w:line="256" w:lineRule="exact"/>
              <w:ind w:left="148" w:right="135"/>
              <w:jc w:val="center"/>
              <w:rPr>
                <w:sz w:val="24"/>
              </w:rPr>
            </w:pPr>
            <w:r>
              <w:rPr>
                <w:sz w:val="24"/>
              </w:rPr>
              <w:t>28</w:t>
            </w:r>
          </w:p>
        </w:tc>
        <w:tc>
          <w:tcPr>
            <w:tcW w:w="2468" w:type="dxa"/>
          </w:tcPr>
          <w:p>
            <w:pPr>
              <w:pStyle w:val="TableParagraph"/>
              <w:spacing w:line="256" w:lineRule="exact"/>
              <w:ind w:left="501" w:right="494"/>
              <w:jc w:val="center"/>
              <w:rPr>
                <w:sz w:val="24"/>
              </w:rPr>
            </w:pPr>
            <w:r>
              <w:rPr>
                <w:sz w:val="24"/>
              </w:rPr>
              <w:t>28</w:t>
            </w:r>
          </w:p>
        </w:tc>
        <w:tc>
          <w:tcPr>
            <w:tcW w:w="2281" w:type="dxa"/>
          </w:tcPr>
          <w:p>
            <w:pPr>
              <w:pStyle w:val="TableParagraph"/>
              <w:spacing w:line="256" w:lineRule="exact"/>
              <w:ind w:left="5"/>
              <w:jc w:val="center"/>
              <w:rPr>
                <w:sz w:val="24"/>
              </w:rPr>
            </w:pPr>
            <w:r>
              <w:rPr>
                <w:w w:val="99"/>
                <w:sz w:val="24"/>
              </w:rPr>
              <w:t>-</w:t>
            </w:r>
          </w:p>
        </w:tc>
      </w:tr>
      <w:tr>
        <w:trPr>
          <w:trHeight w:val="275" w:hRule="atLeast"/>
        </w:trPr>
        <w:tc>
          <w:tcPr>
            <w:tcW w:w="2658" w:type="dxa"/>
          </w:tcPr>
          <w:p>
            <w:pPr>
              <w:pStyle w:val="TableParagraph"/>
              <w:spacing w:line="256" w:lineRule="exact"/>
              <w:ind w:left="108"/>
              <w:rPr>
                <w:sz w:val="24"/>
              </w:rPr>
            </w:pPr>
            <w:r>
              <w:rPr>
                <w:sz w:val="24"/>
              </w:rPr>
              <w:t>Monoxid de carbon</w:t>
            </w:r>
          </w:p>
        </w:tc>
        <w:tc>
          <w:tcPr>
            <w:tcW w:w="2084" w:type="dxa"/>
          </w:tcPr>
          <w:p>
            <w:pPr>
              <w:pStyle w:val="TableParagraph"/>
              <w:spacing w:line="256" w:lineRule="exact"/>
              <w:ind w:left="148" w:right="135"/>
              <w:jc w:val="center"/>
              <w:rPr>
                <w:sz w:val="24"/>
              </w:rPr>
            </w:pPr>
            <w:r>
              <w:rPr>
                <w:sz w:val="24"/>
              </w:rPr>
              <w:t>28</w:t>
            </w:r>
          </w:p>
        </w:tc>
        <w:tc>
          <w:tcPr>
            <w:tcW w:w="2468" w:type="dxa"/>
          </w:tcPr>
          <w:p>
            <w:pPr>
              <w:pStyle w:val="TableParagraph"/>
              <w:spacing w:line="256" w:lineRule="exact"/>
              <w:ind w:left="501" w:right="494"/>
              <w:jc w:val="center"/>
              <w:rPr>
                <w:sz w:val="24"/>
              </w:rPr>
            </w:pPr>
            <w:r>
              <w:rPr>
                <w:sz w:val="24"/>
              </w:rPr>
              <w:t>28</w:t>
            </w:r>
          </w:p>
        </w:tc>
        <w:tc>
          <w:tcPr>
            <w:tcW w:w="2281" w:type="dxa"/>
          </w:tcPr>
          <w:p>
            <w:pPr>
              <w:pStyle w:val="TableParagraph"/>
              <w:spacing w:line="256" w:lineRule="exact"/>
              <w:ind w:left="5"/>
              <w:jc w:val="center"/>
              <w:rPr>
                <w:sz w:val="24"/>
              </w:rPr>
            </w:pPr>
            <w:r>
              <w:rPr>
                <w:w w:val="99"/>
                <w:sz w:val="24"/>
              </w:rPr>
              <w:t>-</w:t>
            </w:r>
          </w:p>
        </w:tc>
      </w:tr>
      <w:tr>
        <w:trPr>
          <w:trHeight w:val="275" w:hRule="atLeast"/>
        </w:trPr>
        <w:tc>
          <w:tcPr>
            <w:tcW w:w="2658" w:type="dxa"/>
          </w:tcPr>
          <w:p>
            <w:pPr>
              <w:pStyle w:val="TableParagraph"/>
              <w:spacing w:line="256" w:lineRule="exact"/>
              <w:ind w:left="108"/>
              <w:rPr>
                <w:sz w:val="24"/>
              </w:rPr>
            </w:pPr>
            <w:r>
              <w:rPr>
                <w:sz w:val="24"/>
              </w:rPr>
              <w:t>Amoniac</w:t>
            </w:r>
          </w:p>
        </w:tc>
        <w:tc>
          <w:tcPr>
            <w:tcW w:w="2084" w:type="dxa"/>
          </w:tcPr>
          <w:p>
            <w:pPr>
              <w:pStyle w:val="TableParagraph"/>
              <w:spacing w:line="256" w:lineRule="exact"/>
              <w:ind w:left="148" w:right="135"/>
              <w:jc w:val="center"/>
              <w:rPr>
                <w:sz w:val="24"/>
              </w:rPr>
            </w:pPr>
            <w:r>
              <w:rPr>
                <w:sz w:val="24"/>
              </w:rPr>
              <w:t>16</w:t>
            </w:r>
          </w:p>
        </w:tc>
        <w:tc>
          <w:tcPr>
            <w:tcW w:w="2468" w:type="dxa"/>
          </w:tcPr>
          <w:p>
            <w:pPr>
              <w:pStyle w:val="TableParagraph"/>
              <w:spacing w:line="256" w:lineRule="exact"/>
              <w:ind w:left="501" w:right="494"/>
              <w:jc w:val="center"/>
              <w:rPr>
                <w:sz w:val="24"/>
              </w:rPr>
            </w:pPr>
            <w:r>
              <w:rPr>
                <w:sz w:val="24"/>
              </w:rPr>
              <w:t>16</w:t>
            </w:r>
          </w:p>
        </w:tc>
        <w:tc>
          <w:tcPr>
            <w:tcW w:w="2281" w:type="dxa"/>
          </w:tcPr>
          <w:p>
            <w:pPr>
              <w:pStyle w:val="TableParagraph"/>
              <w:rPr>
                <w:sz w:val="20"/>
              </w:rPr>
            </w:pPr>
          </w:p>
        </w:tc>
      </w:tr>
      <w:tr>
        <w:trPr>
          <w:trHeight w:val="275" w:hRule="atLeast"/>
        </w:trPr>
        <w:tc>
          <w:tcPr>
            <w:tcW w:w="2658" w:type="dxa"/>
          </w:tcPr>
          <w:p>
            <w:pPr>
              <w:pStyle w:val="TableParagraph"/>
              <w:spacing w:line="256" w:lineRule="exact"/>
              <w:ind w:left="108"/>
              <w:rPr>
                <w:sz w:val="24"/>
              </w:rPr>
            </w:pPr>
            <w:r>
              <w:rPr>
                <w:sz w:val="24"/>
              </w:rPr>
              <w:t>TOTAL</w:t>
            </w:r>
          </w:p>
        </w:tc>
        <w:tc>
          <w:tcPr>
            <w:tcW w:w="2084" w:type="dxa"/>
          </w:tcPr>
          <w:p>
            <w:pPr>
              <w:pStyle w:val="TableParagraph"/>
              <w:spacing w:line="256" w:lineRule="exact"/>
              <w:ind w:left="148" w:right="135"/>
              <w:jc w:val="center"/>
              <w:rPr>
                <w:sz w:val="24"/>
              </w:rPr>
            </w:pPr>
            <w:r>
              <w:rPr>
                <w:sz w:val="24"/>
              </w:rPr>
              <w:t>128</w:t>
            </w:r>
          </w:p>
        </w:tc>
        <w:tc>
          <w:tcPr>
            <w:tcW w:w="2468" w:type="dxa"/>
          </w:tcPr>
          <w:p>
            <w:pPr>
              <w:pStyle w:val="TableParagraph"/>
              <w:spacing w:line="256" w:lineRule="exact"/>
              <w:ind w:left="501" w:right="494"/>
              <w:jc w:val="center"/>
              <w:rPr>
                <w:sz w:val="24"/>
              </w:rPr>
            </w:pPr>
            <w:r>
              <w:rPr>
                <w:sz w:val="24"/>
              </w:rPr>
              <w:t>128</w:t>
            </w:r>
          </w:p>
        </w:tc>
        <w:tc>
          <w:tcPr>
            <w:tcW w:w="2281" w:type="dxa"/>
          </w:tcPr>
          <w:p>
            <w:pPr>
              <w:pStyle w:val="TableParagraph"/>
              <w:spacing w:line="256" w:lineRule="exact"/>
              <w:ind w:left="7"/>
              <w:jc w:val="center"/>
              <w:rPr>
                <w:sz w:val="24"/>
              </w:rPr>
            </w:pPr>
            <w:r>
              <w:rPr>
                <w:sz w:val="24"/>
              </w:rPr>
              <w:t>0</w:t>
            </w:r>
          </w:p>
        </w:tc>
      </w:tr>
    </w:tbl>
    <w:p>
      <w:pPr>
        <w:pStyle w:val="BodyText"/>
        <w:spacing w:before="11"/>
        <w:ind w:left="0"/>
        <w:rPr>
          <w:sz w:val="23"/>
        </w:rPr>
      </w:pPr>
    </w:p>
    <w:p>
      <w:pPr>
        <w:spacing w:before="0"/>
        <w:ind w:left="233" w:right="0" w:firstLine="0"/>
        <w:jc w:val="left"/>
        <w:rPr>
          <w:sz w:val="24"/>
        </w:rPr>
      </w:pPr>
      <w:r>
        <w:rPr>
          <w:b/>
          <w:sz w:val="24"/>
        </w:rPr>
        <w:t>Determinari fizico-chimice </w:t>
      </w:r>
      <w:r>
        <w:rPr>
          <w:sz w:val="24"/>
        </w:rPr>
        <w:t>pentru evaluarea calităţii apei potabile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7"/>
        <w:gridCol w:w="1801"/>
        <w:gridCol w:w="2250"/>
        <w:gridCol w:w="2003"/>
      </w:tblGrid>
      <w:tr>
        <w:trPr>
          <w:trHeight w:val="553" w:hRule="atLeast"/>
        </w:trPr>
        <w:tc>
          <w:tcPr>
            <w:tcW w:w="3527" w:type="dxa"/>
          </w:tcPr>
          <w:p>
            <w:pPr>
              <w:pStyle w:val="TableParagraph"/>
              <w:spacing w:before="1"/>
              <w:ind w:left="108"/>
              <w:rPr>
                <w:sz w:val="24"/>
              </w:rPr>
            </w:pPr>
            <w:r>
              <w:rPr>
                <w:sz w:val="24"/>
              </w:rPr>
              <w:t>Sursa Apa Nova</w:t>
            </w:r>
          </w:p>
        </w:tc>
        <w:tc>
          <w:tcPr>
            <w:tcW w:w="1801" w:type="dxa"/>
          </w:tcPr>
          <w:p>
            <w:pPr>
              <w:pStyle w:val="TableParagraph"/>
              <w:spacing w:before="1"/>
              <w:ind w:left="107"/>
              <w:rPr>
                <w:sz w:val="24"/>
              </w:rPr>
            </w:pPr>
            <w:r>
              <w:rPr>
                <w:sz w:val="24"/>
              </w:rPr>
              <w:t>Nr. probe</w:t>
            </w:r>
          </w:p>
        </w:tc>
        <w:tc>
          <w:tcPr>
            <w:tcW w:w="2250" w:type="dxa"/>
          </w:tcPr>
          <w:p>
            <w:pPr>
              <w:pStyle w:val="TableParagraph"/>
              <w:spacing w:before="1"/>
              <w:ind w:left="106"/>
              <w:rPr>
                <w:sz w:val="24"/>
              </w:rPr>
            </w:pPr>
            <w:r>
              <w:rPr>
                <w:sz w:val="24"/>
              </w:rPr>
              <w:t>Nr. determinari</w:t>
            </w:r>
          </w:p>
        </w:tc>
        <w:tc>
          <w:tcPr>
            <w:tcW w:w="2003" w:type="dxa"/>
          </w:tcPr>
          <w:p>
            <w:pPr>
              <w:pStyle w:val="TableParagraph"/>
              <w:spacing w:line="270" w:lineRule="atLeast" w:before="1"/>
              <w:ind w:left="106" w:right="81"/>
              <w:rPr>
                <w:sz w:val="24"/>
              </w:rPr>
            </w:pPr>
            <w:r>
              <w:rPr>
                <w:sz w:val="24"/>
              </w:rPr>
              <w:t>Probe necorespunzătoare</w:t>
            </w:r>
          </w:p>
        </w:tc>
      </w:tr>
      <w:tr>
        <w:trPr>
          <w:trHeight w:val="551" w:hRule="atLeast"/>
        </w:trPr>
        <w:tc>
          <w:tcPr>
            <w:tcW w:w="3527" w:type="dxa"/>
          </w:tcPr>
          <w:p>
            <w:pPr>
              <w:pStyle w:val="TableParagraph"/>
              <w:spacing w:line="276" w:lineRule="exact" w:before="2"/>
              <w:ind w:left="108"/>
              <w:rPr>
                <w:sz w:val="24"/>
              </w:rPr>
            </w:pPr>
            <w:r>
              <w:rPr>
                <w:sz w:val="24"/>
              </w:rPr>
              <w:t>- staţii şi puncte fixe recoltate de CFRMVM şi de laborator</w:t>
            </w:r>
          </w:p>
        </w:tc>
        <w:tc>
          <w:tcPr>
            <w:tcW w:w="1801" w:type="dxa"/>
          </w:tcPr>
          <w:p>
            <w:pPr>
              <w:pStyle w:val="TableParagraph"/>
              <w:spacing w:line="275" w:lineRule="exact"/>
              <w:ind w:left="791"/>
              <w:rPr>
                <w:sz w:val="24"/>
              </w:rPr>
            </w:pPr>
            <w:r>
              <w:rPr>
                <w:sz w:val="24"/>
              </w:rPr>
              <w:t>2.239</w:t>
            </w:r>
          </w:p>
        </w:tc>
        <w:tc>
          <w:tcPr>
            <w:tcW w:w="2250" w:type="dxa"/>
          </w:tcPr>
          <w:p>
            <w:pPr>
              <w:pStyle w:val="TableParagraph"/>
              <w:spacing w:line="275" w:lineRule="exact"/>
              <w:ind w:left="699"/>
              <w:rPr>
                <w:sz w:val="24"/>
              </w:rPr>
            </w:pPr>
            <w:r>
              <w:rPr>
                <w:sz w:val="24"/>
              </w:rPr>
              <w:t>5.640</w:t>
            </w:r>
          </w:p>
        </w:tc>
        <w:tc>
          <w:tcPr>
            <w:tcW w:w="2003" w:type="dxa"/>
          </w:tcPr>
          <w:p>
            <w:pPr>
              <w:pStyle w:val="TableParagraph"/>
              <w:spacing w:line="275" w:lineRule="exact"/>
              <w:ind w:left="699"/>
              <w:rPr>
                <w:sz w:val="24"/>
              </w:rPr>
            </w:pPr>
            <w:r>
              <w:rPr>
                <w:sz w:val="24"/>
              </w:rPr>
              <w:t>863</w:t>
            </w:r>
          </w:p>
        </w:tc>
      </w:tr>
      <w:tr>
        <w:trPr>
          <w:trHeight w:val="273" w:hRule="atLeast"/>
        </w:trPr>
        <w:tc>
          <w:tcPr>
            <w:tcW w:w="3527" w:type="dxa"/>
          </w:tcPr>
          <w:p>
            <w:pPr>
              <w:pStyle w:val="TableParagraph"/>
              <w:spacing w:line="253" w:lineRule="exact"/>
              <w:ind w:left="408"/>
              <w:rPr>
                <w:sz w:val="24"/>
              </w:rPr>
            </w:pPr>
            <w:r>
              <w:rPr>
                <w:sz w:val="24"/>
              </w:rPr>
              <w:t>Recoltate de CFRMVM :</w:t>
            </w:r>
          </w:p>
        </w:tc>
        <w:tc>
          <w:tcPr>
            <w:tcW w:w="1801" w:type="dxa"/>
          </w:tcPr>
          <w:p>
            <w:pPr>
              <w:pStyle w:val="TableParagraph"/>
              <w:rPr>
                <w:sz w:val="20"/>
              </w:rPr>
            </w:pPr>
          </w:p>
        </w:tc>
        <w:tc>
          <w:tcPr>
            <w:tcW w:w="2250" w:type="dxa"/>
          </w:tcPr>
          <w:p>
            <w:pPr>
              <w:pStyle w:val="TableParagraph"/>
              <w:rPr>
                <w:sz w:val="20"/>
              </w:rPr>
            </w:pPr>
          </w:p>
        </w:tc>
        <w:tc>
          <w:tcPr>
            <w:tcW w:w="2003" w:type="dxa"/>
          </w:tcPr>
          <w:p>
            <w:pPr>
              <w:pStyle w:val="TableParagraph"/>
              <w:rPr>
                <w:sz w:val="20"/>
              </w:rPr>
            </w:pPr>
          </w:p>
        </w:tc>
      </w:tr>
      <w:tr>
        <w:trPr>
          <w:trHeight w:val="275" w:hRule="atLeast"/>
        </w:trPr>
        <w:tc>
          <w:tcPr>
            <w:tcW w:w="3527" w:type="dxa"/>
          </w:tcPr>
          <w:p>
            <w:pPr>
              <w:pStyle w:val="TableParagraph"/>
              <w:spacing w:line="256" w:lineRule="exact"/>
              <w:ind w:left="288"/>
              <w:rPr>
                <w:sz w:val="24"/>
              </w:rPr>
            </w:pPr>
            <w:r>
              <w:rPr>
                <w:sz w:val="24"/>
              </w:rPr>
              <w:t>-sesizare VP</w:t>
            </w:r>
          </w:p>
        </w:tc>
        <w:tc>
          <w:tcPr>
            <w:tcW w:w="1801" w:type="dxa"/>
          </w:tcPr>
          <w:p>
            <w:pPr>
              <w:pStyle w:val="TableParagraph"/>
              <w:spacing w:line="256" w:lineRule="exact"/>
              <w:ind w:left="103"/>
              <w:jc w:val="center"/>
              <w:rPr>
                <w:sz w:val="24"/>
              </w:rPr>
            </w:pPr>
            <w:r>
              <w:rPr>
                <w:sz w:val="24"/>
              </w:rPr>
              <w:t>7</w:t>
            </w:r>
          </w:p>
        </w:tc>
        <w:tc>
          <w:tcPr>
            <w:tcW w:w="2250" w:type="dxa"/>
          </w:tcPr>
          <w:p>
            <w:pPr>
              <w:pStyle w:val="TableParagraph"/>
              <w:spacing w:line="256" w:lineRule="exact"/>
              <w:ind w:left="358" w:right="827"/>
              <w:jc w:val="center"/>
              <w:rPr>
                <w:sz w:val="24"/>
              </w:rPr>
            </w:pPr>
            <w:r>
              <w:rPr>
                <w:sz w:val="24"/>
              </w:rPr>
              <w:t>77</w:t>
            </w:r>
          </w:p>
        </w:tc>
        <w:tc>
          <w:tcPr>
            <w:tcW w:w="2003" w:type="dxa"/>
          </w:tcPr>
          <w:p>
            <w:pPr>
              <w:pStyle w:val="TableParagraph"/>
              <w:spacing w:line="256" w:lineRule="exact"/>
              <w:ind w:left="766"/>
              <w:rPr>
                <w:sz w:val="24"/>
              </w:rPr>
            </w:pPr>
            <w:r>
              <w:rPr>
                <w:sz w:val="24"/>
              </w:rPr>
              <w:t>2</w:t>
            </w:r>
          </w:p>
        </w:tc>
      </w:tr>
      <w:tr>
        <w:trPr>
          <w:trHeight w:val="275" w:hRule="atLeast"/>
        </w:trPr>
        <w:tc>
          <w:tcPr>
            <w:tcW w:w="3527" w:type="dxa"/>
          </w:tcPr>
          <w:p>
            <w:pPr>
              <w:pStyle w:val="TableParagraph"/>
              <w:spacing w:line="256" w:lineRule="exact"/>
              <w:ind w:left="108"/>
              <w:rPr>
                <w:sz w:val="24"/>
              </w:rPr>
            </w:pPr>
            <w:r>
              <w:rPr>
                <w:sz w:val="24"/>
              </w:rPr>
              <w:t>-monitorizare de audit /control</w:t>
            </w:r>
          </w:p>
        </w:tc>
        <w:tc>
          <w:tcPr>
            <w:tcW w:w="1801" w:type="dxa"/>
          </w:tcPr>
          <w:p>
            <w:pPr>
              <w:pStyle w:val="TableParagraph"/>
              <w:spacing w:line="256" w:lineRule="exact"/>
              <w:ind w:left="185"/>
              <w:jc w:val="center"/>
              <w:rPr>
                <w:sz w:val="24"/>
              </w:rPr>
            </w:pPr>
            <w:r>
              <w:rPr>
                <w:sz w:val="24"/>
              </w:rPr>
              <w:t>3</w:t>
            </w:r>
          </w:p>
        </w:tc>
        <w:tc>
          <w:tcPr>
            <w:tcW w:w="2250" w:type="dxa"/>
          </w:tcPr>
          <w:p>
            <w:pPr>
              <w:pStyle w:val="TableParagraph"/>
              <w:spacing w:line="256" w:lineRule="exact"/>
              <w:ind w:left="349" w:right="827"/>
              <w:jc w:val="center"/>
              <w:rPr>
                <w:sz w:val="24"/>
              </w:rPr>
            </w:pPr>
            <w:r>
              <w:rPr>
                <w:sz w:val="24"/>
              </w:rPr>
              <w:t>39</w:t>
            </w:r>
          </w:p>
        </w:tc>
        <w:tc>
          <w:tcPr>
            <w:tcW w:w="2003" w:type="dxa"/>
          </w:tcPr>
          <w:p>
            <w:pPr>
              <w:pStyle w:val="TableParagraph"/>
              <w:spacing w:line="256" w:lineRule="exact"/>
              <w:ind w:left="759"/>
              <w:rPr>
                <w:sz w:val="24"/>
              </w:rPr>
            </w:pPr>
            <w:r>
              <w:rPr>
                <w:sz w:val="24"/>
              </w:rPr>
              <w:t>0</w:t>
            </w:r>
          </w:p>
        </w:tc>
      </w:tr>
      <w:tr>
        <w:trPr>
          <w:trHeight w:val="275" w:hRule="atLeast"/>
        </w:trPr>
        <w:tc>
          <w:tcPr>
            <w:tcW w:w="3527" w:type="dxa"/>
          </w:tcPr>
          <w:p>
            <w:pPr>
              <w:pStyle w:val="TableParagraph"/>
              <w:spacing w:line="256" w:lineRule="exact"/>
              <w:ind w:left="348"/>
              <w:rPr>
                <w:sz w:val="24"/>
              </w:rPr>
            </w:pPr>
            <w:r>
              <w:rPr>
                <w:sz w:val="24"/>
              </w:rPr>
              <w:t>- cu plată</w:t>
            </w:r>
          </w:p>
        </w:tc>
        <w:tc>
          <w:tcPr>
            <w:tcW w:w="1801" w:type="dxa"/>
          </w:tcPr>
          <w:p>
            <w:pPr>
              <w:pStyle w:val="TableParagraph"/>
              <w:spacing w:line="256" w:lineRule="exact"/>
              <w:ind w:left="219"/>
              <w:jc w:val="center"/>
              <w:rPr>
                <w:sz w:val="24"/>
              </w:rPr>
            </w:pPr>
            <w:r>
              <w:rPr>
                <w:sz w:val="24"/>
              </w:rPr>
              <w:t>1</w:t>
            </w:r>
          </w:p>
        </w:tc>
        <w:tc>
          <w:tcPr>
            <w:tcW w:w="2250" w:type="dxa"/>
          </w:tcPr>
          <w:p>
            <w:pPr>
              <w:pStyle w:val="TableParagraph"/>
              <w:spacing w:line="256" w:lineRule="exact"/>
              <w:ind w:left="363" w:right="827"/>
              <w:jc w:val="center"/>
              <w:rPr>
                <w:sz w:val="24"/>
              </w:rPr>
            </w:pPr>
            <w:r>
              <w:rPr>
                <w:sz w:val="24"/>
              </w:rPr>
              <w:t>13</w:t>
            </w:r>
          </w:p>
        </w:tc>
        <w:tc>
          <w:tcPr>
            <w:tcW w:w="2003" w:type="dxa"/>
          </w:tcPr>
          <w:p>
            <w:pPr>
              <w:pStyle w:val="TableParagraph"/>
              <w:spacing w:line="256" w:lineRule="exact"/>
              <w:ind w:left="766"/>
              <w:rPr>
                <w:sz w:val="24"/>
              </w:rPr>
            </w:pPr>
            <w:r>
              <w:rPr>
                <w:sz w:val="24"/>
              </w:rPr>
              <w:t>0</w:t>
            </w:r>
          </w:p>
        </w:tc>
      </w:tr>
      <w:tr>
        <w:trPr>
          <w:trHeight w:val="275" w:hRule="atLeast"/>
        </w:trPr>
        <w:tc>
          <w:tcPr>
            <w:tcW w:w="3527" w:type="dxa"/>
          </w:tcPr>
          <w:p>
            <w:pPr>
              <w:pStyle w:val="TableParagraph"/>
              <w:spacing w:line="256" w:lineRule="exact"/>
              <w:ind w:left="348"/>
              <w:rPr>
                <w:sz w:val="24"/>
              </w:rPr>
            </w:pPr>
            <w:r>
              <w:rPr>
                <w:sz w:val="24"/>
              </w:rPr>
              <w:t>- îmbuteliată</w:t>
            </w:r>
          </w:p>
        </w:tc>
        <w:tc>
          <w:tcPr>
            <w:tcW w:w="1801" w:type="dxa"/>
          </w:tcPr>
          <w:p>
            <w:pPr>
              <w:pStyle w:val="TableParagraph"/>
              <w:spacing w:line="256" w:lineRule="exact"/>
              <w:ind w:right="30"/>
              <w:jc w:val="center"/>
              <w:rPr>
                <w:sz w:val="24"/>
              </w:rPr>
            </w:pPr>
            <w:r>
              <w:rPr>
                <w:w w:val="99"/>
                <w:sz w:val="24"/>
              </w:rPr>
              <w:t>-</w:t>
            </w:r>
          </w:p>
        </w:tc>
        <w:tc>
          <w:tcPr>
            <w:tcW w:w="2250" w:type="dxa"/>
          </w:tcPr>
          <w:p>
            <w:pPr>
              <w:pStyle w:val="TableParagraph"/>
              <w:spacing w:line="256" w:lineRule="exact"/>
              <w:ind w:right="384"/>
              <w:jc w:val="center"/>
              <w:rPr>
                <w:sz w:val="24"/>
              </w:rPr>
            </w:pPr>
            <w:r>
              <w:rPr>
                <w:w w:val="99"/>
                <w:sz w:val="24"/>
              </w:rPr>
              <w:t>-</w:t>
            </w:r>
          </w:p>
        </w:tc>
        <w:tc>
          <w:tcPr>
            <w:tcW w:w="2003" w:type="dxa"/>
          </w:tcPr>
          <w:p>
            <w:pPr>
              <w:pStyle w:val="TableParagraph"/>
              <w:spacing w:line="256" w:lineRule="exact"/>
              <w:ind w:left="766"/>
              <w:rPr>
                <w:sz w:val="24"/>
              </w:rPr>
            </w:pPr>
            <w:r>
              <w:rPr>
                <w:w w:val="99"/>
                <w:sz w:val="24"/>
              </w:rPr>
              <w:t>-</w:t>
            </w:r>
          </w:p>
        </w:tc>
      </w:tr>
      <w:tr>
        <w:trPr>
          <w:trHeight w:val="278" w:hRule="atLeast"/>
        </w:trPr>
        <w:tc>
          <w:tcPr>
            <w:tcW w:w="3527" w:type="dxa"/>
          </w:tcPr>
          <w:p>
            <w:pPr>
              <w:pStyle w:val="TableParagraph"/>
              <w:spacing w:line="257" w:lineRule="exact" w:before="1"/>
              <w:ind w:left="348"/>
              <w:rPr>
                <w:sz w:val="24"/>
              </w:rPr>
            </w:pPr>
            <w:r>
              <w:rPr>
                <w:sz w:val="24"/>
              </w:rPr>
              <w:t>- dozator</w:t>
            </w:r>
          </w:p>
        </w:tc>
        <w:tc>
          <w:tcPr>
            <w:tcW w:w="1801" w:type="dxa"/>
          </w:tcPr>
          <w:p>
            <w:pPr>
              <w:pStyle w:val="TableParagraph"/>
              <w:spacing w:line="257" w:lineRule="exact" w:before="1"/>
              <w:ind w:right="110"/>
              <w:jc w:val="center"/>
              <w:rPr>
                <w:sz w:val="24"/>
              </w:rPr>
            </w:pPr>
            <w:r>
              <w:rPr>
                <w:sz w:val="24"/>
              </w:rPr>
              <w:t>2</w:t>
            </w:r>
          </w:p>
        </w:tc>
        <w:tc>
          <w:tcPr>
            <w:tcW w:w="2250" w:type="dxa"/>
          </w:tcPr>
          <w:p>
            <w:pPr>
              <w:pStyle w:val="TableParagraph"/>
              <w:spacing w:line="257" w:lineRule="exact" w:before="1"/>
              <w:ind w:left="483" w:right="827"/>
              <w:jc w:val="center"/>
              <w:rPr>
                <w:sz w:val="24"/>
              </w:rPr>
            </w:pPr>
            <w:r>
              <w:rPr>
                <w:sz w:val="24"/>
              </w:rPr>
              <w:t>13</w:t>
            </w:r>
          </w:p>
        </w:tc>
        <w:tc>
          <w:tcPr>
            <w:tcW w:w="2003" w:type="dxa"/>
          </w:tcPr>
          <w:p>
            <w:pPr>
              <w:pStyle w:val="TableParagraph"/>
              <w:spacing w:line="257" w:lineRule="exact" w:before="1"/>
              <w:ind w:left="826"/>
              <w:rPr>
                <w:sz w:val="24"/>
              </w:rPr>
            </w:pPr>
            <w:r>
              <w:rPr>
                <w:sz w:val="24"/>
              </w:rPr>
              <w:t>0</w:t>
            </w:r>
          </w:p>
        </w:tc>
      </w:tr>
      <w:tr>
        <w:trPr>
          <w:trHeight w:val="275" w:hRule="atLeast"/>
        </w:trPr>
        <w:tc>
          <w:tcPr>
            <w:tcW w:w="3527" w:type="dxa"/>
          </w:tcPr>
          <w:p>
            <w:pPr>
              <w:pStyle w:val="TableParagraph"/>
              <w:spacing w:line="256" w:lineRule="exact"/>
              <w:ind w:left="348"/>
              <w:rPr>
                <w:sz w:val="24"/>
              </w:rPr>
            </w:pPr>
            <w:r>
              <w:rPr>
                <w:sz w:val="24"/>
              </w:rPr>
              <w:t>- filtru</w:t>
            </w:r>
          </w:p>
        </w:tc>
        <w:tc>
          <w:tcPr>
            <w:tcW w:w="1801" w:type="dxa"/>
          </w:tcPr>
          <w:p>
            <w:pPr>
              <w:pStyle w:val="TableParagraph"/>
              <w:rPr>
                <w:sz w:val="20"/>
              </w:rPr>
            </w:pPr>
          </w:p>
        </w:tc>
        <w:tc>
          <w:tcPr>
            <w:tcW w:w="2250" w:type="dxa"/>
          </w:tcPr>
          <w:p>
            <w:pPr>
              <w:pStyle w:val="TableParagraph"/>
              <w:rPr>
                <w:sz w:val="20"/>
              </w:rPr>
            </w:pPr>
          </w:p>
        </w:tc>
        <w:tc>
          <w:tcPr>
            <w:tcW w:w="2003" w:type="dxa"/>
          </w:tcPr>
          <w:p>
            <w:pPr>
              <w:pStyle w:val="TableParagraph"/>
              <w:rPr>
                <w:sz w:val="20"/>
              </w:rPr>
            </w:pPr>
          </w:p>
        </w:tc>
      </w:tr>
      <w:tr>
        <w:trPr>
          <w:trHeight w:val="552" w:hRule="atLeast"/>
        </w:trPr>
        <w:tc>
          <w:tcPr>
            <w:tcW w:w="3527" w:type="dxa"/>
          </w:tcPr>
          <w:p>
            <w:pPr>
              <w:pStyle w:val="TableParagraph"/>
              <w:spacing w:line="276" w:lineRule="exact" w:before="3"/>
              <w:ind w:left="108"/>
              <w:rPr>
                <w:sz w:val="24"/>
              </w:rPr>
            </w:pPr>
            <w:r>
              <w:rPr>
                <w:sz w:val="24"/>
              </w:rPr>
              <w:t>Recoltate de beneficiari (persoane fizice şi juridice)</w:t>
            </w:r>
          </w:p>
        </w:tc>
        <w:tc>
          <w:tcPr>
            <w:tcW w:w="1801" w:type="dxa"/>
          </w:tcPr>
          <w:p>
            <w:pPr>
              <w:pStyle w:val="TableParagraph"/>
              <w:spacing w:line="276" w:lineRule="exact"/>
              <w:ind w:left="581" w:right="574"/>
              <w:jc w:val="center"/>
              <w:rPr>
                <w:sz w:val="24"/>
              </w:rPr>
            </w:pPr>
            <w:r>
              <w:rPr>
                <w:sz w:val="24"/>
              </w:rPr>
              <w:t>405</w:t>
            </w:r>
          </w:p>
        </w:tc>
        <w:tc>
          <w:tcPr>
            <w:tcW w:w="2250" w:type="dxa"/>
          </w:tcPr>
          <w:p>
            <w:pPr>
              <w:pStyle w:val="TableParagraph"/>
              <w:spacing w:line="276" w:lineRule="exact"/>
              <w:ind w:left="741" w:right="735"/>
              <w:jc w:val="center"/>
              <w:rPr>
                <w:sz w:val="24"/>
              </w:rPr>
            </w:pPr>
            <w:r>
              <w:rPr>
                <w:sz w:val="24"/>
              </w:rPr>
              <w:t>3.838</w:t>
            </w:r>
          </w:p>
        </w:tc>
        <w:tc>
          <w:tcPr>
            <w:tcW w:w="2003" w:type="dxa"/>
          </w:tcPr>
          <w:p>
            <w:pPr>
              <w:pStyle w:val="TableParagraph"/>
              <w:spacing w:line="276" w:lineRule="exact"/>
              <w:ind w:left="706"/>
              <w:rPr>
                <w:sz w:val="24"/>
              </w:rPr>
            </w:pPr>
            <w:r>
              <w:rPr>
                <w:sz w:val="24"/>
              </w:rPr>
              <w:t>19</w:t>
            </w:r>
          </w:p>
        </w:tc>
      </w:tr>
      <w:tr>
        <w:trPr>
          <w:trHeight w:val="272" w:hRule="atLeast"/>
        </w:trPr>
        <w:tc>
          <w:tcPr>
            <w:tcW w:w="3527" w:type="dxa"/>
          </w:tcPr>
          <w:p>
            <w:pPr>
              <w:pStyle w:val="TableParagraph"/>
              <w:spacing w:line="253" w:lineRule="exact"/>
              <w:ind w:left="408"/>
              <w:rPr>
                <w:sz w:val="24"/>
              </w:rPr>
            </w:pPr>
            <w:r>
              <w:rPr>
                <w:sz w:val="24"/>
              </w:rPr>
              <w:t>- dozator</w:t>
            </w:r>
          </w:p>
        </w:tc>
        <w:tc>
          <w:tcPr>
            <w:tcW w:w="1801" w:type="dxa"/>
          </w:tcPr>
          <w:p>
            <w:pPr>
              <w:pStyle w:val="TableParagraph"/>
              <w:spacing w:line="253" w:lineRule="exact"/>
              <w:ind w:left="274"/>
              <w:jc w:val="center"/>
              <w:rPr>
                <w:sz w:val="24"/>
              </w:rPr>
            </w:pPr>
            <w:r>
              <w:rPr>
                <w:w w:val="99"/>
                <w:sz w:val="24"/>
              </w:rPr>
              <w:t>-</w:t>
            </w:r>
          </w:p>
        </w:tc>
        <w:tc>
          <w:tcPr>
            <w:tcW w:w="2250" w:type="dxa"/>
          </w:tcPr>
          <w:p>
            <w:pPr>
              <w:pStyle w:val="TableParagraph"/>
              <w:spacing w:line="253" w:lineRule="exact"/>
              <w:ind w:left="271"/>
              <w:jc w:val="center"/>
              <w:rPr>
                <w:sz w:val="24"/>
              </w:rPr>
            </w:pPr>
            <w:r>
              <w:rPr>
                <w:w w:val="99"/>
                <w:sz w:val="24"/>
              </w:rPr>
              <w:t>-</w:t>
            </w:r>
          </w:p>
        </w:tc>
        <w:tc>
          <w:tcPr>
            <w:tcW w:w="2003" w:type="dxa"/>
          </w:tcPr>
          <w:p>
            <w:pPr>
              <w:pStyle w:val="TableParagraph"/>
              <w:spacing w:line="253" w:lineRule="exact"/>
              <w:ind w:right="909"/>
              <w:jc w:val="right"/>
              <w:rPr>
                <w:sz w:val="24"/>
              </w:rPr>
            </w:pPr>
            <w:r>
              <w:rPr>
                <w:w w:val="99"/>
                <w:sz w:val="24"/>
              </w:rPr>
              <w:t>-</w:t>
            </w:r>
          </w:p>
        </w:tc>
      </w:tr>
      <w:tr>
        <w:trPr>
          <w:trHeight w:val="275" w:hRule="atLeast"/>
        </w:trPr>
        <w:tc>
          <w:tcPr>
            <w:tcW w:w="3527" w:type="dxa"/>
          </w:tcPr>
          <w:p>
            <w:pPr>
              <w:pStyle w:val="TableParagraph"/>
              <w:spacing w:line="256" w:lineRule="exact"/>
              <w:ind w:left="408"/>
              <w:rPr>
                <w:sz w:val="24"/>
              </w:rPr>
            </w:pPr>
            <w:r>
              <w:rPr>
                <w:sz w:val="24"/>
              </w:rPr>
              <w:t>- îmbuteliată</w:t>
            </w:r>
          </w:p>
        </w:tc>
        <w:tc>
          <w:tcPr>
            <w:tcW w:w="1801" w:type="dxa"/>
          </w:tcPr>
          <w:p>
            <w:pPr>
              <w:pStyle w:val="TableParagraph"/>
              <w:spacing w:line="256" w:lineRule="exact"/>
              <w:ind w:left="274"/>
              <w:jc w:val="center"/>
              <w:rPr>
                <w:sz w:val="24"/>
              </w:rPr>
            </w:pPr>
            <w:r>
              <w:rPr>
                <w:w w:val="99"/>
                <w:sz w:val="24"/>
              </w:rPr>
              <w:t>-</w:t>
            </w:r>
          </w:p>
        </w:tc>
        <w:tc>
          <w:tcPr>
            <w:tcW w:w="2250" w:type="dxa"/>
          </w:tcPr>
          <w:p>
            <w:pPr>
              <w:pStyle w:val="TableParagraph"/>
              <w:spacing w:line="256" w:lineRule="exact"/>
              <w:ind w:left="271"/>
              <w:jc w:val="center"/>
              <w:rPr>
                <w:sz w:val="24"/>
              </w:rPr>
            </w:pPr>
            <w:r>
              <w:rPr>
                <w:w w:val="99"/>
                <w:sz w:val="24"/>
              </w:rPr>
              <w:t>-</w:t>
            </w:r>
          </w:p>
        </w:tc>
        <w:tc>
          <w:tcPr>
            <w:tcW w:w="2003" w:type="dxa"/>
          </w:tcPr>
          <w:p>
            <w:pPr>
              <w:pStyle w:val="TableParagraph"/>
              <w:spacing w:line="256" w:lineRule="exact"/>
              <w:ind w:right="909"/>
              <w:jc w:val="right"/>
              <w:rPr>
                <w:sz w:val="24"/>
              </w:rPr>
            </w:pPr>
            <w:r>
              <w:rPr>
                <w:w w:val="99"/>
                <w:sz w:val="24"/>
              </w:rPr>
              <w:t>-</w:t>
            </w:r>
          </w:p>
        </w:tc>
      </w:tr>
    </w:tbl>
    <w:p>
      <w:pPr>
        <w:pStyle w:val="BodyText"/>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7"/>
        <w:gridCol w:w="1801"/>
        <w:gridCol w:w="1981"/>
        <w:gridCol w:w="2091"/>
      </w:tblGrid>
      <w:tr>
        <w:trPr>
          <w:trHeight w:val="830" w:hRule="atLeast"/>
        </w:trPr>
        <w:tc>
          <w:tcPr>
            <w:tcW w:w="3707" w:type="dxa"/>
          </w:tcPr>
          <w:p>
            <w:pPr>
              <w:pStyle w:val="TableParagraph"/>
              <w:spacing w:before="1"/>
              <w:ind w:left="108" w:right="603" w:firstLine="60"/>
              <w:rPr>
                <w:sz w:val="24"/>
              </w:rPr>
            </w:pPr>
            <w:r>
              <w:rPr>
                <w:sz w:val="24"/>
              </w:rPr>
              <w:t>Alte surse: puţuri, fântâni, apă îmbuteliată</w:t>
            </w:r>
          </w:p>
        </w:tc>
        <w:tc>
          <w:tcPr>
            <w:tcW w:w="1801" w:type="dxa"/>
          </w:tcPr>
          <w:p>
            <w:pPr>
              <w:pStyle w:val="TableParagraph"/>
              <w:spacing w:before="1"/>
              <w:ind w:left="109"/>
              <w:rPr>
                <w:sz w:val="24"/>
              </w:rPr>
            </w:pPr>
            <w:r>
              <w:rPr>
                <w:sz w:val="24"/>
              </w:rPr>
              <w:t>Nr. probe</w:t>
            </w:r>
          </w:p>
        </w:tc>
        <w:tc>
          <w:tcPr>
            <w:tcW w:w="1981" w:type="dxa"/>
          </w:tcPr>
          <w:p>
            <w:pPr>
              <w:pStyle w:val="TableParagraph"/>
              <w:spacing w:before="1"/>
              <w:ind w:left="109"/>
              <w:rPr>
                <w:sz w:val="24"/>
              </w:rPr>
            </w:pPr>
            <w:r>
              <w:rPr>
                <w:sz w:val="24"/>
              </w:rPr>
              <w:t>Nr. determinari</w:t>
            </w:r>
          </w:p>
        </w:tc>
        <w:tc>
          <w:tcPr>
            <w:tcW w:w="2091" w:type="dxa"/>
          </w:tcPr>
          <w:p>
            <w:pPr>
              <w:pStyle w:val="TableParagraph"/>
              <w:spacing w:before="1"/>
              <w:ind w:left="108" w:right="167"/>
              <w:rPr>
                <w:sz w:val="24"/>
              </w:rPr>
            </w:pPr>
            <w:r>
              <w:rPr>
                <w:sz w:val="24"/>
              </w:rPr>
              <w:t>Probe necorespunzătoare</w:t>
            </w:r>
          </w:p>
        </w:tc>
      </w:tr>
      <w:tr>
        <w:trPr>
          <w:trHeight w:val="275" w:hRule="atLeast"/>
        </w:trPr>
        <w:tc>
          <w:tcPr>
            <w:tcW w:w="3707" w:type="dxa"/>
          </w:tcPr>
          <w:p>
            <w:pPr>
              <w:pStyle w:val="TableParagraph"/>
              <w:spacing w:line="256" w:lineRule="exact"/>
              <w:ind w:left="108"/>
              <w:rPr>
                <w:sz w:val="24"/>
              </w:rPr>
            </w:pPr>
            <w:r>
              <w:rPr>
                <w:sz w:val="24"/>
              </w:rPr>
              <w:t>Recoltate de CFRMVM :</w:t>
            </w:r>
          </w:p>
        </w:tc>
        <w:tc>
          <w:tcPr>
            <w:tcW w:w="1801" w:type="dxa"/>
          </w:tcPr>
          <w:p>
            <w:pPr>
              <w:pStyle w:val="TableParagraph"/>
              <w:rPr>
                <w:sz w:val="20"/>
              </w:rPr>
            </w:pPr>
          </w:p>
        </w:tc>
        <w:tc>
          <w:tcPr>
            <w:tcW w:w="1981" w:type="dxa"/>
          </w:tcPr>
          <w:p>
            <w:pPr>
              <w:pStyle w:val="TableParagraph"/>
              <w:rPr>
                <w:sz w:val="20"/>
              </w:rPr>
            </w:pPr>
          </w:p>
        </w:tc>
        <w:tc>
          <w:tcPr>
            <w:tcW w:w="2091" w:type="dxa"/>
          </w:tcPr>
          <w:p>
            <w:pPr>
              <w:pStyle w:val="TableParagraph"/>
              <w:rPr>
                <w:sz w:val="20"/>
              </w:rPr>
            </w:pPr>
          </w:p>
        </w:tc>
      </w:tr>
      <w:tr>
        <w:trPr>
          <w:trHeight w:val="275" w:hRule="atLeast"/>
        </w:trPr>
        <w:tc>
          <w:tcPr>
            <w:tcW w:w="3707" w:type="dxa"/>
          </w:tcPr>
          <w:p>
            <w:pPr>
              <w:pStyle w:val="TableParagraph"/>
              <w:spacing w:line="256" w:lineRule="exact"/>
              <w:ind w:left="168"/>
              <w:rPr>
                <w:sz w:val="24"/>
              </w:rPr>
            </w:pPr>
            <w:r>
              <w:rPr>
                <w:sz w:val="24"/>
              </w:rPr>
              <w:t>- analize cu plată- gheaţă</w:t>
            </w:r>
          </w:p>
        </w:tc>
        <w:tc>
          <w:tcPr>
            <w:tcW w:w="1801" w:type="dxa"/>
          </w:tcPr>
          <w:p>
            <w:pPr>
              <w:pStyle w:val="TableParagraph"/>
              <w:spacing w:line="256" w:lineRule="exact"/>
              <w:ind w:left="12"/>
              <w:jc w:val="center"/>
              <w:rPr>
                <w:sz w:val="24"/>
              </w:rPr>
            </w:pPr>
            <w:r>
              <w:rPr>
                <w:sz w:val="24"/>
              </w:rPr>
              <w:t>1</w:t>
            </w:r>
          </w:p>
        </w:tc>
        <w:tc>
          <w:tcPr>
            <w:tcW w:w="1981" w:type="dxa"/>
          </w:tcPr>
          <w:p>
            <w:pPr>
              <w:pStyle w:val="TableParagraph"/>
              <w:spacing w:line="256" w:lineRule="exact"/>
              <w:ind w:left="644" w:right="690"/>
              <w:jc w:val="center"/>
              <w:rPr>
                <w:sz w:val="24"/>
              </w:rPr>
            </w:pPr>
            <w:r>
              <w:rPr>
                <w:sz w:val="24"/>
              </w:rPr>
              <w:t>11</w:t>
            </w:r>
          </w:p>
        </w:tc>
        <w:tc>
          <w:tcPr>
            <w:tcW w:w="2091" w:type="dxa"/>
          </w:tcPr>
          <w:p>
            <w:pPr>
              <w:pStyle w:val="TableParagraph"/>
              <w:spacing w:line="256" w:lineRule="exact"/>
              <w:ind w:left="780"/>
              <w:rPr>
                <w:sz w:val="24"/>
              </w:rPr>
            </w:pPr>
            <w:r>
              <w:rPr>
                <w:sz w:val="24"/>
              </w:rPr>
              <w:t>0</w:t>
            </w:r>
          </w:p>
        </w:tc>
      </w:tr>
      <w:tr>
        <w:trPr>
          <w:trHeight w:val="275" w:hRule="atLeast"/>
        </w:trPr>
        <w:tc>
          <w:tcPr>
            <w:tcW w:w="3707" w:type="dxa"/>
          </w:tcPr>
          <w:p>
            <w:pPr>
              <w:pStyle w:val="TableParagraph"/>
              <w:spacing w:line="256" w:lineRule="exact"/>
              <w:ind w:left="108"/>
              <w:rPr>
                <w:sz w:val="24"/>
              </w:rPr>
            </w:pPr>
            <w:r>
              <w:rPr>
                <w:sz w:val="24"/>
              </w:rPr>
              <w:t>- toxiinfecţie alimentara -VP</w:t>
            </w:r>
          </w:p>
        </w:tc>
        <w:tc>
          <w:tcPr>
            <w:tcW w:w="1801" w:type="dxa"/>
          </w:tcPr>
          <w:p>
            <w:pPr>
              <w:pStyle w:val="TableParagraph"/>
              <w:spacing w:line="256" w:lineRule="exact"/>
              <w:ind w:left="12"/>
              <w:jc w:val="center"/>
              <w:rPr>
                <w:sz w:val="24"/>
              </w:rPr>
            </w:pPr>
            <w:r>
              <w:rPr>
                <w:sz w:val="24"/>
              </w:rPr>
              <w:t>2</w:t>
            </w:r>
          </w:p>
        </w:tc>
        <w:tc>
          <w:tcPr>
            <w:tcW w:w="1981" w:type="dxa"/>
          </w:tcPr>
          <w:p>
            <w:pPr>
              <w:pStyle w:val="TableParagraph"/>
              <w:spacing w:line="256" w:lineRule="exact"/>
              <w:ind w:left="644" w:right="690"/>
              <w:jc w:val="center"/>
              <w:rPr>
                <w:sz w:val="24"/>
              </w:rPr>
            </w:pPr>
            <w:r>
              <w:rPr>
                <w:sz w:val="24"/>
              </w:rPr>
              <w:t>29</w:t>
            </w:r>
          </w:p>
        </w:tc>
        <w:tc>
          <w:tcPr>
            <w:tcW w:w="2091" w:type="dxa"/>
          </w:tcPr>
          <w:p>
            <w:pPr>
              <w:pStyle w:val="TableParagraph"/>
              <w:spacing w:line="256" w:lineRule="exact"/>
              <w:ind w:left="780"/>
              <w:rPr>
                <w:sz w:val="24"/>
              </w:rPr>
            </w:pPr>
            <w:r>
              <w:rPr>
                <w:sz w:val="24"/>
              </w:rPr>
              <w:t>0</w:t>
            </w:r>
          </w:p>
        </w:tc>
      </w:tr>
      <w:tr>
        <w:trPr>
          <w:trHeight w:val="275" w:hRule="atLeast"/>
        </w:trPr>
        <w:tc>
          <w:tcPr>
            <w:tcW w:w="3707" w:type="dxa"/>
          </w:tcPr>
          <w:p>
            <w:pPr>
              <w:pStyle w:val="TableParagraph"/>
              <w:spacing w:line="256" w:lineRule="exact"/>
              <w:ind w:left="168"/>
              <w:rPr>
                <w:sz w:val="24"/>
              </w:rPr>
            </w:pPr>
            <w:r>
              <w:rPr>
                <w:sz w:val="24"/>
              </w:rPr>
              <w:t>- monitorizare audit/control</w:t>
            </w:r>
          </w:p>
        </w:tc>
        <w:tc>
          <w:tcPr>
            <w:tcW w:w="1801" w:type="dxa"/>
          </w:tcPr>
          <w:p>
            <w:pPr>
              <w:pStyle w:val="TableParagraph"/>
              <w:spacing w:line="256" w:lineRule="exact"/>
              <w:ind w:left="649" w:right="574"/>
              <w:jc w:val="center"/>
              <w:rPr>
                <w:sz w:val="24"/>
              </w:rPr>
            </w:pPr>
            <w:r>
              <w:rPr>
                <w:sz w:val="24"/>
              </w:rPr>
              <w:t>204</w:t>
            </w:r>
          </w:p>
        </w:tc>
        <w:tc>
          <w:tcPr>
            <w:tcW w:w="1981" w:type="dxa"/>
          </w:tcPr>
          <w:p>
            <w:pPr>
              <w:pStyle w:val="TableParagraph"/>
              <w:spacing w:line="256" w:lineRule="exact"/>
              <w:ind w:left="680" w:right="690"/>
              <w:jc w:val="center"/>
              <w:rPr>
                <w:sz w:val="24"/>
              </w:rPr>
            </w:pPr>
            <w:r>
              <w:rPr>
                <w:sz w:val="24"/>
              </w:rPr>
              <w:t>1.587</w:t>
            </w:r>
          </w:p>
        </w:tc>
        <w:tc>
          <w:tcPr>
            <w:tcW w:w="2091" w:type="dxa"/>
          </w:tcPr>
          <w:p>
            <w:pPr>
              <w:pStyle w:val="TableParagraph"/>
              <w:spacing w:line="256" w:lineRule="exact"/>
              <w:ind w:left="752"/>
              <w:rPr>
                <w:sz w:val="24"/>
              </w:rPr>
            </w:pPr>
            <w:r>
              <w:rPr>
                <w:sz w:val="24"/>
              </w:rPr>
              <w:t>24</w:t>
            </w:r>
          </w:p>
        </w:tc>
      </w:tr>
      <w:tr>
        <w:trPr>
          <w:trHeight w:val="278" w:hRule="atLeast"/>
        </w:trPr>
        <w:tc>
          <w:tcPr>
            <w:tcW w:w="3707" w:type="dxa"/>
          </w:tcPr>
          <w:p>
            <w:pPr>
              <w:pStyle w:val="TableParagraph"/>
              <w:spacing w:line="258" w:lineRule="exact"/>
              <w:ind w:left="108"/>
              <w:rPr>
                <w:sz w:val="24"/>
              </w:rPr>
            </w:pPr>
            <w:r>
              <w:rPr>
                <w:sz w:val="24"/>
              </w:rPr>
              <w:t>- monitorizare audit –izvoare</w:t>
            </w:r>
          </w:p>
        </w:tc>
        <w:tc>
          <w:tcPr>
            <w:tcW w:w="1801" w:type="dxa"/>
          </w:tcPr>
          <w:p>
            <w:pPr>
              <w:pStyle w:val="TableParagraph"/>
              <w:spacing w:line="258" w:lineRule="exact"/>
              <w:ind w:left="498" w:right="574"/>
              <w:jc w:val="center"/>
              <w:rPr>
                <w:sz w:val="24"/>
              </w:rPr>
            </w:pPr>
            <w:r>
              <w:rPr>
                <w:sz w:val="24"/>
              </w:rPr>
              <w:t>11</w:t>
            </w:r>
          </w:p>
        </w:tc>
        <w:tc>
          <w:tcPr>
            <w:tcW w:w="1981" w:type="dxa"/>
          </w:tcPr>
          <w:p>
            <w:pPr>
              <w:pStyle w:val="TableParagraph"/>
              <w:spacing w:line="258" w:lineRule="exact"/>
              <w:ind w:left="673" w:right="690"/>
              <w:jc w:val="center"/>
              <w:rPr>
                <w:sz w:val="24"/>
              </w:rPr>
            </w:pPr>
            <w:r>
              <w:rPr>
                <w:sz w:val="24"/>
              </w:rPr>
              <w:t>88</w:t>
            </w:r>
          </w:p>
        </w:tc>
        <w:tc>
          <w:tcPr>
            <w:tcW w:w="2091" w:type="dxa"/>
          </w:tcPr>
          <w:p>
            <w:pPr>
              <w:pStyle w:val="TableParagraph"/>
              <w:spacing w:line="258" w:lineRule="exact"/>
              <w:ind w:right="248"/>
              <w:jc w:val="center"/>
              <w:rPr>
                <w:sz w:val="24"/>
              </w:rPr>
            </w:pPr>
            <w:r>
              <w:rPr>
                <w:sz w:val="24"/>
              </w:rPr>
              <w:t>1</w:t>
            </w:r>
          </w:p>
        </w:tc>
      </w:tr>
    </w:tbl>
    <w:p>
      <w:pPr>
        <w:spacing w:after="0" w:line="258" w:lineRule="exact"/>
        <w:jc w:val="center"/>
        <w:rPr>
          <w:sz w:val="24"/>
        </w:rPr>
        <w:sectPr>
          <w:pgSz w:w="11910" w:h="16840"/>
          <w:pgMar w:header="0" w:footer="738" w:top="1420" w:bottom="920" w:left="900" w:right="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7"/>
        <w:gridCol w:w="1801"/>
        <w:gridCol w:w="1981"/>
        <w:gridCol w:w="2091"/>
      </w:tblGrid>
      <w:tr>
        <w:trPr>
          <w:trHeight w:val="276" w:hRule="atLeast"/>
        </w:trPr>
        <w:tc>
          <w:tcPr>
            <w:tcW w:w="3707" w:type="dxa"/>
          </w:tcPr>
          <w:p>
            <w:pPr>
              <w:pStyle w:val="TableParagraph"/>
              <w:spacing w:line="256" w:lineRule="exact"/>
              <w:ind w:left="108"/>
              <w:rPr>
                <w:sz w:val="24"/>
              </w:rPr>
            </w:pPr>
            <w:r>
              <w:rPr>
                <w:sz w:val="24"/>
              </w:rPr>
              <w:t>- apă îmbuteliată- Monitoriz.Audit</w:t>
            </w:r>
          </w:p>
        </w:tc>
        <w:tc>
          <w:tcPr>
            <w:tcW w:w="1801" w:type="dxa"/>
          </w:tcPr>
          <w:p>
            <w:pPr>
              <w:pStyle w:val="TableParagraph"/>
              <w:spacing w:line="256" w:lineRule="exact"/>
              <w:ind w:right="254"/>
              <w:jc w:val="center"/>
              <w:rPr>
                <w:sz w:val="24"/>
              </w:rPr>
            </w:pPr>
            <w:r>
              <w:rPr>
                <w:sz w:val="24"/>
              </w:rPr>
              <w:t>2</w:t>
            </w:r>
          </w:p>
        </w:tc>
        <w:tc>
          <w:tcPr>
            <w:tcW w:w="1981" w:type="dxa"/>
          </w:tcPr>
          <w:p>
            <w:pPr>
              <w:pStyle w:val="TableParagraph"/>
              <w:spacing w:line="256" w:lineRule="exact"/>
              <w:ind w:left="690" w:right="648"/>
              <w:jc w:val="center"/>
              <w:rPr>
                <w:sz w:val="24"/>
              </w:rPr>
            </w:pPr>
            <w:r>
              <w:rPr>
                <w:sz w:val="24"/>
              </w:rPr>
              <w:t>28</w:t>
            </w:r>
          </w:p>
        </w:tc>
        <w:tc>
          <w:tcPr>
            <w:tcW w:w="2091" w:type="dxa"/>
          </w:tcPr>
          <w:p>
            <w:pPr>
              <w:pStyle w:val="TableParagraph"/>
              <w:spacing w:line="256" w:lineRule="exact"/>
              <w:ind w:right="306"/>
              <w:jc w:val="center"/>
              <w:rPr>
                <w:sz w:val="24"/>
              </w:rPr>
            </w:pPr>
            <w:r>
              <w:rPr>
                <w:sz w:val="24"/>
              </w:rPr>
              <w:t>0</w:t>
            </w:r>
          </w:p>
        </w:tc>
      </w:tr>
      <w:tr>
        <w:trPr>
          <w:trHeight w:val="275" w:hRule="atLeast"/>
        </w:trPr>
        <w:tc>
          <w:tcPr>
            <w:tcW w:w="3707" w:type="dxa"/>
          </w:tcPr>
          <w:p>
            <w:pPr>
              <w:pStyle w:val="TableParagraph"/>
              <w:spacing w:line="256" w:lineRule="exact"/>
              <w:ind w:left="108"/>
              <w:rPr>
                <w:sz w:val="24"/>
              </w:rPr>
            </w:pPr>
            <w:r>
              <w:rPr>
                <w:sz w:val="24"/>
              </w:rPr>
              <w:t>- de la dozator</w:t>
            </w:r>
          </w:p>
        </w:tc>
        <w:tc>
          <w:tcPr>
            <w:tcW w:w="1801" w:type="dxa"/>
          </w:tcPr>
          <w:p>
            <w:pPr>
              <w:pStyle w:val="TableParagraph"/>
              <w:spacing w:line="256" w:lineRule="exact"/>
              <w:ind w:right="236"/>
              <w:jc w:val="center"/>
              <w:rPr>
                <w:sz w:val="24"/>
              </w:rPr>
            </w:pPr>
            <w:r>
              <w:rPr>
                <w:w w:val="99"/>
                <w:sz w:val="24"/>
              </w:rPr>
              <w:t>-</w:t>
            </w:r>
          </w:p>
        </w:tc>
        <w:tc>
          <w:tcPr>
            <w:tcW w:w="1981" w:type="dxa"/>
          </w:tcPr>
          <w:p>
            <w:pPr>
              <w:pStyle w:val="TableParagraph"/>
              <w:spacing w:line="256" w:lineRule="exact"/>
              <w:ind w:left="276"/>
              <w:jc w:val="center"/>
              <w:rPr>
                <w:sz w:val="24"/>
              </w:rPr>
            </w:pPr>
            <w:r>
              <w:rPr>
                <w:w w:val="99"/>
                <w:sz w:val="24"/>
              </w:rPr>
              <w:t>-</w:t>
            </w:r>
          </w:p>
        </w:tc>
        <w:tc>
          <w:tcPr>
            <w:tcW w:w="2091" w:type="dxa"/>
          </w:tcPr>
          <w:p>
            <w:pPr>
              <w:pStyle w:val="TableParagraph"/>
              <w:spacing w:line="256" w:lineRule="exact"/>
              <w:ind w:right="288"/>
              <w:jc w:val="center"/>
              <w:rPr>
                <w:sz w:val="24"/>
              </w:rPr>
            </w:pPr>
            <w:r>
              <w:rPr>
                <w:w w:val="99"/>
                <w:sz w:val="24"/>
              </w:rPr>
              <w:t>-</w:t>
            </w:r>
          </w:p>
        </w:tc>
      </w:tr>
      <w:tr>
        <w:trPr>
          <w:trHeight w:val="275" w:hRule="atLeast"/>
        </w:trPr>
        <w:tc>
          <w:tcPr>
            <w:tcW w:w="3707" w:type="dxa"/>
          </w:tcPr>
          <w:p>
            <w:pPr>
              <w:pStyle w:val="TableParagraph"/>
              <w:spacing w:line="256" w:lineRule="exact"/>
              <w:ind w:left="108"/>
              <w:rPr>
                <w:sz w:val="24"/>
              </w:rPr>
            </w:pPr>
            <w:r>
              <w:rPr>
                <w:sz w:val="24"/>
              </w:rPr>
              <w:t>- sesizare</w:t>
            </w:r>
          </w:p>
        </w:tc>
        <w:tc>
          <w:tcPr>
            <w:tcW w:w="1801" w:type="dxa"/>
          </w:tcPr>
          <w:p>
            <w:pPr>
              <w:pStyle w:val="TableParagraph"/>
              <w:spacing w:line="256" w:lineRule="exact"/>
              <w:ind w:right="872"/>
              <w:jc w:val="right"/>
              <w:rPr>
                <w:sz w:val="24"/>
              </w:rPr>
            </w:pPr>
            <w:r>
              <w:rPr>
                <w:sz w:val="24"/>
              </w:rPr>
              <w:t>2</w:t>
            </w:r>
          </w:p>
        </w:tc>
        <w:tc>
          <w:tcPr>
            <w:tcW w:w="1981" w:type="dxa"/>
          </w:tcPr>
          <w:p>
            <w:pPr>
              <w:pStyle w:val="TableParagraph"/>
              <w:spacing w:line="256" w:lineRule="exact"/>
              <w:ind w:left="690" w:right="590"/>
              <w:jc w:val="center"/>
              <w:rPr>
                <w:sz w:val="24"/>
              </w:rPr>
            </w:pPr>
            <w:r>
              <w:rPr>
                <w:sz w:val="24"/>
              </w:rPr>
              <w:t>13</w:t>
            </w:r>
          </w:p>
        </w:tc>
        <w:tc>
          <w:tcPr>
            <w:tcW w:w="2091" w:type="dxa"/>
          </w:tcPr>
          <w:p>
            <w:pPr>
              <w:pStyle w:val="TableParagraph"/>
              <w:spacing w:line="256" w:lineRule="exact"/>
              <w:ind w:right="248"/>
              <w:jc w:val="center"/>
              <w:rPr>
                <w:sz w:val="24"/>
              </w:rPr>
            </w:pPr>
            <w:r>
              <w:rPr>
                <w:sz w:val="24"/>
              </w:rPr>
              <w:t>1</w:t>
            </w:r>
          </w:p>
        </w:tc>
      </w:tr>
      <w:tr>
        <w:trPr>
          <w:trHeight w:val="278" w:hRule="atLeast"/>
        </w:trPr>
        <w:tc>
          <w:tcPr>
            <w:tcW w:w="3707" w:type="dxa"/>
          </w:tcPr>
          <w:p>
            <w:pPr>
              <w:pStyle w:val="TableParagraph"/>
              <w:spacing w:line="257" w:lineRule="exact" w:before="1"/>
              <w:ind w:left="108"/>
              <w:rPr>
                <w:sz w:val="24"/>
              </w:rPr>
            </w:pPr>
            <w:r>
              <w:rPr>
                <w:sz w:val="24"/>
              </w:rPr>
              <w:t>- PN II</w:t>
            </w:r>
          </w:p>
        </w:tc>
        <w:tc>
          <w:tcPr>
            <w:tcW w:w="1801" w:type="dxa"/>
          </w:tcPr>
          <w:p>
            <w:pPr>
              <w:pStyle w:val="TableParagraph"/>
              <w:spacing w:line="257" w:lineRule="exact" w:before="1"/>
              <w:ind w:right="196"/>
              <w:jc w:val="center"/>
              <w:rPr>
                <w:sz w:val="24"/>
              </w:rPr>
            </w:pPr>
            <w:r>
              <w:rPr>
                <w:sz w:val="24"/>
              </w:rPr>
              <w:t>6</w:t>
            </w:r>
          </w:p>
        </w:tc>
        <w:tc>
          <w:tcPr>
            <w:tcW w:w="1981" w:type="dxa"/>
          </w:tcPr>
          <w:p>
            <w:pPr>
              <w:pStyle w:val="TableParagraph"/>
              <w:spacing w:line="257" w:lineRule="exact" w:before="1"/>
              <w:ind w:left="690" w:right="590"/>
              <w:jc w:val="center"/>
              <w:rPr>
                <w:sz w:val="24"/>
              </w:rPr>
            </w:pPr>
            <w:r>
              <w:rPr>
                <w:sz w:val="24"/>
              </w:rPr>
              <w:t>48</w:t>
            </w:r>
          </w:p>
        </w:tc>
        <w:tc>
          <w:tcPr>
            <w:tcW w:w="2091" w:type="dxa"/>
          </w:tcPr>
          <w:p>
            <w:pPr>
              <w:pStyle w:val="TableParagraph"/>
              <w:spacing w:line="257" w:lineRule="exact" w:before="1"/>
              <w:ind w:right="248"/>
              <w:jc w:val="center"/>
              <w:rPr>
                <w:sz w:val="24"/>
              </w:rPr>
            </w:pPr>
            <w:r>
              <w:rPr>
                <w:sz w:val="24"/>
              </w:rPr>
              <w:t>0</w:t>
            </w:r>
          </w:p>
        </w:tc>
      </w:tr>
      <w:tr>
        <w:trPr>
          <w:trHeight w:val="551" w:hRule="atLeast"/>
        </w:trPr>
        <w:tc>
          <w:tcPr>
            <w:tcW w:w="3707" w:type="dxa"/>
          </w:tcPr>
          <w:p>
            <w:pPr>
              <w:pStyle w:val="TableParagraph"/>
              <w:spacing w:line="276" w:lineRule="exact" w:before="2"/>
              <w:ind w:left="108"/>
              <w:rPr>
                <w:sz w:val="24"/>
              </w:rPr>
            </w:pPr>
            <w:r>
              <w:rPr>
                <w:sz w:val="24"/>
              </w:rPr>
              <w:t>Recoltate de beneficiari (persoane fizice şi juridice):</w:t>
            </w:r>
          </w:p>
        </w:tc>
        <w:tc>
          <w:tcPr>
            <w:tcW w:w="1801" w:type="dxa"/>
          </w:tcPr>
          <w:p>
            <w:pPr>
              <w:pStyle w:val="TableParagraph"/>
              <w:spacing w:line="275" w:lineRule="exact"/>
              <w:ind w:left="467"/>
              <w:rPr>
                <w:sz w:val="24"/>
              </w:rPr>
            </w:pPr>
            <w:r>
              <w:rPr>
                <w:sz w:val="24"/>
              </w:rPr>
              <w:t>653</w:t>
            </w:r>
          </w:p>
        </w:tc>
        <w:tc>
          <w:tcPr>
            <w:tcW w:w="1981" w:type="dxa"/>
          </w:tcPr>
          <w:p>
            <w:pPr>
              <w:pStyle w:val="TableParagraph"/>
              <w:spacing w:line="275" w:lineRule="exact"/>
              <w:ind w:left="649"/>
              <w:rPr>
                <w:sz w:val="24"/>
              </w:rPr>
            </w:pPr>
            <w:r>
              <w:rPr>
                <w:sz w:val="24"/>
              </w:rPr>
              <w:t>6.371</w:t>
            </w:r>
          </w:p>
        </w:tc>
        <w:tc>
          <w:tcPr>
            <w:tcW w:w="2091" w:type="dxa"/>
          </w:tcPr>
          <w:p>
            <w:pPr>
              <w:pStyle w:val="TableParagraph"/>
              <w:spacing w:line="275" w:lineRule="exact"/>
              <w:ind w:left="586"/>
              <w:rPr>
                <w:sz w:val="24"/>
              </w:rPr>
            </w:pPr>
            <w:r>
              <w:rPr>
                <w:sz w:val="24"/>
              </w:rPr>
              <w:t>126</w:t>
            </w:r>
          </w:p>
        </w:tc>
      </w:tr>
      <w:tr>
        <w:trPr>
          <w:trHeight w:val="273" w:hRule="atLeast"/>
        </w:trPr>
        <w:tc>
          <w:tcPr>
            <w:tcW w:w="3707" w:type="dxa"/>
          </w:tcPr>
          <w:p>
            <w:pPr>
              <w:pStyle w:val="TableParagraph"/>
              <w:spacing w:line="253" w:lineRule="exact"/>
              <w:ind w:left="108"/>
              <w:rPr>
                <w:sz w:val="24"/>
              </w:rPr>
            </w:pPr>
            <w:r>
              <w:rPr>
                <w:sz w:val="24"/>
              </w:rPr>
              <w:t>- analize cu plată</w:t>
            </w:r>
          </w:p>
        </w:tc>
        <w:tc>
          <w:tcPr>
            <w:tcW w:w="1801" w:type="dxa"/>
          </w:tcPr>
          <w:p>
            <w:pPr>
              <w:pStyle w:val="TableParagraph"/>
              <w:spacing w:line="253" w:lineRule="exact"/>
              <w:ind w:right="356"/>
              <w:jc w:val="center"/>
              <w:rPr>
                <w:sz w:val="24"/>
              </w:rPr>
            </w:pPr>
            <w:r>
              <w:rPr>
                <w:w w:val="99"/>
                <w:sz w:val="24"/>
              </w:rPr>
              <w:t>-</w:t>
            </w:r>
          </w:p>
        </w:tc>
        <w:tc>
          <w:tcPr>
            <w:tcW w:w="1981" w:type="dxa"/>
          </w:tcPr>
          <w:p>
            <w:pPr>
              <w:pStyle w:val="TableParagraph"/>
              <w:spacing w:line="253" w:lineRule="exact"/>
              <w:ind w:left="276"/>
              <w:jc w:val="center"/>
              <w:rPr>
                <w:sz w:val="24"/>
              </w:rPr>
            </w:pPr>
            <w:r>
              <w:rPr>
                <w:w w:val="99"/>
                <w:sz w:val="24"/>
              </w:rPr>
              <w:t>-</w:t>
            </w:r>
          </w:p>
        </w:tc>
        <w:tc>
          <w:tcPr>
            <w:tcW w:w="2091" w:type="dxa"/>
          </w:tcPr>
          <w:p>
            <w:pPr>
              <w:pStyle w:val="TableParagraph"/>
              <w:spacing w:line="253" w:lineRule="exact"/>
              <w:ind w:left="98"/>
              <w:jc w:val="center"/>
              <w:rPr>
                <w:sz w:val="24"/>
              </w:rPr>
            </w:pPr>
            <w:r>
              <w:rPr>
                <w:w w:val="99"/>
                <w:sz w:val="24"/>
              </w:rPr>
              <w:t>-</w:t>
            </w:r>
          </w:p>
        </w:tc>
      </w:tr>
      <w:tr>
        <w:trPr>
          <w:trHeight w:val="275" w:hRule="atLeast"/>
        </w:trPr>
        <w:tc>
          <w:tcPr>
            <w:tcW w:w="3707" w:type="dxa"/>
          </w:tcPr>
          <w:p>
            <w:pPr>
              <w:pStyle w:val="TableParagraph"/>
              <w:spacing w:line="256" w:lineRule="exact"/>
              <w:ind w:left="108"/>
              <w:rPr>
                <w:sz w:val="24"/>
              </w:rPr>
            </w:pPr>
            <w:r>
              <w:rPr>
                <w:sz w:val="24"/>
              </w:rPr>
              <w:t>- dozator</w:t>
            </w:r>
          </w:p>
        </w:tc>
        <w:tc>
          <w:tcPr>
            <w:tcW w:w="1801" w:type="dxa"/>
          </w:tcPr>
          <w:p>
            <w:pPr>
              <w:pStyle w:val="TableParagraph"/>
              <w:spacing w:line="256" w:lineRule="exact"/>
              <w:ind w:right="345"/>
              <w:jc w:val="center"/>
              <w:rPr>
                <w:sz w:val="24"/>
              </w:rPr>
            </w:pPr>
            <w:r>
              <w:rPr>
                <w:sz w:val="24"/>
              </w:rPr>
              <w:t>4</w:t>
            </w:r>
          </w:p>
        </w:tc>
        <w:tc>
          <w:tcPr>
            <w:tcW w:w="1981" w:type="dxa"/>
          </w:tcPr>
          <w:p>
            <w:pPr>
              <w:pStyle w:val="TableParagraph"/>
              <w:spacing w:line="256" w:lineRule="exact"/>
              <w:ind w:left="690" w:right="499"/>
              <w:jc w:val="center"/>
              <w:rPr>
                <w:sz w:val="24"/>
              </w:rPr>
            </w:pPr>
            <w:r>
              <w:rPr>
                <w:sz w:val="24"/>
              </w:rPr>
              <w:t>48</w:t>
            </w:r>
          </w:p>
        </w:tc>
        <w:tc>
          <w:tcPr>
            <w:tcW w:w="2091" w:type="dxa"/>
          </w:tcPr>
          <w:p>
            <w:pPr>
              <w:pStyle w:val="TableParagraph"/>
              <w:spacing w:line="256" w:lineRule="exact"/>
              <w:ind w:right="128"/>
              <w:jc w:val="center"/>
              <w:rPr>
                <w:sz w:val="24"/>
              </w:rPr>
            </w:pPr>
            <w:r>
              <w:rPr>
                <w:sz w:val="24"/>
              </w:rPr>
              <w:t>0</w:t>
            </w:r>
          </w:p>
        </w:tc>
      </w:tr>
      <w:tr>
        <w:trPr>
          <w:trHeight w:val="275" w:hRule="atLeast"/>
        </w:trPr>
        <w:tc>
          <w:tcPr>
            <w:tcW w:w="3707" w:type="dxa"/>
          </w:tcPr>
          <w:p>
            <w:pPr>
              <w:pStyle w:val="TableParagraph"/>
              <w:spacing w:line="256" w:lineRule="exact"/>
              <w:ind w:left="108"/>
              <w:rPr>
                <w:sz w:val="24"/>
              </w:rPr>
            </w:pPr>
            <w:r>
              <w:rPr>
                <w:sz w:val="24"/>
              </w:rPr>
              <w:t>- îmbuteliată</w:t>
            </w:r>
          </w:p>
        </w:tc>
        <w:tc>
          <w:tcPr>
            <w:tcW w:w="1801" w:type="dxa"/>
          </w:tcPr>
          <w:p>
            <w:pPr>
              <w:pStyle w:val="TableParagraph"/>
              <w:spacing w:line="256" w:lineRule="exact"/>
              <w:ind w:right="887"/>
              <w:jc w:val="right"/>
              <w:rPr>
                <w:sz w:val="24"/>
              </w:rPr>
            </w:pPr>
            <w:r>
              <w:rPr>
                <w:sz w:val="24"/>
              </w:rPr>
              <w:t>20</w:t>
            </w:r>
          </w:p>
        </w:tc>
        <w:tc>
          <w:tcPr>
            <w:tcW w:w="1981" w:type="dxa"/>
          </w:tcPr>
          <w:p>
            <w:pPr>
              <w:pStyle w:val="TableParagraph"/>
              <w:spacing w:line="256" w:lineRule="exact"/>
              <w:ind w:left="690" w:right="499"/>
              <w:jc w:val="center"/>
              <w:rPr>
                <w:sz w:val="24"/>
              </w:rPr>
            </w:pPr>
            <w:r>
              <w:rPr>
                <w:sz w:val="24"/>
              </w:rPr>
              <w:t>236</w:t>
            </w:r>
          </w:p>
        </w:tc>
        <w:tc>
          <w:tcPr>
            <w:tcW w:w="2091" w:type="dxa"/>
          </w:tcPr>
          <w:p>
            <w:pPr>
              <w:pStyle w:val="TableParagraph"/>
              <w:spacing w:line="256" w:lineRule="exact"/>
              <w:ind w:right="128"/>
              <w:jc w:val="center"/>
              <w:rPr>
                <w:sz w:val="24"/>
              </w:rPr>
            </w:pPr>
            <w:r>
              <w:rPr>
                <w:sz w:val="24"/>
              </w:rPr>
              <w:t>0</w:t>
            </w:r>
          </w:p>
        </w:tc>
      </w:tr>
      <w:tr>
        <w:trPr>
          <w:trHeight w:val="275" w:hRule="atLeast"/>
        </w:trPr>
        <w:tc>
          <w:tcPr>
            <w:tcW w:w="3707" w:type="dxa"/>
          </w:tcPr>
          <w:p>
            <w:pPr>
              <w:pStyle w:val="TableParagraph"/>
              <w:spacing w:line="256" w:lineRule="exact"/>
              <w:ind w:left="108"/>
              <w:rPr>
                <w:sz w:val="24"/>
              </w:rPr>
            </w:pPr>
            <w:r>
              <w:rPr>
                <w:sz w:val="24"/>
              </w:rPr>
              <w:t>Recoltate de DSPJ ILFOV:</w:t>
            </w:r>
          </w:p>
        </w:tc>
        <w:tc>
          <w:tcPr>
            <w:tcW w:w="1801" w:type="dxa"/>
          </w:tcPr>
          <w:p>
            <w:pPr>
              <w:pStyle w:val="TableParagraph"/>
              <w:rPr>
                <w:sz w:val="20"/>
              </w:rPr>
            </w:pPr>
          </w:p>
        </w:tc>
        <w:tc>
          <w:tcPr>
            <w:tcW w:w="1981" w:type="dxa"/>
          </w:tcPr>
          <w:p>
            <w:pPr>
              <w:pStyle w:val="TableParagraph"/>
              <w:rPr>
                <w:sz w:val="20"/>
              </w:rPr>
            </w:pPr>
          </w:p>
        </w:tc>
        <w:tc>
          <w:tcPr>
            <w:tcW w:w="2091" w:type="dxa"/>
          </w:tcPr>
          <w:p>
            <w:pPr>
              <w:pStyle w:val="TableParagraph"/>
              <w:rPr>
                <w:sz w:val="20"/>
              </w:rPr>
            </w:pPr>
          </w:p>
        </w:tc>
      </w:tr>
      <w:tr>
        <w:trPr>
          <w:trHeight w:val="277" w:hRule="atLeast"/>
        </w:trPr>
        <w:tc>
          <w:tcPr>
            <w:tcW w:w="3707" w:type="dxa"/>
          </w:tcPr>
          <w:p>
            <w:pPr>
              <w:pStyle w:val="TableParagraph"/>
              <w:spacing w:line="257" w:lineRule="exact" w:before="1"/>
              <w:ind w:left="108"/>
              <w:rPr>
                <w:sz w:val="24"/>
              </w:rPr>
            </w:pPr>
            <w:r>
              <w:rPr>
                <w:sz w:val="24"/>
              </w:rPr>
              <w:t>- monitorizare de audit/cu plată</w:t>
            </w:r>
          </w:p>
        </w:tc>
        <w:tc>
          <w:tcPr>
            <w:tcW w:w="1801" w:type="dxa"/>
          </w:tcPr>
          <w:p>
            <w:pPr>
              <w:pStyle w:val="TableParagraph"/>
              <w:spacing w:line="257" w:lineRule="exact" w:before="1"/>
              <w:ind w:left="407"/>
              <w:rPr>
                <w:sz w:val="24"/>
              </w:rPr>
            </w:pPr>
            <w:r>
              <w:rPr>
                <w:sz w:val="24"/>
              </w:rPr>
              <w:t>208</w:t>
            </w:r>
          </w:p>
        </w:tc>
        <w:tc>
          <w:tcPr>
            <w:tcW w:w="1981" w:type="dxa"/>
          </w:tcPr>
          <w:p>
            <w:pPr>
              <w:pStyle w:val="TableParagraph"/>
              <w:spacing w:line="257" w:lineRule="exact" w:before="1"/>
              <w:ind w:left="526"/>
              <w:rPr>
                <w:sz w:val="24"/>
              </w:rPr>
            </w:pPr>
            <w:r>
              <w:rPr>
                <w:sz w:val="24"/>
              </w:rPr>
              <w:t>1.000</w:t>
            </w:r>
          </w:p>
        </w:tc>
        <w:tc>
          <w:tcPr>
            <w:tcW w:w="2091" w:type="dxa"/>
          </w:tcPr>
          <w:p>
            <w:pPr>
              <w:pStyle w:val="TableParagraph"/>
              <w:spacing w:line="257" w:lineRule="exact" w:before="1"/>
              <w:ind w:right="794"/>
              <w:jc w:val="right"/>
              <w:rPr>
                <w:sz w:val="24"/>
              </w:rPr>
            </w:pPr>
            <w:r>
              <w:rPr>
                <w:sz w:val="24"/>
              </w:rPr>
              <w:t>38</w:t>
            </w:r>
          </w:p>
        </w:tc>
      </w:tr>
      <w:tr>
        <w:trPr>
          <w:trHeight w:val="275" w:hRule="atLeast"/>
        </w:trPr>
        <w:tc>
          <w:tcPr>
            <w:tcW w:w="3707" w:type="dxa"/>
          </w:tcPr>
          <w:p>
            <w:pPr>
              <w:pStyle w:val="TableParagraph"/>
              <w:spacing w:line="256" w:lineRule="exact"/>
              <w:ind w:left="108"/>
              <w:rPr>
                <w:sz w:val="24"/>
              </w:rPr>
            </w:pPr>
            <w:r>
              <w:rPr>
                <w:sz w:val="24"/>
              </w:rPr>
              <w:t>- sesizare</w:t>
            </w:r>
          </w:p>
        </w:tc>
        <w:tc>
          <w:tcPr>
            <w:tcW w:w="1801" w:type="dxa"/>
          </w:tcPr>
          <w:p>
            <w:pPr>
              <w:pStyle w:val="TableParagraph"/>
              <w:spacing w:line="256" w:lineRule="exact"/>
              <w:ind w:right="404"/>
              <w:jc w:val="center"/>
              <w:rPr>
                <w:sz w:val="24"/>
              </w:rPr>
            </w:pPr>
            <w:r>
              <w:rPr>
                <w:sz w:val="24"/>
              </w:rPr>
              <w:t>3</w:t>
            </w:r>
          </w:p>
        </w:tc>
        <w:tc>
          <w:tcPr>
            <w:tcW w:w="1981" w:type="dxa"/>
          </w:tcPr>
          <w:p>
            <w:pPr>
              <w:pStyle w:val="TableParagraph"/>
              <w:spacing w:line="256" w:lineRule="exact"/>
              <w:ind w:left="690" w:right="677"/>
              <w:jc w:val="center"/>
              <w:rPr>
                <w:sz w:val="24"/>
              </w:rPr>
            </w:pPr>
            <w:r>
              <w:rPr>
                <w:sz w:val="24"/>
              </w:rPr>
              <w:t>31</w:t>
            </w:r>
          </w:p>
        </w:tc>
        <w:tc>
          <w:tcPr>
            <w:tcW w:w="2091" w:type="dxa"/>
          </w:tcPr>
          <w:p>
            <w:pPr>
              <w:pStyle w:val="TableParagraph"/>
              <w:spacing w:line="256" w:lineRule="exact"/>
              <w:ind w:right="801"/>
              <w:jc w:val="right"/>
              <w:rPr>
                <w:sz w:val="24"/>
              </w:rPr>
            </w:pPr>
            <w:r>
              <w:rPr>
                <w:sz w:val="24"/>
              </w:rPr>
              <w:t>2</w:t>
            </w:r>
          </w:p>
        </w:tc>
      </w:tr>
      <w:tr>
        <w:trPr>
          <w:trHeight w:val="552" w:hRule="atLeast"/>
        </w:trPr>
        <w:tc>
          <w:tcPr>
            <w:tcW w:w="3707" w:type="dxa"/>
          </w:tcPr>
          <w:p>
            <w:pPr>
              <w:pStyle w:val="TableParagraph"/>
              <w:spacing w:line="276" w:lineRule="exact" w:before="2"/>
              <w:ind w:left="108"/>
              <w:rPr>
                <w:sz w:val="24"/>
              </w:rPr>
            </w:pPr>
            <w:r>
              <w:rPr>
                <w:sz w:val="24"/>
              </w:rPr>
              <w:t>-Acţiune tematica MS îmbuteliată- BICFRMV</w:t>
            </w:r>
          </w:p>
        </w:tc>
        <w:tc>
          <w:tcPr>
            <w:tcW w:w="1801" w:type="dxa"/>
          </w:tcPr>
          <w:p>
            <w:pPr>
              <w:pStyle w:val="TableParagraph"/>
              <w:spacing w:line="275" w:lineRule="exact"/>
              <w:ind w:right="374"/>
              <w:jc w:val="center"/>
              <w:rPr>
                <w:sz w:val="24"/>
              </w:rPr>
            </w:pPr>
            <w:r>
              <w:rPr>
                <w:sz w:val="24"/>
              </w:rPr>
              <w:t>3</w:t>
            </w:r>
          </w:p>
        </w:tc>
        <w:tc>
          <w:tcPr>
            <w:tcW w:w="1981" w:type="dxa"/>
          </w:tcPr>
          <w:p>
            <w:pPr>
              <w:pStyle w:val="TableParagraph"/>
              <w:spacing w:line="275" w:lineRule="exact"/>
              <w:ind w:left="690" w:right="648"/>
              <w:jc w:val="center"/>
              <w:rPr>
                <w:sz w:val="24"/>
              </w:rPr>
            </w:pPr>
            <w:r>
              <w:rPr>
                <w:sz w:val="24"/>
              </w:rPr>
              <w:t>13</w:t>
            </w:r>
          </w:p>
        </w:tc>
        <w:tc>
          <w:tcPr>
            <w:tcW w:w="2091" w:type="dxa"/>
          </w:tcPr>
          <w:p>
            <w:pPr>
              <w:pStyle w:val="TableParagraph"/>
              <w:spacing w:line="275" w:lineRule="exact"/>
              <w:ind w:right="794"/>
              <w:jc w:val="right"/>
              <w:rPr>
                <w:sz w:val="24"/>
              </w:rPr>
            </w:pPr>
            <w:r>
              <w:rPr>
                <w:sz w:val="24"/>
              </w:rPr>
              <w:t>0</w:t>
            </w:r>
          </w:p>
        </w:tc>
      </w:tr>
    </w:tbl>
    <w:p>
      <w:pPr>
        <w:pStyle w:val="BodyText"/>
        <w:spacing w:before="1"/>
        <w:ind w:left="0"/>
        <w:rPr>
          <w:sz w:val="16"/>
        </w:rPr>
      </w:pPr>
    </w:p>
    <w:p>
      <w:pPr>
        <w:spacing w:before="90"/>
        <w:ind w:left="233" w:right="0" w:firstLine="0"/>
        <w:jc w:val="left"/>
        <w:rPr>
          <w:sz w:val="24"/>
        </w:rPr>
      </w:pPr>
      <w:r>
        <w:rPr>
          <w:b/>
          <w:sz w:val="24"/>
        </w:rPr>
        <w:t>Determinari fizico-chimice </w:t>
      </w:r>
      <w:r>
        <w:rPr>
          <w:sz w:val="24"/>
        </w:rPr>
        <w:t>pentru apa de îmbăiere </w:t>
      </w:r>
      <w:r>
        <w:rPr>
          <w:b/>
          <w:sz w:val="24"/>
        </w:rPr>
        <w:t>(</w:t>
      </w:r>
      <w:r>
        <w:rPr>
          <w:sz w:val="24"/>
        </w:rPr>
        <w:t>bazine de înot, piscine, jacuzzi)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9"/>
        <w:gridCol w:w="1601"/>
        <w:gridCol w:w="1966"/>
        <w:gridCol w:w="2002"/>
      </w:tblGrid>
      <w:tr>
        <w:trPr>
          <w:trHeight w:val="551" w:hRule="atLeast"/>
        </w:trPr>
        <w:tc>
          <w:tcPr>
            <w:tcW w:w="4009" w:type="dxa"/>
          </w:tcPr>
          <w:p>
            <w:pPr>
              <w:pStyle w:val="TableParagraph"/>
              <w:rPr>
                <w:sz w:val="24"/>
              </w:rPr>
            </w:pPr>
          </w:p>
        </w:tc>
        <w:tc>
          <w:tcPr>
            <w:tcW w:w="1601" w:type="dxa"/>
          </w:tcPr>
          <w:p>
            <w:pPr>
              <w:pStyle w:val="TableParagraph"/>
              <w:spacing w:line="275" w:lineRule="exact"/>
              <w:ind w:right="561"/>
              <w:jc w:val="right"/>
              <w:rPr>
                <w:sz w:val="24"/>
              </w:rPr>
            </w:pPr>
            <w:r>
              <w:rPr>
                <w:sz w:val="24"/>
              </w:rPr>
              <w:t>Nr. probe</w:t>
            </w:r>
          </w:p>
        </w:tc>
        <w:tc>
          <w:tcPr>
            <w:tcW w:w="1966" w:type="dxa"/>
          </w:tcPr>
          <w:p>
            <w:pPr>
              <w:pStyle w:val="TableParagraph"/>
              <w:spacing w:line="275" w:lineRule="exact"/>
              <w:ind w:left="110"/>
              <w:rPr>
                <w:sz w:val="24"/>
              </w:rPr>
            </w:pPr>
            <w:r>
              <w:rPr>
                <w:sz w:val="24"/>
              </w:rPr>
              <w:t>Nr. determinari</w:t>
            </w:r>
          </w:p>
        </w:tc>
        <w:tc>
          <w:tcPr>
            <w:tcW w:w="2002" w:type="dxa"/>
          </w:tcPr>
          <w:p>
            <w:pPr>
              <w:pStyle w:val="TableParagraph"/>
              <w:spacing w:line="276" w:lineRule="exact" w:before="2"/>
              <w:ind w:left="108" w:right="78"/>
              <w:rPr>
                <w:sz w:val="24"/>
              </w:rPr>
            </w:pPr>
            <w:r>
              <w:rPr>
                <w:sz w:val="24"/>
              </w:rPr>
              <w:t>Probe necorespunzătoare</w:t>
            </w:r>
          </w:p>
        </w:tc>
      </w:tr>
      <w:tr>
        <w:trPr>
          <w:trHeight w:val="273" w:hRule="atLeast"/>
        </w:trPr>
        <w:tc>
          <w:tcPr>
            <w:tcW w:w="4009" w:type="dxa"/>
          </w:tcPr>
          <w:p>
            <w:pPr>
              <w:pStyle w:val="TableParagraph"/>
              <w:spacing w:line="253" w:lineRule="exact"/>
              <w:ind w:left="108"/>
              <w:rPr>
                <w:sz w:val="24"/>
              </w:rPr>
            </w:pPr>
            <w:r>
              <w:rPr>
                <w:sz w:val="24"/>
              </w:rPr>
              <w:t>-recoltate de CFRFMVM :</w:t>
            </w:r>
          </w:p>
        </w:tc>
        <w:tc>
          <w:tcPr>
            <w:tcW w:w="1601" w:type="dxa"/>
          </w:tcPr>
          <w:p>
            <w:pPr>
              <w:pStyle w:val="TableParagraph"/>
              <w:spacing w:line="253" w:lineRule="exact"/>
              <w:ind w:right="640"/>
              <w:jc w:val="right"/>
              <w:rPr>
                <w:sz w:val="24"/>
              </w:rPr>
            </w:pPr>
            <w:r>
              <w:rPr>
                <w:sz w:val="24"/>
              </w:rPr>
              <w:t>5</w:t>
            </w:r>
          </w:p>
        </w:tc>
        <w:tc>
          <w:tcPr>
            <w:tcW w:w="1966" w:type="dxa"/>
          </w:tcPr>
          <w:p>
            <w:pPr>
              <w:pStyle w:val="TableParagraph"/>
              <w:spacing w:line="253" w:lineRule="exact"/>
              <w:ind w:left="822" w:right="642"/>
              <w:jc w:val="center"/>
              <w:rPr>
                <w:sz w:val="24"/>
              </w:rPr>
            </w:pPr>
            <w:r>
              <w:rPr>
                <w:sz w:val="24"/>
              </w:rPr>
              <w:t>10</w:t>
            </w:r>
          </w:p>
        </w:tc>
        <w:tc>
          <w:tcPr>
            <w:tcW w:w="2002" w:type="dxa"/>
          </w:tcPr>
          <w:p>
            <w:pPr>
              <w:pStyle w:val="TableParagraph"/>
              <w:spacing w:line="253" w:lineRule="exact"/>
              <w:ind w:left="19"/>
              <w:jc w:val="center"/>
              <w:rPr>
                <w:sz w:val="24"/>
              </w:rPr>
            </w:pPr>
            <w:r>
              <w:rPr>
                <w:sz w:val="24"/>
              </w:rPr>
              <w:t>0</w:t>
            </w:r>
          </w:p>
        </w:tc>
      </w:tr>
      <w:tr>
        <w:trPr>
          <w:trHeight w:val="275" w:hRule="atLeast"/>
        </w:trPr>
        <w:tc>
          <w:tcPr>
            <w:tcW w:w="4009" w:type="dxa"/>
          </w:tcPr>
          <w:p>
            <w:pPr>
              <w:pStyle w:val="TableParagraph"/>
              <w:spacing w:line="256" w:lineRule="exact"/>
              <w:ind w:left="108"/>
              <w:rPr>
                <w:sz w:val="24"/>
              </w:rPr>
            </w:pPr>
            <w:r>
              <w:rPr>
                <w:sz w:val="24"/>
              </w:rPr>
              <w:t>- monitorizare de audit</w:t>
            </w:r>
          </w:p>
        </w:tc>
        <w:tc>
          <w:tcPr>
            <w:tcW w:w="1601" w:type="dxa"/>
          </w:tcPr>
          <w:p>
            <w:pPr>
              <w:pStyle w:val="TableParagraph"/>
              <w:spacing w:line="256" w:lineRule="exact"/>
              <w:ind w:right="613"/>
              <w:jc w:val="right"/>
              <w:rPr>
                <w:sz w:val="24"/>
              </w:rPr>
            </w:pPr>
            <w:r>
              <w:rPr>
                <w:w w:val="99"/>
                <w:sz w:val="24"/>
              </w:rPr>
              <w:t>-</w:t>
            </w:r>
          </w:p>
        </w:tc>
        <w:tc>
          <w:tcPr>
            <w:tcW w:w="1966" w:type="dxa"/>
          </w:tcPr>
          <w:p>
            <w:pPr>
              <w:pStyle w:val="TableParagraph"/>
              <w:spacing w:line="256" w:lineRule="exact"/>
              <w:ind w:left="279"/>
              <w:jc w:val="center"/>
              <w:rPr>
                <w:sz w:val="24"/>
              </w:rPr>
            </w:pPr>
            <w:r>
              <w:rPr>
                <w:w w:val="99"/>
                <w:sz w:val="24"/>
              </w:rPr>
              <w:t>-</w:t>
            </w:r>
          </w:p>
        </w:tc>
        <w:tc>
          <w:tcPr>
            <w:tcW w:w="2002" w:type="dxa"/>
          </w:tcPr>
          <w:p>
            <w:pPr>
              <w:pStyle w:val="TableParagraph"/>
              <w:spacing w:line="256" w:lineRule="exact"/>
              <w:ind w:left="94"/>
              <w:jc w:val="center"/>
              <w:rPr>
                <w:sz w:val="24"/>
              </w:rPr>
            </w:pPr>
            <w:r>
              <w:rPr>
                <w:w w:val="99"/>
                <w:sz w:val="24"/>
              </w:rPr>
              <w:t>-</w:t>
            </w:r>
          </w:p>
        </w:tc>
      </w:tr>
      <w:tr>
        <w:trPr>
          <w:trHeight w:val="278" w:hRule="atLeast"/>
        </w:trPr>
        <w:tc>
          <w:tcPr>
            <w:tcW w:w="4009" w:type="dxa"/>
          </w:tcPr>
          <w:p>
            <w:pPr>
              <w:pStyle w:val="TableParagraph"/>
              <w:spacing w:line="257" w:lineRule="exact" w:before="1"/>
              <w:ind w:left="108"/>
              <w:rPr>
                <w:sz w:val="24"/>
              </w:rPr>
            </w:pPr>
            <w:r>
              <w:rPr>
                <w:sz w:val="24"/>
              </w:rPr>
              <w:t>- analize cu plată</w:t>
            </w:r>
          </w:p>
        </w:tc>
        <w:tc>
          <w:tcPr>
            <w:tcW w:w="1601" w:type="dxa"/>
          </w:tcPr>
          <w:p>
            <w:pPr>
              <w:pStyle w:val="TableParagraph"/>
              <w:spacing w:line="257" w:lineRule="exact" w:before="1"/>
              <w:ind w:right="613"/>
              <w:jc w:val="right"/>
              <w:rPr>
                <w:sz w:val="24"/>
              </w:rPr>
            </w:pPr>
            <w:r>
              <w:rPr>
                <w:w w:val="99"/>
                <w:sz w:val="24"/>
              </w:rPr>
              <w:t>-</w:t>
            </w:r>
          </w:p>
        </w:tc>
        <w:tc>
          <w:tcPr>
            <w:tcW w:w="1966" w:type="dxa"/>
          </w:tcPr>
          <w:p>
            <w:pPr>
              <w:pStyle w:val="TableParagraph"/>
              <w:spacing w:line="257" w:lineRule="exact" w:before="1"/>
              <w:ind w:left="279"/>
              <w:jc w:val="center"/>
              <w:rPr>
                <w:sz w:val="24"/>
              </w:rPr>
            </w:pPr>
            <w:r>
              <w:rPr>
                <w:w w:val="99"/>
                <w:sz w:val="24"/>
              </w:rPr>
              <w:t>-</w:t>
            </w:r>
          </w:p>
        </w:tc>
        <w:tc>
          <w:tcPr>
            <w:tcW w:w="2002" w:type="dxa"/>
          </w:tcPr>
          <w:p>
            <w:pPr>
              <w:pStyle w:val="TableParagraph"/>
              <w:spacing w:line="257" w:lineRule="exact" w:before="1"/>
              <w:ind w:left="94"/>
              <w:jc w:val="center"/>
              <w:rPr>
                <w:sz w:val="24"/>
              </w:rPr>
            </w:pPr>
            <w:r>
              <w:rPr>
                <w:w w:val="99"/>
                <w:sz w:val="24"/>
              </w:rPr>
              <w:t>-</w:t>
            </w:r>
          </w:p>
        </w:tc>
      </w:tr>
      <w:tr>
        <w:trPr>
          <w:trHeight w:val="275" w:hRule="atLeast"/>
        </w:trPr>
        <w:tc>
          <w:tcPr>
            <w:tcW w:w="4009" w:type="dxa"/>
          </w:tcPr>
          <w:p>
            <w:pPr>
              <w:pStyle w:val="TableParagraph"/>
              <w:spacing w:line="256" w:lineRule="exact"/>
              <w:ind w:left="108"/>
              <w:rPr>
                <w:sz w:val="24"/>
              </w:rPr>
            </w:pPr>
            <w:r>
              <w:rPr>
                <w:sz w:val="24"/>
              </w:rPr>
              <w:t>Beneficiari (persoane fizice şi juridice)</w:t>
            </w:r>
          </w:p>
        </w:tc>
        <w:tc>
          <w:tcPr>
            <w:tcW w:w="1601" w:type="dxa"/>
          </w:tcPr>
          <w:p>
            <w:pPr>
              <w:pStyle w:val="TableParagraph"/>
              <w:spacing w:line="256" w:lineRule="exact"/>
              <w:ind w:right="566"/>
              <w:jc w:val="right"/>
              <w:rPr>
                <w:sz w:val="24"/>
              </w:rPr>
            </w:pPr>
            <w:r>
              <w:rPr>
                <w:sz w:val="24"/>
              </w:rPr>
              <w:t>307</w:t>
            </w:r>
          </w:p>
        </w:tc>
        <w:tc>
          <w:tcPr>
            <w:tcW w:w="1966" w:type="dxa"/>
          </w:tcPr>
          <w:p>
            <w:pPr>
              <w:pStyle w:val="TableParagraph"/>
              <w:spacing w:line="256" w:lineRule="exact"/>
              <w:ind w:left="776" w:right="688"/>
              <w:jc w:val="center"/>
              <w:rPr>
                <w:sz w:val="24"/>
              </w:rPr>
            </w:pPr>
            <w:r>
              <w:rPr>
                <w:sz w:val="24"/>
              </w:rPr>
              <w:t>914</w:t>
            </w:r>
          </w:p>
        </w:tc>
        <w:tc>
          <w:tcPr>
            <w:tcW w:w="2002" w:type="dxa"/>
          </w:tcPr>
          <w:p>
            <w:pPr>
              <w:pStyle w:val="TableParagraph"/>
              <w:spacing w:line="256" w:lineRule="exact"/>
              <w:ind w:left="834" w:right="786"/>
              <w:jc w:val="center"/>
              <w:rPr>
                <w:sz w:val="24"/>
              </w:rPr>
            </w:pPr>
            <w:r>
              <w:rPr>
                <w:sz w:val="24"/>
              </w:rPr>
              <w:t>57</w:t>
            </w:r>
          </w:p>
        </w:tc>
      </w:tr>
      <w:tr>
        <w:trPr>
          <w:trHeight w:val="275" w:hRule="atLeast"/>
        </w:trPr>
        <w:tc>
          <w:tcPr>
            <w:tcW w:w="4009" w:type="dxa"/>
          </w:tcPr>
          <w:p>
            <w:pPr>
              <w:pStyle w:val="TableParagraph"/>
              <w:spacing w:line="256" w:lineRule="exact"/>
              <w:ind w:left="108"/>
              <w:rPr>
                <w:sz w:val="24"/>
              </w:rPr>
            </w:pPr>
            <w:r>
              <w:rPr>
                <w:sz w:val="24"/>
              </w:rPr>
              <w:t>Recoltate de BICFRMVM</w:t>
            </w:r>
          </w:p>
        </w:tc>
        <w:tc>
          <w:tcPr>
            <w:tcW w:w="1601" w:type="dxa"/>
          </w:tcPr>
          <w:p>
            <w:pPr>
              <w:pStyle w:val="TableParagraph"/>
              <w:spacing w:line="256" w:lineRule="exact"/>
              <w:ind w:right="580"/>
              <w:jc w:val="right"/>
              <w:rPr>
                <w:sz w:val="24"/>
              </w:rPr>
            </w:pPr>
            <w:r>
              <w:rPr>
                <w:sz w:val="24"/>
              </w:rPr>
              <w:t>71</w:t>
            </w:r>
          </w:p>
        </w:tc>
        <w:tc>
          <w:tcPr>
            <w:tcW w:w="1966" w:type="dxa"/>
          </w:tcPr>
          <w:p>
            <w:pPr>
              <w:pStyle w:val="TableParagraph"/>
              <w:spacing w:line="256" w:lineRule="exact"/>
              <w:ind w:left="822" w:right="642"/>
              <w:jc w:val="center"/>
              <w:rPr>
                <w:sz w:val="24"/>
              </w:rPr>
            </w:pPr>
            <w:r>
              <w:rPr>
                <w:sz w:val="24"/>
              </w:rPr>
              <w:t>267</w:t>
            </w:r>
          </w:p>
        </w:tc>
        <w:tc>
          <w:tcPr>
            <w:tcW w:w="2002" w:type="dxa"/>
          </w:tcPr>
          <w:p>
            <w:pPr>
              <w:pStyle w:val="TableParagraph"/>
              <w:spacing w:line="256" w:lineRule="exact"/>
              <w:ind w:left="880" w:right="741"/>
              <w:jc w:val="center"/>
              <w:rPr>
                <w:sz w:val="24"/>
              </w:rPr>
            </w:pPr>
            <w:r>
              <w:rPr>
                <w:sz w:val="24"/>
              </w:rPr>
              <w:t>30</w:t>
            </w:r>
          </w:p>
        </w:tc>
      </w:tr>
    </w:tbl>
    <w:p>
      <w:pPr>
        <w:pStyle w:val="BodyText"/>
        <w:spacing w:before="10"/>
        <w:ind w:left="0"/>
        <w:rPr>
          <w:sz w:val="23"/>
        </w:rPr>
      </w:pPr>
    </w:p>
    <w:p>
      <w:pPr>
        <w:spacing w:before="0"/>
        <w:ind w:left="233" w:right="0" w:firstLine="0"/>
        <w:jc w:val="left"/>
        <w:rPr>
          <w:sz w:val="24"/>
        </w:rPr>
      </w:pPr>
      <w:r>
        <w:rPr>
          <w:b/>
          <w:sz w:val="24"/>
        </w:rPr>
        <w:t>Determinari fizico-chimice </w:t>
      </w:r>
      <w:r>
        <w:rPr>
          <w:sz w:val="24"/>
        </w:rPr>
        <w:t>pentru alimente şi produse cosmetice: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7"/>
        <w:gridCol w:w="1621"/>
        <w:gridCol w:w="2161"/>
        <w:gridCol w:w="1731"/>
      </w:tblGrid>
      <w:tr>
        <w:trPr>
          <w:trHeight w:val="276" w:hRule="atLeast"/>
        </w:trPr>
        <w:tc>
          <w:tcPr>
            <w:tcW w:w="4067" w:type="dxa"/>
          </w:tcPr>
          <w:p>
            <w:pPr>
              <w:pStyle w:val="TableParagraph"/>
              <w:spacing w:line="256" w:lineRule="exact"/>
              <w:ind w:left="108"/>
              <w:rPr>
                <w:sz w:val="24"/>
              </w:rPr>
            </w:pPr>
            <w:r>
              <w:rPr>
                <w:sz w:val="24"/>
              </w:rPr>
              <w:t>Denumire</w:t>
            </w:r>
          </w:p>
        </w:tc>
        <w:tc>
          <w:tcPr>
            <w:tcW w:w="1621" w:type="dxa"/>
          </w:tcPr>
          <w:p>
            <w:pPr>
              <w:pStyle w:val="TableParagraph"/>
              <w:spacing w:line="256" w:lineRule="exact"/>
              <w:ind w:right="526"/>
              <w:jc w:val="right"/>
              <w:rPr>
                <w:sz w:val="24"/>
              </w:rPr>
            </w:pPr>
            <w:r>
              <w:rPr>
                <w:sz w:val="24"/>
              </w:rPr>
              <w:t>Nr. probe</w:t>
            </w:r>
          </w:p>
        </w:tc>
        <w:tc>
          <w:tcPr>
            <w:tcW w:w="2161" w:type="dxa"/>
          </w:tcPr>
          <w:p>
            <w:pPr>
              <w:pStyle w:val="TableParagraph"/>
              <w:spacing w:line="256" w:lineRule="exact"/>
              <w:ind w:left="358"/>
              <w:rPr>
                <w:sz w:val="24"/>
              </w:rPr>
            </w:pPr>
            <w:r>
              <w:rPr>
                <w:sz w:val="24"/>
              </w:rPr>
              <w:t>Nr. determinari</w:t>
            </w:r>
          </w:p>
        </w:tc>
        <w:tc>
          <w:tcPr>
            <w:tcW w:w="1731" w:type="dxa"/>
          </w:tcPr>
          <w:p>
            <w:pPr>
              <w:pStyle w:val="TableParagraph"/>
              <w:spacing w:line="256" w:lineRule="exact"/>
              <w:ind w:left="163"/>
              <w:rPr>
                <w:sz w:val="24"/>
              </w:rPr>
            </w:pPr>
            <w:r>
              <w:rPr>
                <w:sz w:val="24"/>
              </w:rPr>
              <w:t>Necoresp.</w:t>
            </w:r>
          </w:p>
        </w:tc>
      </w:tr>
      <w:tr>
        <w:trPr>
          <w:trHeight w:val="275" w:hRule="atLeast"/>
        </w:trPr>
        <w:tc>
          <w:tcPr>
            <w:tcW w:w="4067" w:type="dxa"/>
          </w:tcPr>
          <w:p>
            <w:pPr>
              <w:pStyle w:val="TableParagraph"/>
              <w:spacing w:line="256" w:lineRule="exact"/>
              <w:ind w:left="108"/>
              <w:rPr>
                <w:sz w:val="24"/>
              </w:rPr>
            </w:pPr>
            <w:r>
              <w:rPr>
                <w:sz w:val="24"/>
              </w:rPr>
              <w:t>Produse de panificaţie</w:t>
            </w:r>
          </w:p>
        </w:tc>
        <w:tc>
          <w:tcPr>
            <w:tcW w:w="1621" w:type="dxa"/>
          </w:tcPr>
          <w:p>
            <w:pPr>
              <w:pStyle w:val="TableParagraph"/>
              <w:spacing w:line="256" w:lineRule="exact"/>
              <w:ind w:right="547"/>
              <w:jc w:val="right"/>
              <w:rPr>
                <w:sz w:val="24"/>
              </w:rPr>
            </w:pPr>
            <w:r>
              <w:rPr>
                <w:sz w:val="24"/>
              </w:rPr>
              <w:t>40</w:t>
            </w:r>
          </w:p>
        </w:tc>
        <w:tc>
          <w:tcPr>
            <w:tcW w:w="2161" w:type="dxa"/>
          </w:tcPr>
          <w:p>
            <w:pPr>
              <w:pStyle w:val="TableParagraph"/>
              <w:spacing w:line="256" w:lineRule="exact"/>
              <w:ind w:left="972" w:right="702"/>
              <w:jc w:val="center"/>
              <w:rPr>
                <w:sz w:val="24"/>
              </w:rPr>
            </w:pPr>
            <w:r>
              <w:rPr>
                <w:sz w:val="24"/>
              </w:rPr>
              <w:t>105</w:t>
            </w:r>
          </w:p>
        </w:tc>
        <w:tc>
          <w:tcPr>
            <w:tcW w:w="1731" w:type="dxa"/>
          </w:tcPr>
          <w:p>
            <w:pPr>
              <w:pStyle w:val="TableParagraph"/>
              <w:rPr>
                <w:sz w:val="20"/>
              </w:rPr>
            </w:pPr>
          </w:p>
        </w:tc>
      </w:tr>
      <w:tr>
        <w:trPr>
          <w:trHeight w:val="277" w:hRule="atLeast"/>
        </w:trPr>
        <w:tc>
          <w:tcPr>
            <w:tcW w:w="4067" w:type="dxa"/>
          </w:tcPr>
          <w:p>
            <w:pPr>
              <w:pStyle w:val="TableParagraph"/>
              <w:spacing w:line="257" w:lineRule="exact" w:before="1"/>
              <w:ind w:left="108"/>
              <w:rPr>
                <w:sz w:val="24"/>
              </w:rPr>
            </w:pPr>
            <w:r>
              <w:rPr>
                <w:sz w:val="24"/>
              </w:rPr>
              <w:t>Băuturi răcoritoare</w:t>
            </w:r>
          </w:p>
        </w:tc>
        <w:tc>
          <w:tcPr>
            <w:tcW w:w="1621" w:type="dxa"/>
          </w:tcPr>
          <w:p>
            <w:pPr>
              <w:pStyle w:val="TableParagraph"/>
              <w:spacing w:line="257" w:lineRule="exact" w:before="1"/>
              <w:ind w:right="553"/>
              <w:jc w:val="right"/>
              <w:rPr>
                <w:sz w:val="24"/>
              </w:rPr>
            </w:pPr>
            <w:r>
              <w:rPr>
                <w:sz w:val="24"/>
              </w:rPr>
              <w:t>19</w:t>
            </w:r>
          </w:p>
        </w:tc>
        <w:tc>
          <w:tcPr>
            <w:tcW w:w="2161" w:type="dxa"/>
          </w:tcPr>
          <w:p>
            <w:pPr>
              <w:pStyle w:val="TableParagraph"/>
              <w:spacing w:line="257" w:lineRule="exact" w:before="1"/>
              <w:ind w:left="1010" w:right="634"/>
              <w:jc w:val="center"/>
              <w:rPr>
                <w:sz w:val="24"/>
              </w:rPr>
            </w:pPr>
            <w:r>
              <w:rPr>
                <w:sz w:val="24"/>
              </w:rPr>
              <w:t>38</w:t>
            </w:r>
          </w:p>
        </w:tc>
        <w:tc>
          <w:tcPr>
            <w:tcW w:w="1731" w:type="dxa"/>
          </w:tcPr>
          <w:p>
            <w:pPr>
              <w:pStyle w:val="TableParagraph"/>
              <w:spacing w:line="257" w:lineRule="exact" w:before="1"/>
              <w:ind w:left="93"/>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Miere de albine şi produse apicole</w:t>
            </w:r>
          </w:p>
        </w:tc>
        <w:tc>
          <w:tcPr>
            <w:tcW w:w="1621" w:type="dxa"/>
          </w:tcPr>
          <w:p>
            <w:pPr>
              <w:pStyle w:val="TableParagraph"/>
              <w:spacing w:line="256" w:lineRule="exact"/>
              <w:ind w:left="303"/>
              <w:jc w:val="center"/>
              <w:rPr>
                <w:sz w:val="24"/>
              </w:rPr>
            </w:pPr>
            <w:r>
              <w:rPr>
                <w:sz w:val="24"/>
              </w:rPr>
              <w:t>3</w:t>
            </w:r>
          </w:p>
        </w:tc>
        <w:tc>
          <w:tcPr>
            <w:tcW w:w="2161" w:type="dxa"/>
          </w:tcPr>
          <w:p>
            <w:pPr>
              <w:pStyle w:val="TableParagraph"/>
              <w:spacing w:line="256" w:lineRule="exact"/>
              <w:ind w:left="1006" w:right="702"/>
              <w:jc w:val="center"/>
              <w:rPr>
                <w:sz w:val="24"/>
              </w:rPr>
            </w:pPr>
            <w:r>
              <w:rPr>
                <w:sz w:val="24"/>
              </w:rPr>
              <w:t>15</w:t>
            </w:r>
          </w:p>
        </w:tc>
        <w:tc>
          <w:tcPr>
            <w:tcW w:w="1731" w:type="dxa"/>
          </w:tcPr>
          <w:p>
            <w:pPr>
              <w:pStyle w:val="TableParagraph"/>
              <w:spacing w:line="256" w:lineRule="exact"/>
              <w:ind w:left="6"/>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Produse cosmetice</w:t>
            </w:r>
          </w:p>
        </w:tc>
        <w:tc>
          <w:tcPr>
            <w:tcW w:w="1621" w:type="dxa"/>
          </w:tcPr>
          <w:p>
            <w:pPr>
              <w:pStyle w:val="TableParagraph"/>
              <w:spacing w:line="256" w:lineRule="exact"/>
              <w:ind w:right="560"/>
              <w:jc w:val="right"/>
              <w:rPr>
                <w:sz w:val="24"/>
              </w:rPr>
            </w:pPr>
            <w:r>
              <w:rPr>
                <w:sz w:val="24"/>
              </w:rPr>
              <w:t>25</w:t>
            </w:r>
          </w:p>
        </w:tc>
        <w:tc>
          <w:tcPr>
            <w:tcW w:w="2161" w:type="dxa"/>
          </w:tcPr>
          <w:p>
            <w:pPr>
              <w:pStyle w:val="TableParagraph"/>
              <w:spacing w:line="256" w:lineRule="exact"/>
              <w:ind w:left="1010" w:right="649"/>
              <w:jc w:val="center"/>
              <w:rPr>
                <w:sz w:val="24"/>
              </w:rPr>
            </w:pPr>
            <w:r>
              <w:rPr>
                <w:sz w:val="24"/>
              </w:rPr>
              <w:t>64</w:t>
            </w:r>
          </w:p>
        </w:tc>
        <w:tc>
          <w:tcPr>
            <w:tcW w:w="1731" w:type="dxa"/>
          </w:tcPr>
          <w:p>
            <w:pPr>
              <w:pStyle w:val="TableParagraph"/>
              <w:spacing w:line="256" w:lineRule="exact"/>
              <w:ind w:left="6"/>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Sare particulari</w:t>
            </w:r>
          </w:p>
        </w:tc>
        <w:tc>
          <w:tcPr>
            <w:tcW w:w="1621" w:type="dxa"/>
          </w:tcPr>
          <w:p>
            <w:pPr>
              <w:pStyle w:val="TableParagraph"/>
              <w:spacing w:line="256" w:lineRule="exact"/>
              <w:ind w:left="275"/>
              <w:jc w:val="center"/>
              <w:rPr>
                <w:sz w:val="24"/>
              </w:rPr>
            </w:pPr>
            <w:r>
              <w:rPr>
                <w:sz w:val="24"/>
              </w:rPr>
              <w:t>5</w:t>
            </w:r>
          </w:p>
        </w:tc>
        <w:tc>
          <w:tcPr>
            <w:tcW w:w="2161" w:type="dxa"/>
          </w:tcPr>
          <w:p>
            <w:pPr>
              <w:pStyle w:val="TableParagraph"/>
              <w:spacing w:line="256" w:lineRule="exact"/>
              <w:ind w:left="391"/>
              <w:jc w:val="center"/>
              <w:rPr>
                <w:sz w:val="24"/>
              </w:rPr>
            </w:pPr>
            <w:r>
              <w:rPr>
                <w:sz w:val="24"/>
              </w:rPr>
              <w:t>8</w:t>
            </w:r>
          </w:p>
        </w:tc>
        <w:tc>
          <w:tcPr>
            <w:tcW w:w="1731" w:type="dxa"/>
          </w:tcPr>
          <w:p>
            <w:pPr>
              <w:pStyle w:val="TableParagraph"/>
              <w:spacing w:line="256" w:lineRule="exact"/>
              <w:ind w:left="30"/>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TOTAL probe cu plată</w:t>
            </w:r>
          </w:p>
        </w:tc>
        <w:tc>
          <w:tcPr>
            <w:tcW w:w="1621" w:type="dxa"/>
          </w:tcPr>
          <w:p>
            <w:pPr>
              <w:pStyle w:val="TableParagraph"/>
              <w:spacing w:line="256" w:lineRule="exact"/>
              <w:ind w:right="547"/>
              <w:jc w:val="right"/>
              <w:rPr>
                <w:sz w:val="24"/>
              </w:rPr>
            </w:pPr>
            <w:r>
              <w:rPr>
                <w:sz w:val="24"/>
              </w:rPr>
              <w:t>92</w:t>
            </w:r>
          </w:p>
        </w:tc>
        <w:tc>
          <w:tcPr>
            <w:tcW w:w="2161" w:type="dxa"/>
          </w:tcPr>
          <w:p>
            <w:pPr>
              <w:pStyle w:val="TableParagraph"/>
              <w:spacing w:line="256" w:lineRule="exact"/>
              <w:ind w:left="1090"/>
              <w:rPr>
                <w:sz w:val="24"/>
              </w:rPr>
            </w:pPr>
            <w:r>
              <w:rPr>
                <w:sz w:val="24"/>
              </w:rPr>
              <w:t>230</w:t>
            </w:r>
          </w:p>
        </w:tc>
        <w:tc>
          <w:tcPr>
            <w:tcW w:w="1731" w:type="dxa"/>
          </w:tcPr>
          <w:p>
            <w:pPr>
              <w:pStyle w:val="TableParagraph"/>
              <w:spacing w:line="256" w:lineRule="exact"/>
              <w:ind w:left="30"/>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Sare DSP MEHEDINŢI –PN II</w:t>
            </w:r>
          </w:p>
        </w:tc>
        <w:tc>
          <w:tcPr>
            <w:tcW w:w="1621" w:type="dxa"/>
          </w:tcPr>
          <w:p>
            <w:pPr>
              <w:pStyle w:val="TableParagraph"/>
              <w:spacing w:line="256" w:lineRule="exact"/>
              <w:ind w:right="538"/>
              <w:jc w:val="right"/>
              <w:rPr>
                <w:sz w:val="24"/>
              </w:rPr>
            </w:pPr>
            <w:r>
              <w:rPr>
                <w:sz w:val="24"/>
              </w:rPr>
              <w:t>20</w:t>
            </w:r>
          </w:p>
        </w:tc>
        <w:tc>
          <w:tcPr>
            <w:tcW w:w="2161" w:type="dxa"/>
          </w:tcPr>
          <w:p>
            <w:pPr>
              <w:pStyle w:val="TableParagraph"/>
              <w:spacing w:line="256" w:lineRule="exact"/>
              <w:ind w:left="1010" w:right="601"/>
              <w:jc w:val="center"/>
              <w:rPr>
                <w:sz w:val="24"/>
              </w:rPr>
            </w:pPr>
            <w:r>
              <w:rPr>
                <w:sz w:val="24"/>
              </w:rPr>
              <w:t>40</w:t>
            </w:r>
          </w:p>
        </w:tc>
        <w:tc>
          <w:tcPr>
            <w:tcW w:w="1731" w:type="dxa"/>
          </w:tcPr>
          <w:p>
            <w:pPr>
              <w:pStyle w:val="TableParagraph"/>
              <w:spacing w:line="256" w:lineRule="exact"/>
              <w:ind w:left="50"/>
              <w:jc w:val="center"/>
              <w:rPr>
                <w:sz w:val="24"/>
              </w:rPr>
            </w:pPr>
            <w:r>
              <w:rPr>
                <w:w w:val="99"/>
                <w:sz w:val="24"/>
              </w:rPr>
              <w:t>-</w:t>
            </w:r>
          </w:p>
        </w:tc>
      </w:tr>
      <w:tr>
        <w:trPr>
          <w:trHeight w:val="277" w:hRule="atLeast"/>
        </w:trPr>
        <w:tc>
          <w:tcPr>
            <w:tcW w:w="4067" w:type="dxa"/>
          </w:tcPr>
          <w:p>
            <w:pPr>
              <w:pStyle w:val="TableParagraph"/>
              <w:spacing w:line="257" w:lineRule="exact" w:before="1"/>
              <w:ind w:left="108"/>
              <w:rPr>
                <w:sz w:val="24"/>
              </w:rPr>
            </w:pPr>
            <w:r>
              <w:rPr>
                <w:sz w:val="24"/>
              </w:rPr>
              <w:t>Sare DSP ILFOV – PN II</w:t>
            </w:r>
          </w:p>
        </w:tc>
        <w:tc>
          <w:tcPr>
            <w:tcW w:w="1621" w:type="dxa"/>
          </w:tcPr>
          <w:p>
            <w:pPr>
              <w:pStyle w:val="TableParagraph"/>
              <w:spacing w:line="257" w:lineRule="exact" w:before="1"/>
              <w:ind w:right="547"/>
              <w:jc w:val="right"/>
              <w:rPr>
                <w:sz w:val="24"/>
              </w:rPr>
            </w:pPr>
            <w:r>
              <w:rPr>
                <w:sz w:val="24"/>
              </w:rPr>
              <w:t>14</w:t>
            </w:r>
          </w:p>
        </w:tc>
        <w:tc>
          <w:tcPr>
            <w:tcW w:w="2161" w:type="dxa"/>
          </w:tcPr>
          <w:p>
            <w:pPr>
              <w:pStyle w:val="TableParagraph"/>
              <w:spacing w:line="257" w:lineRule="exact" w:before="1"/>
              <w:ind w:left="1010" w:right="620"/>
              <w:jc w:val="center"/>
              <w:rPr>
                <w:sz w:val="24"/>
              </w:rPr>
            </w:pPr>
            <w:r>
              <w:rPr>
                <w:sz w:val="24"/>
              </w:rPr>
              <w:t>28</w:t>
            </w:r>
          </w:p>
        </w:tc>
        <w:tc>
          <w:tcPr>
            <w:tcW w:w="1731" w:type="dxa"/>
          </w:tcPr>
          <w:p>
            <w:pPr>
              <w:pStyle w:val="TableParagraph"/>
              <w:spacing w:line="257" w:lineRule="exact" w:before="1"/>
              <w:ind w:left="30"/>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Sare DSP PRAHOVA – PN II</w:t>
            </w:r>
          </w:p>
        </w:tc>
        <w:tc>
          <w:tcPr>
            <w:tcW w:w="1621" w:type="dxa"/>
          </w:tcPr>
          <w:p>
            <w:pPr>
              <w:pStyle w:val="TableParagraph"/>
              <w:spacing w:line="256" w:lineRule="exact"/>
              <w:ind w:right="538"/>
              <w:jc w:val="right"/>
              <w:rPr>
                <w:sz w:val="24"/>
              </w:rPr>
            </w:pPr>
            <w:r>
              <w:rPr>
                <w:sz w:val="24"/>
              </w:rPr>
              <w:t>54</w:t>
            </w:r>
          </w:p>
        </w:tc>
        <w:tc>
          <w:tcPr>
            <w:tcW w:w="2161" w:type="dxa"/>
          </w:tcPr>
          <w:p>
            <w:pPr>
              <w:pStyle w:val="TableParagraph"/>
              <w:spacing w:line="256" w:lineRule="exact"/>
              <w:ind w:left="1010" w:right="701"/>
              <w:jc w:val="center"/>
              <w:rPr>
                <w:sz w:val="24"/>
              </w:rPr>
            </w:pPr>
            <w:r>
              <w:rPr>
                <w:sz w:val="24"/>
              </w:rPr>
              <w:t>108</w:t>
            </w:r>
          </w:p>
        </w:tc>
        <w:tc>
          <w:tcPr>
            <w:tcW w:w="1731" w:type="dxa"/>
          </w:tcPr>
          <w:p>
            <w:pPr>
              <w:pStyle w:val="TableParagraph"/>
              <w:spacing w:line="256" w:lineRule="exact"/>
              <w:ind w:left="50"/>
              <w:jc w:val="center"/>
              <w:rPr>
                <w:sz w:val="24"/>
              </w:rPr>
            </w:pPr>
            <w:r>
              <w:rPr>
                <w:w w:val="99"/>
                <w:sz w:val="24"/>
              </w:rPr>
              <w:t>-</w:t>
            </w:r>
          </w:p>
        </w:tc>
      </w:tr>
      <w:tr>
        <w:trPr>
          <w:trHeight w:val="275" w:hRule="atLeast"/>
        </w:trPr>
        <w:tc>
          <w:tcPr>
            <w:tcW w:w="4067" w:type="dxa"/>
          </w:tcPr>
          <w:p>
            <w:pPr>
              <w:pStyle w:val="TableParagraph"/>
              <w:spacing w:line="256" w:lineRule="exact"/>
              <w:ind w:left="108"/>
              <w:rPr>
                <w:sz w:val="24"/>
              </w:rPr>
            </w:pPr>
            <w:r>
              <w:rPr>
                <w:sz w:val="24"/>
              </w:rPr>
              <w:t>Sare DSP BUCUREŞTI - PN II</w:t>
            </w:r>
          </w:p>
        </w:tc>
        <w:tc>
          <w:tcPr>
            <w:tcW w:w="1621" w:type="dxa"/>
          </w:tcPr>
          <w:p>
            <w:pPr>
              <w:pStyle w:val="TableParagraph"/>
              <w:spacing w:line="256" w:lineRule="exact"/>
              <w:ind w:right="538"/>
              <w:jc w:val="right"/>
              <w:rPr>
                <w:sz w:val="24"/>
              </w:rPr>
            </w:pPr>
            <w:r>
              <w:rPr>
                <w:sz w:val="24"/>
              </w:rPr>
              <w:t>20</w:t>
            </w:r>
          </w:p>
        </w:tc>
        <w:tc>
          <w:tcPr>
            <w:tcW w:w="2161" w:type="dxa"/>
          </w:tcPr>
          <w:p>
            <w:pPr>
              <w:pStyle w:val="TableParagraph"/>
              <w:spacing w:line="256" w:lineRule="exact"/>
              <w:ind w:left="1010" w:right="663"/>
              <w:jc w:val="center"/>
              <w:rPr>
                <w:sz w:val="24"/>
              </w:rPr>
            </w:pPr>
            <w:r>
              <w:rPr>
                <w:sz w:val="24"/>
              </w:rPr>
              <w:t>40</w:t>
            </w:r>
          </w:p>
        </w:tc>
        <w:tc>
          <w:tcPr>
            <w:tcW w:w="1731" w:type="dxa"/>
          </w:tcPr>
          <w:p>
            <w:pPr>
              <w:pStyle w:val="TableParagraph"/>
              <w:rPr>
                <w:sz w:val="20"/>
              </w:rPr>
            </w:pPr>
          </w:p>
        </w:tc>
      </w:tr>
      <w:tr>
        <w:trPr>
          <w:trHeight w:val="275" w:hRule="atLeast"/>
        </w:trPr>
        <w:tc>
          <w:tcPr>
            <w:tcW w:w="4067" w:type="dxa"/>
          </w:tcPr>
          <w:p>
            <w:pPr>
              <w:pStyle w:val="TableParagraph"/>
              <w:spacing w:line="256" w:lineRule="exact"/>
              <w:ind w:left="108"/>
              <w:rPr>
                <w:sz w:val="24"/>
              </w:rPr>
            </w:pPr>
            <w:r>
              <w:rPr>
                <w:sz w:val="24"/>
              </w:rPr>
              <w:t>Sare DSP BUZĂU - PN II</w:t>
            </w:r>
          </w:p>
        </w:tc>
        <w:tc>
          <w:tcPr>
            <w:tcW w:w="1621" w:type="dxa"/>
          </w:tcPr>
          <w:p>
            <w:pPr>
              <w:pStyle w:val="TableParagraph"/>
              <w:spacing w:line="256" w:lineRule="exact"/>
              <w:ind w:right="538"/>
              <w:jc w:val="right"/>
              <w:rPr>
                <w:sz w:val="24"/>
              </w:rPr>
            </w:pPr>
            <w:r>
              <w:rPr>
                <w:sz w:val="24"/>
              </w:rPr>
              <w:t>10</w:t>
            </w:r>
          </w:p>
        </w:tc>
        <w:tc>
          <w:tcPr>
            <w:tcW w:w="2161" w:type="dxa"/>
          </w:tcPr>
          <w:p>
            <w:pPr>
              <w:pStyle w:val="TableParagraph"/>
              <w:spacing w:line="256" w:lineRule="exact"/>
              <w:ind w:left="1010" w:right="663"/>
              <w:jc w:val="center"/>
              <w:rPr>
                <w:sz w:val="24"/>
              </w:rPr>
            </w:pPr>
            <w:r>
              <w:rPr>
                <w:sz w:val="24"/>
              </w:rPr>
              <w:t>20</w:t>
            </w:r>
          </w:p>
        </w:tc>
        <w:tc>
          <w:tcPr>
            <w:tcW w:w="1731" w:type="dxa"/>
          </w:tcPr>
          <w:p>
            <w:pPr>
              <w:pStyle w:val="TableParagraph"/>
              <w:spacing w:line="256" w:lineRule="exact"/>
              <w:ind w:left="50"/>
              <w:jc w:val="center"/>
              <w:rPr>
                <w:sz w:val="24"/>
              </w:rPr>
            </w:pPr>
            <w:r>
              <w:rPr>
                <w:w w:val="99"/>
                <w:sz w:val="24"/>
              </w:rPr>
              <w:t>-</w:t>
            </w:r>
          </w:p>
        </w:tc>
      </w:tr>
      <w:tr>
        <w:trPr>
          <w:trHeight w:val="276" w:hRule="atLeast"/>
        </w:trPr>
        <w:tc>
          <w:tcPr>
            <w:tcW w:w="4067" w:type="dxa"/>
          </w:tcPr>
          <w:p>
            <w:pPr>
              <w:pStyle w:val="TableParagraph"/>
              <w:spacing w:line="256" w:lineRule="exact"/>
              <w:ind w:left="108"/>
              <w:rPr>
                <w:sz w:val="24"/>
              </w:rPr>
            </w:pPr>
            <w:r>
              <w:rPr>
                <w:sz w:val="24"/>
              </w:rPr>
              <w:t>TOTAL PROBE PN II</w:t>
            </w:r>
          </w:p>
        </w:tc>
        <w:tc>
          <w:tcPr>
            <w:tcW w:w="1621" w:type="dxa"/>
          </w:tcPr>
          <w:p>
            <w:pPr>
              <w:pStyle w:val="TableParagraph"/>
              <w:spacing w:line="256" w:lineRule="exact"/>
              <w:ind w:right="478"/>
              <w:jc w:val="right"/>
              <w:rPr>
                <w:sz w:val="24"/>
              </w:rPr>
            </w:pPr>
            <w:r>
              <w:rPr>
                <w:sz w:val="24"/>
              </w:rPr>
              <w:t>118</w:t>
            </w:r>
          </w:p>
        </w:tc>
        <w:tc>
          <w:tcPr>
            <w:tcW w:w="2161" w:type="dxa"/>
          </w:tcPr>
          <w:p>
            <w:pPr>
              <w:pStyle w:val="TableParagraph"/>
              <w:spacing w:line="256" w:lineRule="exact"/>
              <w:ind w:left="1010" w:right="663"/>
              <w:jc w:val="center"/>
              <w:rPr>
                <w:sz w:val="24"/>
              </w:rPr>
            </w:pPr>
            <w:r>
              <w:rPr>
                <w:sz w:val="24"/>
              </w:rPr>
              <w:t>236</w:t>
            </w:r>
          </w:p>
        </w:tc>
        <w:tc>
          <w:tcPr>
            <w:tcW w:w="1731" w:type="dxa"/>
          </w:tcPr>
          <w:p>
            <w:pPr>
              <w:pStyle w:val="TableParagraph"/>
              <w:spacing w:line="256" w:lineRule="exact"/>
              <w:ind w:left="50"/>
              <w:jc w:val="center"/>
              <w:rPr>
                <w:sz w:val="24"/>
              </w:rPr>
            </w:pPr>
            <w:r>
              <w:rPr>
                <w:w w:val="99"/>
                <w:sz w:val="24"/>
              </w:rPr>
              <w:t>-</w:t>
            </w:r>
          </w:p>
        </w:tc>
      </w:tr>
    </w:tbl>
    <w:p>
      <w:pPr>
        <w:pStyle w:val="BodyText"/>
        <w:spacing w:before="10"/>
        <w:ind w:left="0"/>
        <w:rPr>
          <w:sz w:val="23"/>
        </w:rPr>
      </w:pPr>
    </w:p>
    <w:p>
      <w:pPr>
        <w:pStyle w:val="BodyText"/>
        <w:ind w:left="233" w:right="830"/>
        <w:jc w:val="both"/>
      </w:pPr>
      <w:r>
        <w:rPr/>
        <w:t>Laboratorul de Diagnostic şi Investigare în Sănătate Publică are în derulare 52 de contracte pentru analize de laborator care se efectueaza lunar, a efectuat intercomparări pentru ape cu LGC Standard din Marea Britanie la Microbiologie şi cu ERA Internaţional din SUA la Chimie.</w:t>
      </w:r>
    </w:p>
    <w:p>
      <w:pPr>
        <w:pStyle w:val="Heading1"/>
        <w:jc w:val="both"/>
        <w:rPr>
          <w:u w:val="none"/>
        </w:rPr>
      </w:pPr>
      <w:r>
        <w:rPr>
          <w:u w:val="none"/>
        </w:rPr>
        <w:t>In anul 2017 s-au efectuat:</w:t>
      </w:r>
    </w:p>
    <w:p>
      <w:pPr>
        <w:pStyle w:val="ListParagraph"/>
        <w:numPr>
          <w:ilvl w:val="0"/>
          <w:numId w:val="7"/>
        </w:numPr>
        <w:tabs>
          <w:tab w:pos="433" w:val="left" w:leader="none"/>
        </w:tabs>
        <w:spacing w:line="240" w:lineRule="auto" w:before="0" w:after="0"/>
        <w:ind w:left="432" w:right="0" w:hanging="140"/>
        <w:jc w:val="both"/>
        <w:rPr>
          <w:sz w:val="24"/>
        </w:rPr>
      </w:pPr>
      <w:r>
        <w:rPr>
          <w:sz w:val="24"/>
        </w:rPr>
        <w:t>total Probe cu plata - 35403 cu 110443</w:t>
      </w:r>
      <w:r>
        <w:rPr>
          <w:spacing w:val="-5"/>
          <w:sz w:val="24"/>
        </w:rPr>
        <w:t> </w:t>
      </w:r>
      <w:r>
        <w:rPr>
          <w:sz w:val="24"/>
        </w:rPr>
        <w:t>determinari</w:t>
      </w:r>
    </w:p>
    <w:p>
      <w:pPr>
        <w:pStyle w:val="ListParagraph"/>
        <w:numPr>
          <w:ilvl w:val="0"/>
          <w:numId w:val="7"/>
        </w:numPr>
        <w:tabs>
          <w:tab w:pos="433" w:val="left" w:leader="none"/>
        </w:tabs>
        <w:spacing w:line="240" w:lineRule="auto" w:before="0" w:after="0"/>
        <w:ind w:left="432" w:right="0" w:hanging="140"/>
        <w:jc w:val="both"/>
        <w:rPr>
          <w:sz w:val="24"/>
        </w:rPr>
      </w:pPr>
      <w:r>
        <w:rPr>
          <w:sz w:val="24"/>
        </w:rPr>
        <w:t>total Probe PN I -2298 cu 3258</w:t>
      </w:r>
      <w:r>
        <w:rPr>
          <w:spacing w:val="-3"/>
          <w:sz w:val="24"/>
        </w:rPr>
        <w:t> </w:t>
      </w:r>
      <w:r>
        <w:rPr>
          <w:sz w:val="24"/>
        </w:rPr>
        <w:t>determinari</w:t>
      </w:r>
    </w:p>
    <w:p>
      <w:pPr>
        <w:pStyle w:val="BodyText"/>
        <w:spacing w:before="1"/>
        <w:ind w:left="353"/>
        <w:jc w:val="both"/>
      </w:pPr>
      <w:r>
        <w:rPr/>
        <w:t>- total Probe PN II -397 cu 1192 determinari</w:t>
      </w:r>
    </w:p>
    <w:p>
      <w:pPr>
        <w:pStyle w:val="BodyText"/>
        <w:ind w:left="233" w:right="4921" w:firstLine="120"/>
        <w:jc w:val="both"/>
      </w:pPr>
      <w:r>
        <w:rPr/>
        <w:t>- total Probe din Venituri Proprii – 356 cu 1633 determinari Total general - probe 38454 cu 116538 determinari</w:t>
      </w:r>
    </w:p>
    <w:p>
      <w:pPr>
        <w:spacing w:after="0"/>
        <w:jc w:val="both"/>
        <w:sectPr>
          <w:pgSz w:w="11910" w:h="16840"/>
          <w:pgMar w:header="0" w:footer="738" w:top="1420" w:bottom="920" w:left="900" w:right="0"/>
        </w:sectPr>
      </w:pPr>
    </w:p>
    <w:p>
      <w:pPr>
        <w:pStyle w:val="Heading1"/>
        <w:spacing w:before="60"/>
        <w:rPr>
          <w:u w:val="none"/>
        </w:rPr>
      </w:pPr>
      <w:r>
        <w:rPr>
          <w:u w:val="thick"/>
        </w:rPr>
        <w:t>LABORATORUL DE IGIENA RADIATIILOR IONIZANTE</w:t>
      </w:r>
    </w:p>
    <w:p>
      <w:pPr>
        <w:pStyle w:val="BodyText"/>
        <w:spacing w:before="231"/>
        <w:ind w:left="233" w:right="832" w:firstLine="62"/>
      </w:pPr>
      <w:r>
        <w:rPr/>
        <w:t>In anul 2017, conform O.M.S. nr. 377/2017,Anexa 3 - Norme Tehnice de Realizare a Programelor Na</w:t>
      </w:r>
      <w:r>
        <w:rPr>
          <w:rFonts w:ascii="Tahoma" w:hAnsi="Tahoma"/>
        </w:rPr>
        <w:t>ț</w:t>
      </w:r>
      <w:r>
        <w:rPr/>
        <w:t>ionale de Sănătate Publică pe anii 2017-2018, Laboratorului de Igiena Radia</w:t>
      </w:r>
      <w:r>
        <w:rPr>
          <w:rFonts w:ascii="Tahoma" w:hAnsi="Tahoma"/>
        </w:rPr>
        <w:t>ț</w:t>
      </w:r>
      <w:r>
        <w:rPr/>
        <w:t>iilor Ionizante, i-au revenit sarcini ce decurg din Programul Na</w:t>
      </w:r>
      <w:r>
        <w:rPr>
          <w:rFonts w:ascii="Tahoma" w:hAnsi="Tahoma"/>
        </w:rPr>
        <w:t>ț</w:t>
      </w:r>
      <w:r>
        <w:rPr/>
        <w:t>ional de Monitorizare a Factorilor Determinan</w:t>
      </w:r>
      <w:r>
        <w:rPr>
          <w:rFonts w:ascii="Tahoma" w:hAnsi="Tahoma"/>
        </w:rPr>
        <w:t>ț</w:t>
      </w:r>
      <w:r>
        <w:rPr/>
        <w:t>i din Mediul de Via</w:t>
      </w:r>
      <w:r>
        <w:rPr>
          <w:rFonts w:ascii="Tahoma" w:hAnsi="Tahoma"/>
        </w:rPr>
        <w:t>ț</w:t>
      </w:r>
      <w:r>
        <w:rPr/>
        <w:t>ă </w:t>
      </w:r>
      <w:r>
        <w:rPr>
          <w:rFonts w:ascii="Tahoma" w:hAnsi="Tahoma"/>
        </w:rPr>
        <w:t>ș</w:t>
      </w:r>
      <w:r>
        <w:rPr/>
        <w:t>i Muncă: </w:t>
      </w:r>
      <w:r>
        <w:rPr>
          <w:i/>
        </w:rPr>
        <w:t>Protejarea sănătăţii şi prevenirea îmbolnăvirilor asociate radiaţiilor ionizante </w:t>
      </w:r>
      <w:r>
        <w:rPr>
          <w:u w:val="single"/>
        </w:rPr>
        <w:t>Activităţi:</w:t>
      </w:r>
    </w:p>
    <w:p>
      <w:pPr>
        <w:pStyle w:val="BodyText"/>
        <w:ind w:left="233"/>
      </w:pPr>
      <w:r>
        <w:rPr>
          <w:u w:val="single"/>
        </w:rPr>
        <w:t>Radioprotecţia în expunerea medicală la radiaţii ionizante</w:t>
      </w:r>
    </w:p>
    <w:p>
      <w:pPr>
        <w:pStyle w:val="ListParagraph"/>
        <w:numPr>
          <w:ilvl w:val="0"/>
          <w:numId w:val="7"/>
        </w:numPr>
        <w:tabs>
          <w:tab w:pos="373" w:val="left" w:leader="none"/>
          <w:tab w:pos="7721" w:val="left" w:leader="none"/>
        </w:tabs>
        <w:spacing w:line="240" w:lineRule="auto" w:before="0" w:after="0"/>
        <w:ind w:left="372" w:right="0" w:hanging="140"/>
        <w:jc w:val="left"/>
        <w:rPr>
          <w:sz w:val="24"/>
        </w:rPr>
      </w:pPr>
      <w:r>
        <w:rPr>
          <w:sz w:val="24"/>
        </w:rPr>
        <w:t>monitorizarea radioprotecţiei pacientului în expunerea medicală</w:t>
      </w:r>
      <w:r>
        <w:rPr>
          <w:spacing w:val="-9"/>
          <w:sz w:val="24"/>
        </w:rPr>
        <w:t> </w:t>
      </w:r>
      <w:r>
        <w:rPr>
          <w:sz w:val="24"/>
        </w:rPr>
        <w:t>la</w:t>
      </w:r>
      <w:r>
        <w:rPr>
          <w:spacing w:val="-2"/>
          <w:sz w:val="24"/>
        </w:rPr>
        <w:t> </w:t>
      </w:r>
      <w:r>
        <w:rPr>
          <w:sz w:val="24"/>
        </w:rPr>
        <w:t>radiaţii</w:t>
        <w:tab/>
        <w:t>ionizante;</w:t>
      </w:r>
    </w:p>
    <w:p>
      <w:pPr>
        <w:pStyle w:val="ListParagraph"/>
        <w:numPr>
          <w:ilvl w:val="0"/>
          <w:numId w:val="7"/>
        </w:numPr>
        <w:tabs>
          <w:tab w:pos="373" w:val="left" w:leader="none"/>
        </w:tabs>
        <w:spacing w:line="275" w:lineRule="exact" w:before="0" w:after="0"/>
        <w:ind w:left="372" w:right="0" w:hanging="140"/>
        <w:jc w:val="left"/>
        <w:rPr>
          <w:sz w:val="24"/>
        </w:rPr>
      </w:pPr>
      <w:r>
        <w:rPr>
          <w:sz w:val="24"/>
        </w:rPr>
        <w:t>supravegherea expunerii personalului medical la radiaţii</w:t>
      </w:r>
      <w:r>
        <w:rPr>
          <w:spacing w:val="-1"/>
          <w:sz w:val="24"/>
        </w:rPr>
        <w:t> </w:t>
      </w:r>
      <w:r>
        <w:rPr>
          <w:sz w:val="24"/>
        </w:rPr>
        <w:t>ionizante;</w:t>
      </w:r>
    </w:p>
    <w:p>
      <w:pPr>
        <w:pStyle w:val="ListParagraph"/>
        <w:numPr>
          <w:ilvl w:val="0"/>
          <w:numId w:val="7"/>
        </w:numPr>
        <w:tabs>
          <w:tab w:pos="373" w:val="left" w:leader="none"/>
        </w:tabs>
        <w:spacing w:line="291" w:lineRule="exact" w:before="0" w:after="0"/>
        <w:ind w:left="372" w:right="0" w:hanging="140"/>
        <w:jc w:val="left"/>
        <w:rPr>
          <w:sz w:val="24"/>
        </w:rPr>
      </w:pPr>
      <w:r>
        <w:rPr>
          <w:sz w:val="24"/>
        </w:rPr>
        <w:t>monitorizarea activită</w:t>
      </w:r>
      <w:r>
        <w:rPr>
          <w:rFonts w:ascii="Tahoma" w:hAnsi="Tahoma"/>
          <w:sz w:val="24"/>
        </w:rPr>
        <w:t>ț</w:t>
      </w:r>
      <w:r>
        <w:rPr>
          <w:sz w:val="24"/>
        </w:rPr>
        <w:t>ii de audit clinic al activită</w:t>
      </w:r>
      <w:r>
        <w:rPr>
          <w:rFonts w:ascii="Tahoma" w:hAnsi="Tahoma"/>
          <w:sz w:val="24"/>
        </w:rPr>
        <w:t>ț</w:t>
      </w:r>
      <w:r>
        <w:rPr>
          <w:sz w:val="24"/>
        </w:rPr>
        <w:t>ii medicale cu radia</w:t>
      </w:r>
      <w:r>
        <w:rPr>
          <w:rFonts w:ascii="Tahoma" w:hAnsi="Tahoma"/>
          <w:sz w:val="24"/>
        </w:rPr>
        <w:t>ț</w:t>
      </w:r>
      <w:r>
        <w:rPr>
          <w:sz w:val="24"/>
        </w:rPr>
        <w:t>ii ionizante;</w:t>
      </w:r>
    </w:p>
    <w:p>
      <w:pPr>
        <w:pStyle w:val="ListParagraph"/>
        <w:numPr>
          <w:ilvl w:val="0"/>
          <w:numId w:val="7"/>
        </w:numPr>
        <w:tabs>
          <w:tab w:pos="433" w:val="left" w:leader="none"/>
          <w:tab w:pos="8154" w:val="left" w:leader="none"/>
        </w:tabs>
        <w:spacing w:line="240" w:lineRule="auto" w:before="1" w:after="0"/>
        <w:ind w:left="432" w:right="0" w:hanging="200"/>
        <w:jc w:val="left"/>
        <w:rPr>
          <w:sz w:val="24"/>
        </w:rPr>
      </w:pPr>
      <w:r>
        <w:rPr>
          <w:sz w:val="24"/>
        </w:rPr>
        <w:t>informarea, educarea </w:t>
      </w:r>
      <w:r>
        <w:rPr>
          <w:rFonts w:ascii="Tahoma" w:hAnsi="Tahoma"/>
          <w:sz w:val="24"/>
        </w:rPr>
        <w:t>ș</w:t>
      </w:r>
      <w:r>
        <w:rPr>
          <w:sz w:val="24"/>
        </w:rPr>
        <w:t>i comunicarea pentru sănătate în</w:t>
      </w:r>
      <w:r>
        <w:rPr>
          <w:spacing w:val="-6"/>
          <w:sz w:val="24"/>
        </w:rPr>
        <w:t> </w:t>
      </w:r>
      <w:r>
        <w:rPr>
          <w:sz w:val="24"/>
        </w:rPr>
        <w:t>domeniul radiaţiilor</w:t>
        <w:tab/>
        <w:t>ionizante;</w:t>
      </w:r>
    </w:p>
    <w:p>
      <w:pPr>
        <w:pStyle w:val="ListParagraph"/>
        <w:numPr>
          <w:ilvl w:val="0"/>
          <w:numId w:val="7"/>
        </w:numPr>
        <w:tabs>
          <w:tab w:pos="433" w:val="left" w:leader="none"/>
        </w:tabs>
        <w:spacing w:line="240" w:lineRule="auto" w:before="0" w:after="0"/>
        <w:ind w:left="233" w:right="968" w:firstLine="0"/>
        <w:jc w:val="left"/>
        <w:rPr>
          <w:sz w:val="24"/>
        </w:rPr>
      </w:pPr>
      <w:r>
        <w:rPr>
          <w:sz w:val="24"/>
        </w:rPr>
        <w:t>supravegherea nivelurilor de referinţă în diagnostic în expunerile medicale la radiaţii ionizante.</w:t>
      </w:r>
      <w:r>
        <w:rPr>
          <w:sz w:val="24"/>
          <w:u w:val="single"/>
        </w:rPr>
        <w:t> Protejarea stării de sănătate a populaţiei împotriva expunerii la surse naturale de radiaţii</w:t>
      </w:r>
      <w:r>
        <w:rPr>
          <w:sz w:val="24"/>
        </w:rPr>
        <w:t> Supravegherea conţinutului radioactiv natural al alimentelor şi al apei potabile conform Recomandării 2000/473/EURATOM;</w:t>
      </w:r>
    </w:p>
    <w:p>
      <w:pPr>
        <w:pStyle w:val="BodyText"/>
        <w:spacing w:before="1"/>
        <w:ind w:left="233"/>
      </w:pPr>
      <w:r>
        <w:rPr/>
        <w:t>Supravegherea conţinutului radioactiv al apelor minerale.</w:t>
      </w:r>
    </w:p>
    <w:p>
      <w:pPr>
        <w:pStyle w:val="BodyText"/>
        <w:ind w:left="233" w:right="1648"/>
      </w:pPr>
      <w:r>
        <w:rPr/>
        <w:t>Supravegherea stării de sănătate în relaţie cu radioactivitatea antropică: supravegherea stării de sănătate a populaţiei din jurul obiectivelor nucleare.</w:t>
      </w:r>
    </w:p>
    <w:p>
      <w:pPr>
        <w:pStyle w:val="BodyText"/>
        <w:ind w:left="233"/>
      </w:pPr>
      <w:r>
        <w:rPr>
          <w:u w:val="single"/>
        </w:rPr>
        <w:t>Actiuni:</w:t>
      </w:r>
    </w:p>
    <w:p>
      <w:pPr>
        <w:pStyle w:val="BodyText"/>
        <w:spacing w:before="1"/>
        <w:ind w:left="233" w:right="868"/>
      </w:pPr>
      <w:r>
        <w:rPr/>
        <w:t>Măsurări dozimetrice: au fost efectuate măsurări pentru verificarea eficacită</w:t>
      </w:r>
      <w:r>
        <w:rPr>
          <w:rFonts w:ascii="Tahoma" w:hAnsi="Tahoma"/>
        </w:rPr>
        <w:t>ț</w:t>
      </w:r>
      <w:r>
        <w:rPr/>
        <w:t>ii ecranelor de protec</w:t>
      </w:r>
      <w:r>
        <w:rPr>
          <w:rFonts w:ascii="Tahoma" w:hAnsi="Tahoma"/>
        </w:rPr>
        <w:t>ț</w:t>
      </w:r>
      <w:r>
        <w:rPr/>
        <w:t>ie la toate unită</w:t>
      </w:r>
      <w:r>
        <w:rPr>
          <w:rFonts w:ascii="Tahoma" w:hAnsi="Tahoma"/>
        </w:rPr>
        <w:t>ț</w:t>
      </w:r>
      <w:r>
        <w:rPr/>
        <w:t>ile pentru care au fost eliberate autoriza</w:t>
      </w:r>
      <w:r>
        <w:rPr>
          <w:rFonts w:ascii="Tahoma" w:hAnsi="Tahoma"/>
        </w:rPr>
        <w:t>ț</w:t>
      </w:r>
      <w:r>
        <w:rPr/>
        <w:t>ii de func</w:t>
      </w:r>
      <w:r>
        <w:rPr>
          <w:rFonts w:ascii="Tahoma" w:hAnsi="Tahoma"/>
        </w:rPr>
        <w:t>ț</w:t>
      </w:r>
      <w:r>
        <w:rPr/>
        <w:t>ionare-utilizare </w:t>
      </w:r>
      <w:r>
        <w:rPr>
          <w:rFonts w:ascii="Tahoma" w:hAnsi="Tahoma"/>
        </w:rPr>
        <w:t>ș</w:t>
      </w:r>
      <w:r>
        <w:rPr/>
        <w:t>i pentru verificări periodice, fiind eliberate 299 buletine dozimetrice.</w:t>
      </w:r>
    </w:p>
    <w:p>
      <w:pPr>
        <w:pStyle w:val="BodyText"/>
        <w:spacing w:line="291" w:lineRule="exact"/>
        <w:ind w:left="233"/>
      </w:pPr>
      <w:r>
        <w:rPr/>
        <w:t>Expertize ale locurilor de muncă, în vederea încadrării acestora în condi</w:t>
      </w:r>
      <w:r>
        <w:rPr>
          <w:rFonts w:ascii="Tahoma" w:hAnsi="Tahoma"/>
        </w:rPr>
        <w:t>ț</w:t>
      </w:r>
      <w:r>
        <w:rPr/>
        <w:t>ii speciale sau deosebite: 3</w:t>
      </w:r>
    </w:p>
    <w:p>
      <w:pPr>
        <w:pStyle w:val="BodyText"/>
        <w:ind w:left="233" w:right="829"/>
        <w:jc w:val="both"/>
      </w:pPr>
      <w:r>
        <w:rPr/>
        <w:t>S-au colectat </w:t>
      </w:r>
      <w:r>
        <w:rPr>
          <w:rFonts w:ascii="Tahoma" w:hAnsi="Tahoma"/>
        </w:rPr>
        <w:t>ș</w:t>
      </w:r>
      <w:r>
        <w:rPr/>
        <w:t>i trimis către CRSPB date referitoare la monitorizarea radioprotec</w:t>
      </w:r>
      <w:r>
        <w:rPr>
          <w:rFonts w:ascii="Tahoma" w:hAnsi="Tahoma"/>
        </w:rPr>
        <w:t>ț</w:t>
      </w:r>
      <w:r>
        <w:rPr/>
        <w:t>iei pacientului în expunerea medicală la radia</w:t>
      </w:r>
      <w:r>
        <w:rPr>
          <w:rFonts w:ascii="Tahoma" w:hAnsi="Tahoma"/>
        </w:rPr>
        <w:t>ț</w:t>
      </w:r>
      <w:r>
        <w:rPr/>
        <w:t>ii ionizante </w:t>
      </w:r>
      <w:r>
        <w:rPr>
          <w:rFonts w:ascii="Tahoma" w:hAnsi="Tahoma"/>
        </w:rPr>
        <w:t>ș</w:t>
      </w:r>
      <w:r>
        <w:rPr/>
        <w:t>i supravegherea expunerii personalului medical la radia</w:t>
      </w:r>
      <w:r>
        <w:rPr>
          <w:rFonts w:ascii="Tahoma" w:hAnsi="Tahoma"/>
        </w:rPr>
        <w:t>ț</w:t>
      </w:r>
      <w:r>
        <w:rPr/>
        <w:t>ii ionizante, de la unită</w:t>
      </w:r>
      <w:r>
        <w:rPr>
          <w:rFonts w:ascii="Tahoma" w:hAnsi="Tahoma"/>
        </w:rPr>
        <w:t>ț</w:t>
      </w:r>
      <w:r>
        <w:rPr/>
        <w:t>ile medicale care raportează, din Bucuresti si judetele arondate.</w:t>
      </w:r>
    </w:p>
    <w:p>
      <w:pPr>
        <w:pStyle w:val="BodyText"/>
        <w:ind w:left="233" w:right="834"/>
        <w:jc w:val="both"/>
      </w:pPr>
      <w:r>
        <w:rPr/>
        <w:t>S-au centralizat, calculat, evaluat si raportat date cu privire la expunerea medicală a populatiei, după cum urmează: 200585 pacienti investigati, in cadrul procedurilor de diagnostic si terapie de la 36 instalatii Rx diagnostic, 9 computer-tomograf, 4 mamografie, 3 medicină nucleară, 2 hibride medicină</w:t>
      </w:r>
    </w:p>
    <w:p>
      <w:pPr>
        <w:pStyle w:val="BodyText"/>
        <w:ind w:left="233"/>
        <w:jc w:val="both"/>
      </w:pPr>
      <w:r>
        <w:rPr/>
        <w:t>nucleară, 3 DEXA, 2 dentare, 1 brachiterapie, 2 PET-CT si 2 Rx diagnostic interventional.</w:t>
      </w:r>
    </w:p>
    <w:p>
      <w:pPr>
        <w:pStyle w:val="BodyText"/>
        <w:spacing w:before="1"/>
        <w:ind w:left="233" w:right="830"/>
        <w:jc w:val="both"/>
      </w:pPr>
      <w:r>
        <w:rPr/>
        <w:t>S-au comunicat către CRSPMB date privind situa</w:t>
      </w:r>
      <w:r>
        <w:rPr>
          <w:rFonts w:ascii="Tahoma" w:hAnsi="Tahoma"/>
        </w:rPr>
        <w:t>ț</w:t>
      </w:r>
      <w:r>
        <w:rPr/>
        <w:t>ia expunerii profesionale medicale, la radia</w:t>
      </w:r>
      <w:r>
        <w:rPr>
          <w:rFonts w:ascii="Tahoma" w:hAnsi="Tahoma"/>
        </w:rPr>
        <w:t>ț</w:t>
      </w:r>
      <w:r>
        <w:rPr/>
        <w:t>ii ionizante. S-au realizat un total de 304 ac</w:t>
      </w:r>
      <w:r>
        <w:rPr>
          <w:rFonts w:ascii="Tahoma" w:hAnsi="Tahoma"/>
        </w:rPr>
        <w:t>ț</w:t>
      </w:r>
      <w:r>
        <w:rPr/>
        <w:t>iuni de supraveghere </w:t>
      </w:r>
      <w:r>
        <w:rPr>
          <w:rFonts w:ascii="Tahoma" w:hAnsi="Tahoma"/>
        </w:rPr>
        <w:t>ș</w:t>
      </w:r>
      <w:r>
        <w:rPr/>
        <w:t>i control.</w:t>
      </w:r>
    </w:p>
    <w:p>
      <w:pPr>
        <w:pStyle w:val="BodyText"/>
        <w:ind w:left="233" w:right="829"/>
        <w:jc w:val="both"/>
      </w:pPr>
      <w:r>
        <w:rPr/>
        <w:t>De la o unitate de supraveghere dozimetrică a personalului expus profesional la radia</w:t>
      </w:r>
      <w:r>
        <w:rPr>
          <w:rFonts w:ascii="Tahoma" w:hAnsi="Tahoma"/>
        </w:rPr>
        <w:t>ț</w:t>
      </w:r>
      <w:r>
        <w:rPr/>
        <w:t>ii ionizante, ne-a fost comunicat un caz de posibilă depă</w:t>
      </w:r>
      <w:r>
        <w:rPr>
          <w:rFonts w:ascii="Tahoma" w:hAnsi="Tahoma"/>
        </w:rPr>
        <w:t>ș</w:t>
      </w:r>
      <w:r>
        <w:rPr/>
        <w:t>ire de doză, la un lucrător dintr-o unitate de radiodiagnostic medical. În urma anchetei efectuate s-a dovedit a fi o expunere accidentală a filmului dozimetric, fără să se confirme depă</w:t>
      </w:r>
      <w:r>
        <w:rPr>
          <w:rFonts w:ascii="Tahoma" w:hAnsi="Tahoma"/>
        </w:rPr>
        <w:t>ș</w:t>
      </w:r>
      <w:r>
        <w:rPr/>
        <w:t>irea dozei maxim admisă pentru persoana în cauză.</w:t>
      </w:r>
    </w:p>
    <w:p>
      <w:pPr>
        <w:pStyle w:val="BodyText"/>
        <w:spacing w:line="468" w:lineRule="auto"/>
        <w:ind w:left="233" w:right="1883"/>
        <w:jc w:val="both"/>
      </w:pPr>
      <w:r>
        <w:rPr/>
        <w:pict>
          <v:shape style="position:absolute;margin-left:51pt;margin-top:42.245819pt;width:443.65pt;height:129.5pt;mso-position-horizontal-relative:page;mso-position-vertical-relative:paragraph;z-index:2519521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5"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5" w:lineRule="exact"/>
                          <w:ind w:left="106"/>
                          <w:rPr>
                            <w:sz w:val="24"/>
                          </w:rPr>
                        </w:pPr>
                        <w:r>
                          <w:rPr>
                            <w:sz w:val="24"/>
                          </w:rPr>
                          <w:t>Măsurători radioactivitate</w:t>
                        </w:r>
                      </w:p>
                    </w:tc>
                  </w:tr>
                  <w:tr>
                    <w:trPr>
                      <w:trHeight w:val="551"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6" w:lineRule="exact" w:before="2"/>
                          <w:ind w:left="106" w:right="490"/>
                          <w:rPr>
                            <w:sz w:val="24"/>
                          </w:rPr>
                        </w:pPr>
                        <w:r>
                          <w:rPr>
                            <w:sz w:val="24"/>
                          </w:rPr>
                          <w:t>Alfa Global</w:t>
                        </w:r>
                      </w:p>
                    </w:tc>
                    <w:tc>
                      <w:tcPr>
                        <w:tcW w:w="1283" w:type="dxa"/>
                      </w:tcPr>
                      <w:p>
                        <w:pPr>
                          <w:pStyle w:val="TableParagraph"/>
                          <w:spacing w:line="276" w:lineRule="exact" w:before="2"/>
                          <w:ind w:left="108" w:right="491"/>
                          <w:rPr>
                            <w:sz w:val="24"/>
                          </w:rPr>
                        </w:pPr>
                        <w:r>
                          <w:rPr>
                            <w:sz w:val="24"/>
                          </w:rPr>
                          <w:t>Beta Global</w:t>
                        </w:r>
                      </w:p>
                    </w:tc>
                    <w:tc>
                      <w:tcPr>
                        <w:tcW w:w="1310" w:type="dxa"/>
                      </w:tcPr>
                      <w:p>
                        <w:pPr>
                          <w:pStyle w:val="TableParagraph"/>
                          <w:spacing w:line="276" w:lineRule="exact" w:before="2"/>
                          <w:ind w:left="165" w:right="541" w:hanging="60"/>
                          <w:rPr>
                            <w:sz w:val="24"/>
                          </w:rPr>
                        </w:pPr>
                        <w:r>
                          <w:rPr>
                            <w:sz w:val="24"/>
                          </w:rPr>
                          <w:t>Tritiu ( </w:t>
                        </w:r>
                        <w:r>
                          <w:rPr>
                            <w:spacing w:val="-5"/>
                            <w:sz w:val="24"/>
                          </w:rPr>
                          <w:t>H-3)</w:t>
                        </w:r>
                      </w:p>
                    </w:tc>
                    <w:tc>
                      <w:tcPr>
                        <w:tcW w:w="1729" w:type="dxa"/>
                      </w:tcPr>
                      <w:p>
                        <w:pPr>
                          <w:pStyle w:val="TableParagraph"/>
                          <w:spacing w:line="276" w:lineRule="exact" w:before="2"/>
                          <w:ind w:left="103" w:right="343"/>
                          <w:rPr>
                            <w:sz w:val="24"/>
                          </w:rPr>
                        </w:pPr>
                        <w:r>
                          <w:rPr>
                            <w:sz w:val="24"/>
                          </w:rPr>
                          <w:t>Separări radiochimice</w:t>
                        </w:r>
                      </w:p>
                    </w:tc>
                  </w:tr>
                  <w:tr>
                    <w:trPr>
                      <w:trHeight w:val="273" w:hRule="atLeast"/>
                    </w:trPr>
                    <w:tc>
                      <w:tcPr>
                        <w:tcW w:w="1952" w:type="dxa"/>
                      </w:tcPr>
                      <w:p>
                        <w:pPr>
                          <w:pStyle w:val="TableParagraph"/>
                          <w:spacing w:line="253" w:lineRule="exact"/>
                          <w:ind w:left="108"/>
                          <w:rPr>
                            <w:sz w:val="24"/>
                          </w:rPr>
                        </w:pPr>
                        <w:r>
                          <w:rPr>
                            <w:sz w:val="24"/>
                          </w:rPr>
                          <w:t>Apă potabilă</w:t>
                        </w:r>
                      </w:p>
                    </w:tc>
                    <w:tc>
                      <w:tcPr>
                        <w:tcW w:w="1309" w:type="dxa"/>
                      </w:tcPr>
                      <w:p>
                        <w:pPr>
                          <w:pStyle w:val="TableParagraph"/>
                          <w:spacing w:line="253" w:lineRule="exact"/>
                          <w:ind w:left="107"/>
                          <w:rPr>
                            <w:sz w:val="24"/>
                          </w:rPr>
                        </w:pPr>
                        <w:r>
                          <w:rPr>
                            <w:sz w:val="24"/>
                          </w:rPr>
                          <w:t>158</w:t>
                        </w:r>
                      </w:p>
                    </w:tc>
                    <w:tc>
                      <w:tcPr>
                        <w:tcW w:w="1280" w:type="dxa"/>
                      </w:tcPr>
                      <w:p>
                        <w:pPr>
                          <w:pStyle w:val="TableParagraph"/>
                          <w:spacing w:line="253" w:lineRule="exact"/>
                          <w:ind w:left="106"/>
                          <w:rPr>
                            <w:sz w:val="24"/>
                          </w:rPr>
                        </w:pPr>
                        <w:r>
                          <w:rPr>
                            <w:sz w:val="24"/>
                          </w:rPr>
                          <w:t>158</w:t>
                        </w:r>
                      </w:p>
                    </w:tc>
                    <w:tc>
                      <w:tcPr>
                        <w:tcW w:w="1283" w:type="dxa"/>
                      </w:tcPr>
                      <w:p>
                        <w:pPr>
                          <w:pStyle w:val="TableParagraph"/>
                          <w:spacing w:line="253" w:lineRule="exact"/>
                          <w:ind w:left="108"/>
                          <w:rPr>
                            <w:sz w:val="24"/>
                          </w:rPr>
                        </w:pPr>
                        <w:r>
                          <w:rPr>
                            <w:sz w:val="24"/>
                          </w:rPr>
                          <w:t>158</w:t>
                        </w:r>
                      </w:p>
                    </w:tc>
                    <w:tc>
                      <w:tcPr>
                        <w:tcW w:w="1310" w:type="dxa"/>
                      </w:tcPr>
                      <w:p>
                        <w:pPr>
                          <w:pStyle w:val="TableParagraph"/>
                          <w:spacing w:line="253" w:lineRule="exact"/>
                          <w:ind w:left="105"/>
                          <w:rPr>
                            <w:sz w:val="24"/>
                          </w:rPr>
                        </w:pPr>
                        <w:r>
                          <w:rPr>
                            <w:sz w:val="24"/>
                          </w:rPr>
                          <w:t>108</w:t>
                        </w:r>
                      </w:p>
                    </w:tc>
                    <w:tc>
                      <w:tcPr>
                        <w:tcW w:w="1729" w:type="dxa"/>
                      </w:tcPr>
                      <w:p>
                        <w:pPr>
                          <w:pStyle w:val="TableParagraph"/>
                          <w:spacing w:line="253" w:lineRule="exact"/>
                          <w:ind w:left="103"/>
                          <w:rPr>
                            <w:sz w:val="24"/>
                          </w:rPr>
                        </w:pPr>
                        <w:r>
                          <w:rPr>
                            <w:sz w:val="24"/>
                          </w:rPr>
                          <w:t>161</w:t>
                        </w:r>
                      </w:p>
                    </w:tc>
                  </w:tr>
                  <w:tr>
                    <w:trPr>
                      <w:trHeight w:val="568" w:hRule="atLeast"/>
                    </w:trPr>
                    <w:tc>
                      <w:tcPr>
                        <w:tcW w:w="1952" w:type="dxa"/>
                      </w:tcPr>
                      <w:p>
                        <w:pPr>
                          <w:pStyle w:val="TableParagraph"/>
                          <w:spacing w:line="275" w:lineRule="exact" w:before="1"/>
                          <w:ind w:left="108"/>
                          <w:rPr>
                            <w:sz w:val="24"/>
                          </w:rPr>
                        </w:pPr>
                        <w:r>
                          <w:rPr>
                            <w:sz w:val="24"/>
                          </w:rPr>
                          <w:t>Contaminare de</w:t>
                        </w:r>
                      </w:p>
                      <w:p>
                        <w:pPr>
                          <w:pStyle w:val="TableParagraph"/>
                          <w:spacing w:line="272" w:lineRule="exact"/>
                          <w:ind w:left="108"/>
                          <w:rPr>
                            <w:sz w:val="24"/>
                          </w:rPr>
                        </w:pPr>
                        <w:r>
                          <w:rPr>
                            <w:sz w:val="24"/>
                          </w:rPr>
                          <w:t>suprafa</w:t>
                        </w:r>
                        <w:r>
                          <w:rPr>
                            <w:rFonts w:ascii="Tahoma" w:hAnsi="Tahoma"/>
                            <w:sz w:val="24"/>
                          </w:rPr>
                          <w:t>ț</w:t>
                        </w:r>
                        <w:r>
                          <w:rPr>
                            <w:sz w:val="24"/>
                          </w:rPr>
                          <w:t>ă</w:t>
                        </w:r>
                      </w:p>
                    </w:tc>
                    <w:tc>
                      <w:tcPr>
                        <w:tcW w:w="1309" w:type="dxa"/>
                      </w:tcPr>
                      <w:p>
                        <w:pPr>
                          <w:pStyle w:val="TableParagraph"/>
                          <w:spacing w:before="1"/>
                          <w:ind w:left="107"/>
                          <w:rPr>
                            <w:sz w:val="24"/>
                          </w:rPr>
                        </w:pPr>
                        <w:r>
                          <w:rPr>
                            <w:sz w:val="24"/>
                          </w:rPr>
                          <w:t>90</w:t>
                        </w:r>
                      </w:p>
                    </w:tc>
                    <w:tc>
                      <w:tcPr>
                        <w:tcW w:w="1280" w:type="dxa"/>
                      </w:tcPr>
                      <w:p>
                        <w:pPr>
                          <w:pStyle w:val="TableParagraph"/>
                          <w:spacing w:before="1"/>
                          <w:ind w:left="106"/>
                          <w:rPr>
                            <w:sz w:val="24"/>
                          </w:rPr>
                        </w:pPr>
                        <w:r>
                          <w:rPr>
                            <w:w w:val="99"/>
                            <w:sz w:val="24"/>
                          </w:rPr>
                          <w:t>-</w:t>
                        </w:r>
                      </w:p>
                    </w:tc>
                    <w:tc>
                      <w:tcPr>
                        <w:tcW w:w="1283" w:type="dxa"/>
                      </w:tcPr>
                      <w:p>
                        <w:pPr>
                          <w:pStyle w:val="TableParagraph"/>
                          <w:spacing w:before="1"/>
                          <w:ind w:left="108"/>
                          <w:rPr>
                            <w:sz w:val="24"/>
                          </w:rPr>
                        </w:pPr>
                        <w:r>
                          <w:rPr>
                            <w:w w:val="99"/>
                            <w:sz w:val="24"/>
                          </w:rPr>
                          <w:t>-</w:t>
                        </w:r>
                      </w:p>
                    </w:tc>
                    <w:tc>
                      <w:tcPr>
                        <w:tcW w:w="1310" w:type="dxa"/>
                      </w:tcPr>
                      <w:p>
                        <w:pPr>
                          <w:pStyle w:val="TableParagraph"/>
                          <w:spacing w:before="1"/>
                          <w:ind w:left="105"/>
                          <w:rPr>
                            <w:sz w:val="24"/>
                          </w:rPr>
                        </w:pPr>
                        <w:r>
                          <w:rPr>
                            <w:sz w:val="24"/>
                          </w:rPr>
                          <w:t>90</w:t>
                        </w:r>
                      </w:p>
                    </w:tc>
                    <w:tc>
                      <w:tcPr>
                        <w:tcW w:w="1729" w:type="dxa"/>
                      </w:tcPr>
                      <w:p>
                        <w:pPr>
                          <w:pStyle w:val="TableParagraph"/>
                          <w:spacing w:before="1"/>
                          <w:ind w:left="103"/>
                          <w:rPr>
                            <w:sz w:val="24"/>
                          </w:rPr>
                        </w:pPr>
                        <w:r>
                          <w:rPr>
                            <w:sz w:val="24"/>
                          </w:rPr>
                          <w:t>90</w:t>
                        </w:r>
                      </w:p>
                    </w:tc>
                  </w:tr>
                  <w:tr>
                    <w:trPr>
                      <w:trHeight w:val="275" w:hRule="atLeast"/>
                    </w:trPr>
                    <w:tc>
                      <w:tcPr>
                        <w:tcW w:w="1952" w:type="dxa"/>
                      </w:tcPr>
                      <w:p>
                        <w:pPr>
                          <w:pStyle w:val="TableParagraph"/>
                          <w:spacing w:line="256" w:lineRule="exact"/>
                          <w:ind w:left="108"/>
                          <w:rPr>
                            <w:sz w:val="24"/>
                          </w:rPr>
                        </w:pPr>
                        <w:r>
                          <w:rPr>
                            <w:sz w:val="24"/>
                          </w:rPr>
                          <w:t>Alte probe</w:t>
                        </w:r>
                      </w:p>
                    </w:tc>
                    <w:tc>
                      <w:tcPr>
                        <w:tcW w:w="1309" w:type="dxa"/>
                      </w:tcPr>
                      <w:p>
                        <w:pPr>
                          <w:pStyle w:val="TableParagraph"/>
                          <w:spacing w:line="256" w:lineRule="exact"/>
                          <w:ind w:left="107"/>
                          <w:rPr>
                            <w:sz w:val="24"/>
                          </w:rPr>
                        </w:pPr>
                        <w:r>
                          <w:rPr>
                            <w:sz w:val="24"/>
                          </w:rPr>
                          <w:t>3</w:t>
                        </w:r>
                      </w:p>
                    </w:tc>
                    <w:tc>
                      <w:tcPr>
                        <w:tcW w:w="1280" w:type="dxa"/>
                      </w:tcPr>
                      <w:p>
                        <w:pPr>
                          <w:pStyle w:val="TableParagraph"/>
                          <w:spacing w:line="256" w:lineRule="exact"/>
                          <w:ind w:left="106"/>
                          <w:rPr>
                            <w:sz w:val="24"/>
                          </w:rPr>
                        </w:pPr>
                        <w:r>
                          <w:rPr>
                            <w:sz w:val="24"/>
                          </w:rPr>
                          <w:t>3</w:t>
                        </w:r>
                      </w:p>
                    </w:tc>
                    <w:tc>
                      <w:tcPr>
                        <w:tcW w:w="1283" w:type="dxa"/>
                      </w:tcPr>
                      <w:p>
                        <w:pPr>
                          <w:pStyle w:val="TableParagraph"/>
                          <w:spacing w:line="256" w:lineRule="exact"/>
                          <w:ind w:left="108"/>
                          <w:rPr>
                            <w:sz w:val="24"/>
                          </w:rPr>
                        </w:pPr>
                        <w:r>
                          <w:rPr>
                            <w:sz w:val="24"/>
                          </w:rPr>
                          <w:t>3</w:t>
                        </w:r>
                      </w:p>
                    </w:tc>
                    <w:tc>
                      <w:tcPr>
                        <w:tcW w:w="1310" w:type="dxa"/>
                      </w:tcPr>
                      <w:p>
                        <w:pPr>
                          <w:pStyle w:val="TableParagraph"/>
                          <w:spacing w:line="256" w:lineRule="exact"/>
                          <w:ind w:left="105"/>
                          <w:rPr>
                            <w:sz w:val="24"/>
                          </w:rPr>
                        </w:pPr>
                        <w:r>
                          <w:rPr>
                            <w:w w:val="99"/>
                            <w:sz w:val="24"/>
                          </w:rPr>
                          <w:t>-</w:t>
                        </w:r>
                      </w:p>
                    </w:tc>
                    <w:tc>
                      <w:tcPr>
                        <w:tcW w:w="1729" w:type="dxa"/>
                      </w:tcPr>
                      <w:p>
                        <w:pPr>
                          <w:pStyle w:val="TableParagraph"/>
                          <w:spacing w:line="256" w:lineRule="exact"/>
                          <w:ind w:left="103"/>
                          <w:rPr>
                            <w:sz w:val="24"/>
                          </w:rPr>
                        </w:pPr>
                        <w:r>
                          <w:rPr>
                            <w:sz w:val="24"/>
                          </w:rPr>
                          <w:t>3</w:t>
                        </w:r>
                      </w:p>
                    </w:tc>
                  </w:tr>
                  <w:tr>
                    <w:trPr>
                      <w:trHeight w:val="277" w:hRule="atLeast"/>
                    </w:trPr>
                    <w:tc>
                      <w:tcPr>
                        <w:tcW w:w="1952" w:type="dxa"/>
                        <w:vMerge w:val="restart"/>
                      </w:tcPr>
                      <w:p>
                        <w:pPr>
                          <w:pStyle w:val="TableParagraph"/>
                          <w:spacing w:before="1"/>
                          <w:ind w:left="108"/>
                          <w:rPr>
                            <w:sz w:val="24"/>
                          </w:rPr>
                        </w:pPr>
                        <w:r>
                          <w:rPr>
                            <w:sz w:val="24"/>
                          </w:rPr>
                          <w:t>TOTAL:</w:t>
                        </w:r>
                      </w:p>
                    </w:tc>
                    <w:tc>
                      <w:tcPr>
                        <w:tcW w:w="1309" w:type="dxa"/>
                        <w:vMerge w:val="restart"/>
                      </w:tcPr>
                      <w:p>
                        <w:pPr>
                          <w:pStyle w:val="TableParagraph"/>
                          <w:spacing w:before="1"/>
                          <w:ind w:left="107"/>
                          <w:rPr>
                            <w:sz w:val="24"/>
                          </w:rPr>
                        </w:pPr>
                        <w:r>
                          <w:rPr>
                            <w:sz w:val="24"/>
                          </w:rPr>
                          <w:t>251</w:t>
                        </w:r>
                      </w:p>
                    </w:tc>
                    <w:tc>
                      <w:tcPr>
                        <w:tcW w:w="1280" w:type="dxa"/>
                      </w:tcPr>
                      <w:p>
                        <w:pPr>
                          <w:pStyle w:val="TableParagraph"/>
                          <w:spacing w:line="257" w:lineRule="exact" w:before="1"/>
                          <w:ind w:left="106"/>
                          <w:rPr>
                            <w:sz w:val="24"/>
                          </w:rPr>
                        </w:pPr>
                        <w:r>
                          <w:rPr>
                            <w:sz w:val="24"/>
                          </w:rPr>
                          <w:t>161</w:t>
                        </w:r>
                      </w:p>
                    </w:tc>
                    <w:tc>
                      <w:tcPr>
                        <w:tcW w:w="1283" w:type="dxa"/>
                      </w:tcPr>
                      <w:p>
                        <w:pPr>
                          <w:pStyle w:val="TableParagraph"/>
                          <w:spacing w:line="257" w:lineRule="exact" w:before="1"/>
                          <w:ind w:left="108"/>
                          <w:rPr>
                            <w:sz w:val="24"/>
                          </w:rPr>
                        </w:pPr>
                        <w:r>
                          <w:rPr>
                            <w:sz w:val="24"/>
                          </w:rPr>
                          <w:t>161</w:t>
                        </w:r>
                      </w:p>
                    </w:tc>
                    <w:tc>
                      <w:tcPr>
                        <w:tcW w:w="1310" w:type="dxa"/>
                      </w:tcPr>
                      <w:p>
                        <w:pPr>
                          <w:pStyle w:val="TableParagraph"/>
                          <w:spacing w:line="257" w:lineRule="exact" w:before="1"/>
                          <w:ind w:left="105"/>
                          <w:rPr>
                            <w:sz w:val="24"/>
                          </w:rPr>
                        </w:pPr>
                        <w:r>
                          <w:rPr>
                            <w:sz w:val="24"/>
                          </w:rPr>
                          <w:t>198</w:t>
                        </w:r>
                      </w:p>
                    </w:tc>
                    <w:tc>
                      <w:tcPr>
                        <w:tcW w:w="1729" w:type="dxa"/>
                      </w:tcPr>
                      <w:p>
                        <w:pPr>
                          <w:pStyle w:val="TableParagraph"/>
                          <w:spacing w:line="257" w:lineRule="exact" w:before="1"/>
                          <w:ind w:left="103"/>
                          <w:rPr>
                            <w:sz w:val="24"/>
                          </w:rPr>
                        </w:pPr>
                        <w:r>
                          <w:rPr>
                            <w:sz w:val="24"/>
                          </w:rPr>
                          <w:t>254</w:t>
                        </w:r>
                      </w:p>
                    </w:tc>
                  </w:tr>
                  <w:tr>
                    <w:trPr>
                      <w:trHeight w:val="275"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6" w:lineRule="exact"/>
                          <w:ind w:left="106"/>
                          <w:rPr>
                            <w:sz w:val="24"/>
                          </w:rPr>
                        </w:pPr>
                        <w:r>
                          <w:rPr>
                            <w:sz w:val="24"/>
                          </w:rPr>
                          <w:t>774</w:t>
                        </w:r>
                      </w:p>
                    </w:tc>
                  </w:tr>
                </w:tbl>
                <w:p>
                  <w:pPr>
                    <w:pStyle w:val="BodyText"/>
                    <w:ind w:left="0"/>
                  </w:pPr>
                </w:p>
              </w:txbxContent>
            </v:textbox>
            <w10:wrap type="none"/>
          </v:shape>
        </w:pict>
      </w:r>
      <w:r>
        <w:rPr/>
        <w:t>S-au recoltat si măsurat probe de apă </w:t>
      </w:r>
      <w:r>
        <w:rPr>
          <w:rFonts w:ascii="Tahoma" w:hAnsi="Tahoma"/>
        </w:rPr>
        <w:t>ș</w:t>
      </w:r>
      <w:r>
        <w:rPr/>
        <w:t>i aliment, dupa cum este detaliat in tabelul de mai jos: Bucuresti</w:t>
      </w:r>
    </w:p>
    <w:p>
      <w:pPr>
        <w:spacing w:after="0" w:line="468" w:lineRule="auto"/>
        <w:jc w:val="both"/>
        <w:sectPr>
          <w:pgSz w:w="11910" w:h="16840"/>
          <w:pgMar w:header="0" w:footer="738" w:top="1360" w:bottom="920" w:left="900" w:right="0"/>
        </w:sectPr>
      </w:pPr>
    </w:p>
    <w:p>
      <w:pPr>
        <w:pStyle w:val="BodyText"/>
        <w:spacing w:before="81"/>
        <w:ind w:left="233"/>
      </w:pPr>
      <w:r>
        <w:rPr/>
        <w:t>Călăra</w:t>
      </w:r>
      <w:r>
        <w:rPr>
          <w:rFonts w:ascii="Tahoma" w:hAnsi="Tahoma"/>
        </w:rPr>
        <w:t>s</w:t>
      </w:r>
      <w:r>
        <w:rPr/>
        <w:t>i</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5"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5" w:lineRule="exact"/>
              <w:ind w:left="106"/>
              <w:rPr>
                <w:sz w:val="24"/>
              </w:rPr>
            </w:pPr>
            <w:r>
              <w:rPr>
                <w:sz w:val="24"/>
              </w:rPr>
              <w:t>Măsurători radioactivitate</w:t>
            </w:r>
          </w:p>
        </w:tc>
      </w:tr>
      <w:tr>
        <w:trPr>
          <w:trHeight w:val="551"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6" w:lineRule="exact" w:before="2"/>
              <w:ind w:left="106" w:right="490"/>
              <w:rPr>
                <w:sz w:val="24"/>
              </w:rPr>
            </w:pPr>
            <w:r>
              <w:rPr>
                <w:sz w:val="24"/>
              </w:rPr>
              <w:t>Alfa Global</w:t>
            </w:r>
          </w:p>
        </w:tc>
        <w:tc>
          <w:tcPr>
            <w:tcW w:w="1283" w:type="dxa"/>
          </w:tcPr>
          <w:p>
            <w:pPr>
              <w:pStyle w:val="TableParagraph"/>
              <w:spacing w:line="276" w:lineRule="exact" w:before="2"/>
              <w:ind w:left="108" w:right="491"/>
              <w:rPr>
                <w:sz w:val="24"/>
              </w:rPr>
            </w:pPr>
            <w:r>
              <w:rPr>
                <w:sz w:val="24"/>
              </w:rPr>
              <w:t>Beta Global</w:t>
            </w:r>
          </w:p>
        </w:tc>
        <w:tc>
          <w:tcPr>
            <w:tcW w:w="1310" w:type="dxa"/>
          </w:tcPr>
          <w:p>
            <w:pPr>
              <w:pStyle w:val="TableParagraph"/>
              <w:spacing w:line="276" w:lineRule="exact" w:before="2"/>
              <w:ind w:left="165" w:right="541" w:hanging="60"/>
              <w:rPr>
                <w:sz w:val="24"/>
              </w:rPr>
            </w:pPr>
            <w:r>
              <w:rPr>
                <w:sz w:val="24"/>
              </w:rPr>
              <w:t>Tritiu ( </w:t>
            </w:r>
            <w:r>
              <w:rPr>
                <w:spacing w:val="-5"/>
                <w:sz w:val="24"/>
              </w:rPr>
              <w:t>H-3)</w:t>
            </w:r>
          </w:p>
        </w:tc>
        <w:tc>
          <w:tcPr>
            <w:tcW w:w="1729" w:type="dxa"/>
          </w:tcPr>
          <w:p>
            <w:pPr>
              <w:pStyle w:val="TableParagraph"/>
              <w:spacing w:line="276" w:lineRule="exact" w:before="2"/>
              <w:ind w:left="103" w:right="343"/>
              <w:rPr>
                <w:sz w:val="24"/>
              </w:rPr>
            </w:pPr>
            <w:r>
              <w:rPr>
                <w:sz w:val="24"/>
              </w:rPr>
              <w:t>Separări radiochimice</w:t>
            </w:r>
          </w:p>
        </w:tc>
      </w:tr>
      <w:tr>
        <w:trPr>
          <w:trHeight w:val="273" w:hRule="atLeast"/>
        </w:trPr>
        <w:tc>
          <w:tcPr>
            <w:tcW w:w="1952" w:type="dxa"/>
          </w:tcPr>
          <w:p>
            <w:pPr>
              <w:pStyle w:val="TableParagraph"/>
              <w:spacing w:line="253" w:lineRule="exact"/>
              <w:ind w:left="108"/>
              <w:rPr>
                <w:sz w:val="24"/>
              </w:rPr>
            </w:pPr>
            <w:r>
              <w:rPr>
                <w:sz w:val="24"/>
              </w:rPr>
              <w:t>Apă potabilă</w:t>
            </w:r>
          </w:p>
        </w:tc>
        <w:tc>
          <w:tcPr>
            <w:tcW w:w="1309" w:type="dxa"/>
          </w:tcPr>
          <w:p>
            <w:pPr>
              <w:pStyle w:val="TableParagraph"/>
              <w:spacing w:line="253" w:lineRule="exact"/>
              <w:ind w:left="107"/>
              <w:rPr>
                <w:sz w:val="24"/>
              </w:rPr>
            </w:pPr>
            <w:r>
              <w:rPr>
                <w:sz w:val="24"/>
              </w:rPr>
              <w:t>18</w:t>
            </w:r>
          </w:p>
        </w:tc>
        <w:tc>
          <w:tcPr>
            <w:tcW w:w="1280" w:type="dxa"/>
          </w:tcPr>
          <w:p>
            <w:pPr>
              <w:pStyle w:val="TableParagraph"/>
              <w:spacing w:line="253" w:lineRule="exact"/>
              <w:ind w:left="106"/>
              <w:rPr>
                <w:sz w:val="24"/>
              </w:rPr>
            </w:pPr>
            <w:r>
              <w:rPr>
                <w:sz w:val="24"/>
              </w:rPr>
              <w:t>18</w:t>
            </w:r>
          </w:p>
        </w:tc>
        <w:tc>
          <w:tcPr>
            <w:tcW w:w="1283" w:type="dxa"/>
          </w:tcPr>
          <w:p>
            <w:pPr>
              <w:pStyle w:val="TableParagraph"/>
              <w:spacing w:line="253" w:lineRule="exact"/>
              <w:ind w:left="108"/>
              <w:rPr>
                <w:sz w:val="24"/>
              </w:rPr>
            </w:pPr>
            <w:r>
              <w:rPr>
                <w:sz w:val="24"/>
              </w:rPr>
              <w:t>18</w:t>
            </w:r>
          </w:p>
        </w:tc>
        <w:tc>
          <w:tcPr>
            <w:tcW w:w="1310" w:type="dxa"/>
          </w:tcPr>
          <w:p>
            <w:pPr>
              <w:pStyle w:val="TableParagraph"/>
              <w:spacing w:line="253" w:lineRule="exact"/>
              <w:ind w:left="105"/>
              <w:rPr>
                <w:sz w:val="24"/>
              </w:rPr>
            </w:pPr>
            <w:r>
              <w:rPr>
                <w:sz w:val="24"/>
              </w:rPr>
              <w:t>18</w:t>
            </w:r>
          </w:p>
        </w:tc>
        <w:tc>
          <w:tcPr>
            <w:tcW w:w="1729" w:type="dxa"/>
          </w:tcPr>
          <w:p>
            <w:pPr>
              <w:pStyle w:val="TableParagraph"/>
              <w:spacing w:line="253" w:lineRule="exact"/>
              <w:ind w:left="103"/>
              <w:rPr>
                <w:sz w:val="24"/>
              </w:rPr>
            </w:pPr>
            <w:r>
              <w:rPr>
                <w:sz w:val="24"/>
              </w:rPr>
              <w:t>21</w:t>
            </w:r>
          </w:p>
        </w:tc>
      </w:tr>
      <w:tr>
        <w:trPr>
          <w:trHeight w:val="275" w:hRule="atLeast"/>
        </w:trPr>
        <w:tc>
          <w:tcPr>
            <w:tcW w:w="1952" w:type="dxa"/>
          </w:tcPr>
          <w:p>
            <w:pPr>
              <w:pStyle w:val="TableParagraph"/>
              <w:spacing w:line="256" w:lineRule="exact"/>
              <w:ind w:left="108"/>
              <w:rPr>
                <w:sz w:val="24"/>
              </w:rPr>
            </w:pPr>
            <w:r>
              <w:rPr>
                <w:sz w:val="24"/>
              </w:rPr>
              <w:t>Lapte consum</w:t>
            </w:r>
          </w:p>
        </w:tc>
        <w:tc>
          <w:tcPr>
            <w:tcW w:w="1309" w:type="dxa"/>
          </w:tcPr>
          <w:p>
            <w:pPr>
              <w:pStyle w:val="TableParagraph"/>
              <w:spacing w:line="256" w:lineRule="exact"/>
              <w:ind w:left="107"/>
              <w:rPr>
                <w:sz w:val="24"/>
              </w:rPr>
            </w:pPr>
            <w:r>
              <w:rPr>
                <w:sz w:val="24"/>
              </w:rPr>
              <w:t>1</w:t>
            </w:r>
          </w:p>
        </w:tc>
        <w:tc>
          <w:tcPr>
            <w:tcW w:w="1280" w:type="dxa"/>
          </w:tcPr>
          <w:p>
            <w:pPr>
              <w:pStyle w:val="TableParagraph"/>
              <w:spacing w:line="256" w:lineRule="exact"/>
              <w:ind w:left="106"/>
              <w:rPr>
                <w:sz w:val="24"/>
              </w:rPr>
            </w:pPr>
            <w:r>
              <w:rPr>
                <w:sz w:val="24"/>
              </w:rPr>
              <w:t>1</w:t>
            </w:r>
          </w:p>
        </w:tc>
        <w:tc>
          <w:tcPr>
            <w:tcW w:w="1283" w:type="dxa"/>
          </w:tcPr>
          <w:p>
            <w:pPr>
              <w:pStyle w:val="TableParagraph"/>
              <w:spacing w:line="256" w:lineRule="exact"/>
              <w:ind w:left="108"/>
              <w:rPr>
                <w:sz w:val="24"/>
              </w:rPr>
            </w:pPr>
            <w:r>
              <w:rPr>
                <w:sz w:val="24"/>
              </w:rPr>
              <w:t>1</w:t>
            </w:r>
          </w:p>
        </w:tc>
        <w:tc>
          <w:tcPr>
            <w:tcW w:w="1310" w:type="dxa"/>
          </w:tcPr>
          <w:p>
            <w:pPr>
              <w:pStyle w:val="TableParagraph"/>
              <w:spacing w:line="256" w:lineRule="exact"/>
              <w:ind w:left="105"/>
              <w:rPr>
                <w:sz w:val="24"/>
              </w:rPr>
            </w:pPr>
            <w:r>
              <w:rPr>
                <w:w w:val="99"/>
                <w:sz w:val="24"/>
              </w:rPr>
              <w:t>-</w:t>
            </w:r>
          </w:p>
        </w:tc>
        <w:tc>
          <w:tcPr>
            <w:tcW w:w="1729" w:type="dxa"/>
          </w:tcPr>
          <w:p>
            <w:pPr>
              <w:pStyle w:val="TableParagraph"/>
              <w:spacing w:line="256" w:lineRule="exact"/>
              <w:ind w:left="103"/>
              <w:rPr>
                <w:sz w:val="24"/>
              </w:rPr>
            </w:pPr>
            <w:r>
              <w:rPr>
                <w:sz w:val="24"/>
              </w:rPr>
              <w:t>1</w:t>
            </w:r>
          </w:p>
        </w:tc>
      </w:tr>
      <w:tr>
        <w:trPr>
          <w:trHeight w:val="275" w:hRule="atLeast"/>
        </w:trPr>
        <w:tc>
          <w:tcPr>
            <w:tcW w:w="1952" w:type="dxa"/>
            <w:vMerge w:val="restart"/>
          </w:tcPr>
          <w:p>
            <w:pPr>
              <w:pStyle w:val="TableParagraph"/>
              <w:spacing w:line="275" w:lineRule="exact"/>
              <w:ind w:left="108"/>
              <w:rPr>
                <w:sz w:val="24"/>
              </w:rPr>
            </w:pPr>
            <w:r>
              <w:rPr>
                <w:sz w:val="24"/>
              </w:rPr>
              <w:t>TOTAL:</w:t>
            </w:r>
          </w:p>
        </w:tc>
        <w:tc>
          <w:tcPr>
            <w:tcW w:w="1309" w:type="dxa"/>
            <w:vMerge w:val="restart"/>
          </w:tcPr>
          <w:p>
            <w:pPr>
              <w:pStyle w:val="TableParagraph"/>
              <w:spacing w:line="275" w:lineRule="exact"/>
              <w:ind w:left="107"/>
              <w:rPr>
                <w:sz w:val="24"/>
              </w:rPr>
            </w:pPr>
            <w:r>
              <w:rPr>
                <w:sz w:val="24"/>
              </w:rPr>
              <w:t>19</w:t>
            </w:r>
          </w:p>
        </w:tc>
        <w:tc>
          <w:tcPr>
            <w:tcW w:w="1280" w:type="dxa"/>
          </w:tcPr>
          <w:p>
            <w:pPr>
              <w:pStyle w:val="TableParagraph"/>
              <w:spacing w:line="256" w:lineRule="exact"/>
              <w:ind w:left="106"/>
              <w:rPr>
                <w:sz w:val="24"/>
              </w:rPr>
            </w:pPr>
            <w:r>
              <w:rPr>
                <w:sz w:val="24"/>
              </w:rPr>
              <w:t>19</w:t>
            </w:r>
          </w:p>
        </w:tc>
        <w:tc>
          <w:tcPr>
            <w:tcW w:w="1283" w:type="dxa"/>
          </w:tcPr>
          <w:p>
            <w:pPr>
              <w:pStyle w:val="TableParagraph"/>
              <w:spacing w:line="256" w:lineRule="exact"/>
              <w:ind w:left="108"/>
              <w:rPr>
                <w:sz w:val="24"/>
              </w:rPr>
            </w:pPr>
            <w:r>
              <w:rPr>
                <w:sz w:val="24"/>
              </w:rPr>
              <w:t>19</w:t>
            </w:r>
          </w:p>
        </w:tc>
        <w:tc>
          <w:tcPr>
            <w:tcW w:w="1310" w:type="dxa"/>
          </w:tcPr>
          <w:p>
            <w:pPr>
              <w:pStyle w:val="TableParagraph"/>
              <w:spacing w:line="256" w:lineRule="exact"/>
              <w:ind w:left="105"/>
              <w:rPr>
                <w:sz w:val="24"/>
              </w:rPr>
            </w:pPr>
            <w:r>
              <w:rPr>
                <w:sz w:val="24"/>
              </w:rPr>
              <w:t>18</w:t>
            </w:r>
          </w:p>
        </w:tc>
        <w:tc>
          <w:tcPr>
            <w:tcW w:w="1729" w:type="dxa"/>
          </w:tcPr>
          <w:p>
            <w:pPr>
              <w:pStyle w:val="TableParagraph"/>
              <w:spacing w:line="256" w:lineRule="exact"/>
              <w:ind w:left="103"/>
              <w:rPr>
                <w:sz w:val="24"/>
              </w:rPr>
            </w:pPr>
            <w:r>
              <w:rPr>
                <w:sz w:val="24"/>
              </w:rPr>
              <w:t>22</w:t>
            </w:r>
          </w:p>
        </w:tc>
      </w:tr>
      <w:tr>
        <w:trPr>
          <w:trHeight w:val="278"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8" w:lineRule="exact"/>
              <w:ind w:left="106"/>
              <w:rPr>
                <w:sz w:val="24"/>
              </w:rPr>
            </w:pPr>
            <w:r>
              <w:rPr>
                <w:sz w:val="24"/>
              </w:rPr>
              <w:t>78</w:t>
            </w:r>
          </w:p>
        </w:tc>
      </w:tr>
    </w:tbl>
    <w:p>
      <w:pPr>
        <w:pStyle w:val="BodyText"/>
        <w:ind w:left="0"/>
        <w:rPr>
          <w:sz w:val="28"/>
        </w:rPr>
      </w:pPr>
    </w:p>
    <w:p>
      <w:pPr>
        <w:pStyle w:val="BodyText"/>
        <w:spacing w:before="229"/>
        <w:ind w:left="233"/>
      </w:pPr>
      <w:r>
        <w:rPr/>
        <w:t>Ilfov</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2"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3" w:lineRule="exact"/>
              <w:ind w:left="106"/>
              <w:rPr>
                <w:sz w:val="24"/>
              </w:rPr>
            </w:pPr>
            <w:r>
              <w:rPr>
                <w:sz w:val="24"/>
              </w:rPr>
              <w:t>Măsurători radioactivitate</w:t>
            </w:r>
          </w:p>
        </w:tc>
      </w:tr>
      <w:tr>
        <w:trPr>
          <w:trHeight w:val="554"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0" w:lineRule="atLeast" w:before="1"/>
              <w:ind w:left="106" w:right="490"/>
              <w:rPr>
                <w:sz w:val="24"/>
              </w:rPr>
            </w:pPr>
            <w:r>
              <w:rPr>
                <w:sz w:val="24"/>
              </w:rPr>
              <w:t>Alfa Global</w:t>
            </w:r>
          </w:p>
        </w:tc>
        <w:tc>
          <w:tcPr>
            <w:tcW w:w="1283" w:type="dxa"/>
          </w:tcPr>
          <w:p>
            <w:pPr>
              <w:pStyle w:val="TableParagraph"/>
              <w:spacing w:line="270" w:lineRule="atLeast" w:before="1"/>
              <w:ind w:left="108" w:right="491"/>
              <w:rPr>
                <w:sz w:val="24"/>
              </w:rPr>
            </w:pPr>
            <w:r>
              <w:rPr>
                <w:sz w:val="24"/>
              </w:rPr>
              <w:t>Beta Global</w:t>
            </w:r>
          </w:p>
        </w:tc>
        <w:tc>
          <w:tcPr>
            <w:tcW w:w="1310" w:type="dxa"/>
          </w:tcPr>
          <w:p>
            <w:pPr>
              <w:pStyle w:val="TableParagraph"/>
              <w:spacing w:line="270" w:lineRule="atLeast" w:before="1"/>
              <w:ind w:left="165" w:right="541" w:hanging="60"/>
              <w:rPr>
                <w:sz w:val="24"/>
              </w:rPr>
            </w:pPr>
            <w:r>
              <w:rPr>
                <w:sz w:val="24"/>
              </w:rPr>
              <w:t>Tritiu ( </w:t>
            </w:r>
            <w:r>
              <w:rPr>
                <w:spacing w:val="-5"/>
                <w:sz w:val="24"/>
              </w:rPr>
              <w:t>H-3)</w:t>
            </w:r>
          </w:p>
        </w:tc>
        <w:tc>
          <w:tcPr>
            <w:tcW w:w="1729" w:type="dxa"/>
          </w:tcPr>
          <w:p>
            <w:pPr>
              <w:pStyle w:val="TableParagraph"/>
              <w:spacing w:line="270" w:lineRule="atLeast" w:before="1"/>
              <w:ind w:left="103" w:right="343"/>
              <w:rPr>
                <w:sz w:val="24"/>
              </w:rPr>
            </w:pPr>
            <w:r>
              <w:rPr>
                <w:sz w:val="24"/>
              </w:rPr>
              <w:t>Separări radiochimice</w:t>
            </w:r>
          </w:p>
        </w:tc>
      </w:tr>
      <w:tr>
        <w:trPr>
          <w:trHeight w:val="275" w:hRule="atLeast"/>
        </w:trPr>
        <w:tc>
          <w:tcPr>
            <w:tcW w:w="1952" w:type="dxa"/>
          </w:tcPr>
          <w:p>
            <w:pPr>
              <w:pStyle w:val="TableParagraph"/>
              <w:spacing w:line="256" w:lineRule="exact"/>
              <w:ind w:left="108"/>
              <w:rPr>
                <w:sz w:val="24"/>
              </w:rPr>
            </w:pPr>
            <w:r>
              <w:rPr>
                <w:sz w:val="24"/>
              </w:rPr>
              <w:t>Apă potabilă</w:t>
            </w:r>
          </w:p>
        </w:tc>
        <w:tc>
          <w:tcPr>
            <w:tcW w:w="1309" w:type="dxa"/>
          </w:tcPr>
          <w:p>
            <w:pPr>
              <w:pStyle w:val="TableParagraph"/>
              <w:spacing w:line="256" w:lineRule="exact"/>
              <w:ind w:left="107"/>
              <w:rPr>
                <w:sz w:val="24"/>
              </w:rPr>
            </w:pPr>
            <w:r>
              <w:rPr>
                <w:sz w:val="24"/>
              </w:rPr>
              <w:t>11</w:t>
            </w:r>
          </w:p>
        </w:tc>
        <w:tc>
          <w:tcPr>
            <w:tcW w:w="1280" w:type="dxa"/>
          </w:tcPr>
          <w:p>
            <w:pPr>
              <w:pStyle w:val="TableParagraph"/>
              <w:spacing w:line="256" w:lineRule="exact"/>
              <w:ind w:left="106"/>
              <w:rPr>
                <w:sz w:val="24"/>
              </w:rPr>
            </w:pPr>
            <w:r>
              <w:rPr>
                <w:sz w:val="24"/>
              </w:rPr>
              <w:t>11</w:t>
            </w:r>
          </w:p>
        </w:tc>
        <w:tc>
          <w:tcPr>
            <w:tcW w:w="1283" w:type="dxa"/>
          </w:tcPr>
          <w:p>
            <w:pPr>
              <w:pStyle w:val="TableParagraph"/>
              <w:spacing w:line="256" w:lineRule="exact"/>
              <w:ind w:left="108"/>
              <w:rPr>
                <w:sz w:val="24"/>
              </w:rPr>
            </w:pPr>
            <w:r>
              <w:rPr>
                <w:sz w:val="24"/>
              </w:rPr>
              <w:t>11</w:t>
            </w:r>
          </w:p>
        </w:tc>
        <w:tc>
          <w:tcPr>
            <w:tcW w:w="1310" w:type="dxa"/>
          </w:tcPr>
          <w:p>
            <w:pPr>
              <w:pStyle w:val="TableParagraph"/>
              <w:spacing w:line="256" w:lineRule="exact"/>
              <w:ind w:left="105"/>
              <w:rPr>
                <w:sz w:val="24"/>
              </w:rPr>
            </w:pPr>
            <w:r>
              <w:rPr>
                <w:sz w:val="24"/>
              </w:rPr>
              <w:t>11</w:t>
            </w:r>
          </w:p>
        </w:tc>
        <w:tc>
          <w:tcPr>
            <w:tcW w:w="1729" w:type="dxa"/>
          </w:tcPr>
          <w:p>
            <w:pPr>
              <w:pStyle w:val="TableParagraph"/>
              <w:spacing w:line="256" w:lineRule="exact"/>
              <w:ind w:left="103"/>
              <w:rPr>
                <w:sz w:val="24"/>
              </w:rPr>
            </w:pPr>
            <w:r>
              <w:rPr>
                <w:sz w:val="24"/>
              </w:rPr>
              <w:t>11</w:t>
            </w:r>
          </w:p>
        </w:tc>
      </w:tr>
      <w:tr>
        <w:trPr>
          <w:trHeight w:val="275" w:hRule="atLeast"/>
        </w:trPr>
        <w:tc>
          <w:tcPr>
            <w:tcW w:w="1952" w:type="dxa"/>
            <w:vMerge w:val="restart"/>
          </w:tcPr>
          <w:p>
            <w:pPr>
              <w:pStyle w:val="TableParagraph"/>
              <w:spacing w:line="275" w:lineRule="exact"/>
              <w:ind w:left="108"/>
              <w:rPr>
                <w:sz w:val="24"/>
              </w:rPr>
            </w:pPr>
            <w:r>
              <w:rPr>
                <w:sz w:val="24"/>
              </w:rPr>
              <w:t>TOTAL:</w:t>
            </w:r>
          </w:p>
        </w:tc>
        <w:tc>
          <w:tcPr>
            <w:tcW w:w="1309" w:type="dxa"/>
            <w:vMerge w:val="restart"/>
          </w:tcPr>
          <w:p>
            <w:pPr>
              <w:pStyle w:val="TableParagraph"/>
              <w:spacing w:line="275" w:lineRule="exact"/>
              <w:ind w:left="107"/>
              <w:rPr>
                <w:sz w:val="24"/>
              </w:rPr>
            </w:pPr>
            <w:r>
              <w:rPr>
                <w:sz w:val="24"/>
              </w:rPr>
              <w:t>11</w:t>
            </w:r>
          </w:p>
        </w:tc>
        <w:tc>
          <w:tcPr>
            <w:tcW w:w="1280" w:type="dxa"/>
          </w:tcPr>
          <w:p>
            <w:pPr>
              <w:pStyle w:val="TableParagraph"/>
              <w:spacing w:line="256" w:lineRule="exact"/>
              <w:ind w:left="106"/>
              <w:rPr>
                <w:sz w:val="24"/>
              </w:rPr>
            </w:pPr>
            <w:r>
              <w:rPr>
                <w:sz w:val="24"/>
              </w:rPr>
              <w:t>11</w:t>
            </w:r>
          </w:p>
        </w:tc>
        <w:tc>
          <w:tcPr>
            <w:tcW w:w="1283" w:type="dxa"/>
          </w:tcPr>
          <w:p>
            <w:pPr>
              <w:pStyle w:val="TableParagraph"/>
              <w:spacing w:line="256" w:lineRule="exact"/>
              <w:ind w:left="108"/>
              <w:rPr>
                <w:sz w:val="24"/>
              </w:rPr>
            </w:pPr>
            <w:r>
              <w:rPr>
                <w:sz w:val="24"/>
              </w:rPr>
              <w:t>11</w:t>
            </w:r>
          </w:p>
        </w:tc>
        <w:tc>
          <w:tcPr>
            <w:tcW w:w="1310" w:type="dxa"/>
          </w:tcPr>
          <w:p>
            <w:pPr>
              <w:pStyle w:val="TableParagraph"/>
              <w:spacing w:line="256" w:lineRule="exact"/>
              <w:ind w:left="105"/>
              <w:rPr>
                <w:sz w:val="24"/>
              </w:rPr>
            </w:pPr>
            <w:r>
              <w:rPr>
                <w:sz w:val="24"/>
              </w:rPr>
              <w:t>11</w:t>
            </w:r>
          </w:p>
        </w:tc>
        <w:tc>
          <w:tcPr>
            <w:tcW w:w="1729" w:type="dxa"/>
          </w:tcPr>
          <w:p>
            <w:pPr>
              <w:pStyle w:val="TableParagraph"/>
              <w:spacing w:line="256" w:lineRule="exact"/>
              <w:ind w:left="103"/>
              <w:rPr>
                <w:sz w:val="24"/>
              </w:rPr>
            </w:pPr>
            <w:r>
              <w:rPr>
                <w:sz w:val="24"/>
              </w:rPr>
              <w:t>11</w:t>
            </w:r>
          </w:p>
        </w:tc>
      </w:tr>
      <w:tr>
        <w:trPr>
          <w:trHeight w:val="275"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6" w:lineRule="exact"/>
              <w:ind w:left="106"/>
              <w:rPr>
                <w:sz w:val="24"/>
              </w:rPr>
            </w:pPr>
            <w:r>
              <w:rPr>
                <w:sz w:val="24"/>
              </w:rPr>
              <w:t>44</w:t>
            </w:r>
          </w:p>
        </w:tc>
      </w:tr>
    </w:tbl>
    <w:p>
      <w:pPr>
        <w:pStyle w:val="BodyText"/>
        <w:spacing w:before="10"/>
        <w:ind w:left="0"/>
        <w:rPr>
          <w:sz w:val="23"/>
        </w:rPr>
      </w:pPr>
    </w:p>
    <w:p>
      <w:pPr>
        <w:pStyle w:val="BodyText"/>
        <w:ind w:left="233"/>
      </w:pPr>
      <w:r>
        <w:rPr/>
        <w:t>Giurgiu</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5"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5" w:lineRule="exact"/>
              <w:ind w:left="106"/>
              <w:rPr>
                <w:sz w:val="24"/>
              </w:rPr>
            </w:pPr>
            <w:r>
              <w:rPr>
                <w:sz w:val="24"/>
              </w:rPr>
              <w:t>Măsurători radioactivitate</w:t>
            </w:r>
          </w:p>
        </w:tc>
      </w:tr>
      <w:tr>
        <w:trPr>
          <w:trHeight w:val="551"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6" w:lineRule="exact" w:before="2"/>
              <w:ind w:left="106" w:right="490"/>
              <w:rPr>
                <w:sz w:val="24"/>
              </w:rPr>
            </w:pPr>
            <w:r>
              <w:rPr>
                <w:sz w:val="24"/>
              </w:rPr>
              <w:t>Alfa Global</w:t>
            </w:r>
          </w:p>
        </w:tc>
        <w:tc>
          <w:tcPr>
            <w:tcW w:w="1283" w:type="dxa"/>
          </w:tcPr>
          <w:p>
            <w:pPr>
              <w:pStyle w:val="TableParagraph"/>
              <w:spacing w:line="276" w:lineRule="exact" w:before="2"/>
              <w:ind w:left="108" w:right="491"/>
              <w:rPr>
                <w:sz w:val="24"/>
              </w:rPr>
            </w:pPr>
            <w:r>
              <w:rPr>
                <w:sz w:val="24"/>
              </w:rPr>
              <w:t>Beta Global</w:t>
            </w:r>
          </w:p>
        </w:tc>
        <w:tc>
          <w:tcPr>
            <w:tcW w:w="1310" w:type="dxa"/>
          </w:tcPr>
          <w:p>
            <w:pPr>
              <w:pStyle w:val="TableParagraph"/>
              <w:spacing w:line="276" w:lineRule="exact" w:before="2"/>
              <w:ind w:left="165" w:right="541" w:hanging="60"/>
              <w:rPr>
                <w:sz w:val="24"/>
              </w:rPr>
            </w:pPr>
            <w:r>
              <w:rPr>
                <w:sz w:val="24"/>
              </w:rPr>
              <w:t>Tritiu ( </w:t>
            </w:r>
            <w:r>
              <w:rPr>
                <w:spacing w:val="-5"/>
                <w:sz w:val="24"/>
              </w:rPr>
              <w:t>H-3)</w:t>
            </w:r>
          </w:p>
        </w:tc>
        <w:tc>
          <w:tcPr>
            <w:tcW w:w="1729" w:type="dxa"/>
          </w:tcPr>
          <w:p>
            <w:pPr>
              <w:pStyle w:val="TableParagraph"/>
              <w:spacing w:line="276" w:lineRule="exact" w:before="2"/>
              <w:ind w:left="103" w:right="343"/>
              <w:rPr>
                <w:sz w:val="24"/>
              </w:rPr>
            </w:pPr>
            <w:r>
              <w:rPr>
                <w:sz w:val="24"/>
              </w:rPr>
              <w:t>Separări radiochimice</w:t>
            </w:r>
          </w:p>
        </w:tc>
      </w:tr>
      <w:tr>
        <w:trPr>
          <w:trHeight w:val="273" w:hRule="atLeast"/>
        </w:trPr>
        <w:tc>
          <w:tcPr>
            <w:tcW w:w="1952" w:type="dxa"/>
          </w:tcPr>
          <w:p>
            <w:pPr>
              <w:pStyle w:val="TableParagraph"/>
              <w:spacing w:line="253" w:lineRule="exact"/>
              <w:ind w:left="108"/>
              <w:rPr>
                <w:sz w:val="24"/>
              </w:rPr>
            </w:pPr>
            <w:r>
              <w:rPr>
                <w:sz w:val="24"/>
              </w:rPr>
              <w:t>Apă potabilă</w:t>
            </w:r>
          </w:p>
        </w:tc>
        <w:tc>
          <w:tcPr>
            <w:tcW w:w="1309" w:type="dxa"/>
          </w:tcPr>
          <w:p>
            <w:pPr>
              <w:pStyle w:val="TableParagraph"/>
              <w:spacing w:line="253" w:lineRule="exact"/>
              <w:ind w:left="107"/>
              <w:rPr>
                <w:sz w:val="24"/>
              </w:rPr>
            </w:pPr>
            <w:r>
              <w:rPr>
                <w:sz w:val="24"/>
              </w:rPr>
              <w:t>6</w:t>
            </w:r>
          </w:p>
        </w:tc>
        <w:tc>
          <w:tcPr>
            <w:tcW w:w="1280" w:type="dxa"/>
          </w:tcPr>
          <w:p>
            <w:pPr>
              <w:pStyle w:val="TableParagraph"/>
              <w:spacing w:line="253" w:lineRule="exact"/>
              <w:ind w:left="106"/>
              <w:rPr>
                <w:sz w:val="24"/>
              </w:rPr>
            </w:pPr>
            <w:r>
              <w:rPr>
                <w:sz w:val="24"/>
              </w:rPr>
              <w:t>6</w:t>
            </w:r>
          </w:p>
        </w:tc>
        <w:tc>
          <w:tcPr>
            <w:tcW w:w="1283" w:type="dxa"/>
          </w:tcPr>
          <w:p>
            <w:pPr>
              <w:pStyle w:val="TableParagraph"/>
              <w:spacing w:line="253" w:lineRule="exact"/>
              <w:ind w:left="108"/>
              <w:rPr>
                <w:sz w:val="24"/>
              </w:rPr>
            </w:pPr>
            <w:r>
              <w:rPr>
                <w:sz w:val="24"/>
              </w:rPr>
              <w:t>6</w:t>
            </w:r>
          </w:p>
        </w:tc>
        <w:tc>
          <w:tcPr>
            <w:tcW w:w="1310" w:type="dxa"/>
          </w:tcPr>
          <w:p>
            <w:pPr>
              <w:pStyle w:val="TableParagraph"/>
              <w:spacing w:line="253" w:lineRule="exact"/>
              <w:ind w:left="105"/>
              <w:rPr>
                <w:sz w:val="24"/>
              </w:rPr>
            </w:pPr>
            <w:r>
              <w:rPr>
                <w:sz w:val="24"/>
              </w:rPr>
              <w:t>6</w:t>
            </w:r>
          </w:p>
        </w:tc>
        <w:tc>
          <w:tcPr>
            <w:tcW w:w="1729" w:type="dxa"/>
          </w:tcPr>
          <w:p>
            <w:pPr>
              <w:pStyle w:val="TableParagraph"/>
              <w:spacing w:line="253" w:lineRule="exact"/>
              <w:ind w:left="103"/>
              <w:rPr>
                <w:sz w:val="24"/>
              </w:rPr>
            </w:pPr>
            <w:r>
              <w:rPr>
                <w:sz w:val="24"/>
              </w:rPr>
              <w:t>9</w:t>
            </w:r>
          </w:p>
        </w:tc>
      </w:tr>
      <w:tr>
        <w:trPr>
          <w:trHeight w:val="277" w:hRule="atLeast"/>
        </w:trPr>
        <w:tc>
          <w:tcPr>
            <w:tcW w:w="1952" w:type="dxa"/>
          </w:tcPr>
          <w:p>
            <w:pPr>
              <w:pStyle w:val="TableParagraph"/>
              <w:spacing w:line="257" w:lineRule="exact" w:before="1"/>
              <w:ind w:left="108"/>
              <w:rPr>
                <w:sz w:val="24"/>
              </w:rPr>
            </w:pPr>
            <w:r>
              <w:rPr>
                <w:sz w:val="24"/>
              </w:rPr>
              <w:t>Lapte consum</w:t>
            </w:r>
          </w:p>
        </w:tc>
        <w:tc>
          <w:tcPr>
            <w:tcW w:w="1309" w:type="dxa"/>
          </w:tcPr>
          <w:p>
            <w:pPr>
              <w:pStyle w:val="TableParagraph"/>
              <w:spacing w:line="257" w:lineRule="exact" w:before="1"/>
              <w:ind w:left="107"/>
              <w:rPr>
                <w:sz w:val="24"/>
              </w:rPr>
            </w:pPr>
            <w:r>
              <w:rPr>
                <w:sz w:val="24"/>
              </w:rPr>
              <w:t>3</w:t>
            </w:r>
          </w:p>
        </w:tc>
        <w:tc>
          <w:tcPr>
            <w:tcW w:w="1280" w:type="dxa"/>
          </w:tcPr>
          <w:p>
            <w:pPr>
              <w:pStyle w:val="TableParagraph"/>
              <w:spacing w:line="257" w:lineRule="exact" w:before="1"/>
              <w:ind w:left="106"/>
              <w:rPr>
                <w:sz w:val="24"/>
              </w:rPr>
            </w:pPr>
            <w:r>
              <w:rPr>
                <w:sz w:val="24"/>
              </w:rPr>
              <w:t>3</w:t>
            </w:r>
          </w:p>
        </w:tc>
        <w:tc>
          <w:tcPr>
            <w:tcW w:w="1283" w:type="dxa"/>
          </w:tcPr>
          <w:p>
            <w:pPr>
              <w:pStyle w:val="TableParagraph"/>
              <w:spacing w:line="257" w:lineRule="exact" w:before="1"/>
              <w:ind w:left="108"/>
              <w:rPr>
                <w:sz w:val="24"/>
              </w:rPr>
            </w:pPr>
            <w:r>
              <w:rPr>
                <w:sz w:val="24"/>
              </w:rPr>
              <w:t>3</w:t>
            </w:r>
          </w:p>
        </w:tc>
        <w:tc>
          <w:tcPr>
            <w:tcW w:w="1310" w:type="dxa"/>
          </w:tcPr>
          <w:p>
            <w:pPr>
              <w:pStyle w:val="TableParagraph"/>
              <w:spacing w:line="257" w:lineRule="exact" w:before="1"/>
              <w:ind w:left="105"/>
              <w:rPr>
                <w:sz w:val="24"/>
              </w:rPr>
            </w:pPr>
            <w:r>
              <w:rPr>
                <w:w w:val="99"/>
                <w:sz w:val="24"/>
              </w:rPr>
              <w:t>-</w:t>
            </w:r>
          </w:p>
        </w:tc>
        <w:tc>
          <w:tcPr>
            <w:tcW w:w="1729" w:type="dxa"/>
          </w:tcPr>
          <w:p>
            <w:pPr>
              <w:pStyle w:val="TableParagraph"/>
              <w:spacing w:line="257" w:lineRule="exact" w:before="1"/>
              <w:ind w:left="103"/>
              <w:rPr>
                <w:sz w:val="24"/>
              </w:rPr>
            </w:pPr>
            <w:r>
              <w:rPr>
                <w:sz w:val="24"/>
              </w:rPr>
              <w:t>6</w:t>
            </w:r>
          </w:p>
        </w:tc>
      </w:tr>
      <w:tr>
        <w:trPr>
          <w:trHeight w:val="552" w:hRule="atLeast"/>
        </w:trPr>
        <w:tc>
          <w:tcPr>
            <w:tcW w:w="1952" w:type="dxa"/>
          </w:tcPr>
          <w:p>
            <w:pPr>
              <w:pStyle w:val="TableParagraph"/>
              <w:spacing w:line="276" w:lineRule="exact" w:before="2"/>
              <w:ind w:left="108" w:right="361"/>
              <w:rPr>
                <w:sz w:val="24"/>
              </w:rPr>
            </w:pPr>
            <w:r>
              <w:rPr>
                <w:sz w:val="24"/>
              </w:rPr>
              <w:t>Meniu zilnic/persoană</w:t>
            </w:r>
          </w:p>
        </w:tc>
        <w:tc>
          <w:tcPr>
            <w:tcW w:w="1309" w:type="dxa"/>
          </w:tcPr>
          <w:p>
            <w:pPr>
              <w:pStyle w:val="TableParagraph"/>
              <w:spacing w:line="275" w:lineRule="exact"/>
              <w:ind w:left="107"/>
              <w:rPr>
                <w:sz w:val="24"/>
              </w:rPr>
            </w:pPr>
            <w:r>
              <w:rPr>
                <w:sz w:val="24"/>
              </w:rPr>
              <w:t>3</w:t>
            </w:r>
          </w:p>
        </w:tc>
        <w:tc>
          <w:tcPr>
            <w:tcW w:w="1280" w:type="dxa"/>
          </w:tcPr>
          <w:p>
            <w:pPr>
              <w:pStyle w:val="TableParagraph"/>
              <w:spacing w:line="275" w:lineRule="exact"/>
              <w:ind w:left="106"/>
              <w:rPr>
                <w:sz w:val="24"/>
              </w:rPr>
            </w:pPr>
            <w:r>
              <w:rPr>
                <w:sz w:val="24"/>
              </w:rPr>
              <w:t>3</w:t>
            </w:r>
          </w:p>
        </w:tc>
        <w:tc>
          <w:tcPr>
            <w:tcW w:w="1283" w:type="dxa"/>
          </w:tcPr>
          <w:p>
            <w:pPr>
              <w:pStyle w:val="TableParagraph"/>
              <w:spacing w:line="275" w:lineRule="exact"/>
              <w:ind w:left="108"/>
              <w:rPr>
                <w:sz w:val="24"/>
              </w:rPr>
            </w:pPr>
            <w:r>
              <w:rPr>
                <w:sz w:val="24"/>
              </w:rPr>
              <w:t>3</w:t>
            </w:r>
          </w:p>
        </w:tc>
        <w:tc>
          <w:tcPr>
            <w:tcW w:w="1310" w:type="dxa"/>
          </w:tcPr>
          <w:p>
            <w:pPr>
              <w:pStyle w:val="TableParagraph"/>
              <w:spacing w:line="275" w:lineRule="exact"/>
              <w:ind w:left="105"/>
              <w:rPr>
                <w:sz w:val="24"/>
              </w:rPr>
            </w:pPr>
            <w:r>
              <w:rPr>
                <w:w w:val="99"/>
                <w:sz w:val="24"/>
              </w:rPr>
              <w:t>-</w:t>
            </w:r>
          </w:p>
        </w:tc>
        <w:tc>
          <w:tcPr>
            <w:tcW w:w="1729" w:type="dxa"/>
          </w:tcPr>
          <w:p>
            <w:pPr>
              <w:pStyle w:val="TableParagraph"/>
              <w:spacing w:line="275" w:lineRule="exact"/>
              <w:ind w:left="103"/>
              <w:rPr>
                <w:sz w:val="24"/>
              </w:rPr>
            </w:pPr>
            <w:r>
              <w:rPr>
                <w:sz w:val="24"/>
              </w:rPr>
              <w:t>6</w:t>
            </w:r>
          </w:p>
        </w:tc>
      </w:tr>
      <w:tr>
        <w:trPr>
          <w:trHeight w:val="273" w:hRule="atLeast"/>
        </w:trPr>
        <w:tc>
          <w:tcPr>
            <w:tcW w:w="1952" w:type="dxa"/>
            <w:vMerge w:val="restart"/>
          </w:tcPr>
          <w:p>
            <w:pPr>
              <w:pStyle w:val="TableParagraph"/>
              <w:spacing w:line="273" w:lineRule="exact"/>
              <w:ind w:left="108"/>
              <w:rPr>
                <w:sz w:val="24"/>
              </w:rPr>
            </w:pPr>
            <w:r>
              <w:rPr>
                <w:sz w:val="24"/>
              </w:rPr>
              <w:t>TOTAL:</w:t>
            </w:r>
          </w:p>
        </w:tc>
        <w:tc>
          <w:tcPr>
            <w:tcW w:w="1309" w:type="dxa"/>
            <w:vMerge w:val="restart"/>
          </w:tcPr>
          <w:p>
            <w:pPr>
              <w:pStyle w:val="TableParagraph"/>
              <w:spacing w:line="273" w:lineRule="exact"/>
              <w:ind w:left="107"/>
              <w:rPr>
                <w:sz w:val="24"/>
              </w:rPr>
            </w:pPr>
            <w:r>
              <w:rPr>
                <w:sz w:val="24"/>
              </w:rPr>
              <w:t>12</w:t>
            </w:r>
          </w:p>
        </w:tc>
        <w:tc>
          <w:tcPr>
            <w:tcW w:w="1280" w:type="dxa"/>
          </w:tcPr>
          <w:p>
            <w:pPr>
              <w:pStyle w:val="TableParagraph"/>
              <w:spacing w:line="254" w:lineRule="exact"/>
              <w:ind w:left="106"/>
              <w:rPr>
                <w:sz w:val="24"/>
              </w:rPr>
            </w:pPr>
            <w:r>
              <w:rPr>
                <w:sz w:val="24"/>
              </w:rPr>
              <w:t>12</w:t>
            </w:r>
          </w:p>
        </w:tc>
        <w:tc>
          <w:tcPr>
            <w:tcW w:w="1283" w:type="dxa"/>
          </w:tcPr>
          <w:p>
            <w:pPr>
              <w:pStyle w:val="TableParagraph"/>
              <w:spacing w:line="254" w:lineRule="exact"/>
              <w:ind w:left="108"/>
              <w:rPr>
                <w:sz w:val="24"/>
              </w:rPr>
            </w:pPr>
            <w:r>
              <w:rPr>
                <w:sz w:val="24"/>
              </w:rPr>
              <w:t>12</w:t>
            </w:r>
          </w:p>
        </w:tc>
        <w:tc>
          <w:tcPr>
            <w:tcW w:w="1310" w:type="dxa"/>
          </w:tcPr>
          <w:p>
            <w:pPr>
              <w:pStyle w:val="TableParagraph"/>
              <w:spacing w:line="254" w:lineRule="exact"/>
              <w:ind w:left="105"/>
              <w:rPr>
                <w:sz w:val="24"/>
              </w:rPr>
            </w:pPr>
            <w:r>
              <w:rPr>
                <w:sz w:val="24"/>
              </w:rPr>
              <w:t>6</w:t>
            </w:r>
          </w:p>
        </w:tc>
        <w:tc>
          <w:tcPr>
            <w:tcW w:w="1729" w:type="dxa"/>
          </w:tcPr>
          <w:p>
            <w:pPr>
              <w:pStyle w:val="TableParagraph"/>
              <w:spacing w:line="254" w:lineRule="exact"/>
              <w:ind w:left="103"/>
              <w:rPr>
                <w:sz w:val="24"/>
              </w:rPr>
            </w:pPr>
            <w:r>
              <w:rPr>
                <w:sz w:val="24"/>
              </w:rPr>
              <w:t>21</w:t>
            </w:r>
          </w:p>
        </w:tc>
      </w:tr>
      <w:tr>
        <w:trPr>
          <w:trHeight w:val="275"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6" w:lineRule="exact"/>
              <w:ind w:left="106"/>
              <w:rPr>
                <w:sz w:val="24"/>
              </w:rPr>
            </w:pPr>
            <w:r>
              <w:rPr>
                <w:sz w:val="24"/>
              </w:rPr>
              <w:t>51</w:t>
            </w:r>
          </w:p>
        </w:tc>
      </w:tr>
    </w:tbl>
    <w:p>
      <w:pPr>
        <w:pStyle w:val="BodyText"/>
        <w:spacing w:before="10"/>
        <w:ind w:left="0"/>
        <w:rPr>
          <w:sz w:val="23"/>
        </w:rPr>
      </w:pPr>
    </w:p>
    <w:p>
      <w:pPr>
        <w:pStyle w:val="BodyText"/>
        <w:ind w:left="233"/>
      </w:pPr>
      <w:r>
        <w:rPr/>
        <w:t>Teleorman</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5"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5" w:lineRule="exact"/>
              <w:ind w:left="106"/>
              <w:rPr>
                <w:sz w:val="24"/>
              </w:rPr>
            </w:pPr>
            <w:r>
              <w:rPr>
                <w:sz w:val="24"/>
              </w:rPr>
              <w:t>Măsurători radioactivitate</w:t>
            </w:r>
          </w:p>
        </w:tc>
      </w:tr>
      <w:tr>
        <w:trPr>
          <w:trHeight w:val="551"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6" w:lineRule="exact" w:before="2"/>
              <w:ind w:left="106" w:right="490"/>
              <w:rPr>
                <w:sz w:val="24"/>
              </w:rPr>
            </w:pPr>
            <w:r>
              <w:rPr>
                <w:sz w:val="24"/>
              </w:rPr>
              <w:t>Alfa Global</w:t>
            </w:r>
          </w:p>
        </w:tc>
        <w:tc>
          <w:tcPr>
            <w:tcW w:w="1283" w:type="dxa"/>
          </w:tcPr>
          <w:p>
            <w:pPr>
              <w:pStyle w:val="TableParagraph"/>
              <w:spacing w:line="276" w:lineRule="exact" w:before="2"/>
              <w:ind w:left="108" w:right="491"/>
              <w:rPr>
                <w:sz w:val="24"/>
              </w:rPr>
            </w:pPr>
            <w:r>
              <w:rPr>
                <w:sz w:val="24"/>
              </w:rPr>
              <w:t>Beta Global</w:t>
            </w:r>
          </w:p>
        </w:tc>
        <w:tc>
          <w:tcPr>
            <w:tcW w:w="1310" w:type="dxa"/>
          </w:tcPr>
          <w:p>
            <w:pPr>
              <w:pStyle w:val="TableParagraph"/>
              <w:spacing w:line="276" w:lineRule="exact" w:before="2"/>
              <w:ind w:left="165" w:right="541" w:hanging="60"/>
              <w:rPr>
                <w:sz w:val="24"/>
              </w:rPr>
            </w:pPr>
            <w:r>
              <w:rPr>
                <w:sz w:val="24"/>
              </w:rPr>
              <w:t>Tritiu ( </w:t>
            </w:r>
            <w:r>
              <w:rPr>
                <w:spacing w:val="-5"/>
                <w:sz w:val="24"/>
              </w:rPr>
              <w:t>H-3)</w:t>
            </w:r>
          </w:p>
        </w:tc>
        <w:tc>
          <w:tcPr>
            <w:tcW w:w="1729" w:type="dxa"/>
          </w:tcPr>
          <w:p>
            <w:pPr>
              <w:pStyle w:val="TableParagraph"/>
              <w:spacing w:line="276" w:lineRule="exact" w:before="2"/>
              <w:ind w:left="103" w:right="343"/>
              <w:rPr>
                <w:sz w:val="24"/>
              </w:rPr>
            </w:pPr>
            <w:r>
              <w:rPr>
                <w:sz w:val="24"/>
              </w:rPr>
              <w:t>Separări radiochimice</w:t>
            </w:r>
          </w:p>
        </w:tc>
      </w:tr>
      <w:tr>
        <w:trPr>
          <w:trHeight w:val="273" w:hRule="atLeast"/>
        </w:trPr>
        <w:tc>
          <w:tcPr>
            <w:tcW w:w="1952" w:type="dxa"/>
          </w:tcPr>
          <w:p>
            <w:pPr>
              <w:pStyle w:val="TableParagraph"/>
              <w:spacing w:line="253" w:lineRule="exact"/>
              <w:ind w:left="108"/>
              <w:rPr>
                <w:sz w:val="24"/>
              </w:rPr>
            </w:pPr>
            <w:r>
              <w:rPr>
                <w:sz w:val="24"/>
              </w:rPr>
              <w:t>Apă potabilă</w:t>
            </w:r>
          </w:p>
        </w:tc>
        <w:tc>
          <w:tcPr>
            <w:tcW w:w="1309" w:type="dxa"/>
          </w:tcPr>
          <w:p>
            <w:pPr>
              <w:pStyle w:val="TableParagraph"/>
              <w:spacing w:line="253" w:lineRule="exact"/>
              <w:ind w:left="107"/>
              <w:rPr>
                <w:sz w:val="24"/>
              </w:rPr>
            </w:pPr>
            <w:r>
              <w:rPr>
                <w:sz w:val="24"/>
              </w:rPr>
              <w:t>8</w:t>
            </w:r>
          </w:p>
        </w:tc>
        <w:tc>
          <w:tcPr>
            <w:tcW w:w="1280" w:type="dxa"/>
          </w:tcPr>
          <w:p>
            <w:pPr>
              <w:pStyle w:val="TableParagraph"/>
              <w:spacing w:line="253" w:lineRule="exact"/>
              <w:ind w:left="106"/>
              <w:rPr>
                <w:sz w:val="24"/>
              </w:rPr>
            </w:pPr>
            <w:r>
              <w:rPr>
                <w:sz w:val="24"/>
              </w:rPr>
              <w:t>8</w:t>
            </w:r>
          </w:p>
        </w:tc>
        <w:tc>
          <w:tcPr>
            <w:tcW w:w="1283" w:type="dxa"/>
          </w:tcPr>
          <w:p>
            <w:pPr>
              <w:pStyle w:val="TableParagraph"/>
              <w:spacing w:line="253" w:lineRule="exact"/>
              <w:ind w:left="108"/>
              <w:rPr>
                <w:sz w:val="24"/>
              </w:rPr>
            </w:pPr>
            <w:r>
              <w:rPr>
                <w:sz w:val="24"/>
              </w:rPr>
              <w:t>8</w:t>
            </w:r>
          </w:p>
        </w:tc>
        <w:tc>
          <w:tcPr>
            <w:tcW w:w="1310" w:type="dxa"/>
          </w:tcPr>
          <w:p>
            <w:pPr>
              <w:pStyle w:val="TableParagraph"/>
              <w:spacing w:line="253" w:lineRule="exact"/>
              <w:ind w:left="105"/>
              <w:rPr>
                <w:sz w:val="24"/>
              </w:rPr>
            </w:pPr>
            <w:r>
              <w:rPr>
                <w:sz w:val="24"/>
              </w:rPr>
              <w:t>8</w:t>
            </w:r>
          </w:p>
        </w:tc>
        <w:tc>
          <w:tcPr>
            <w:tcW w:w="1729" w:type="dxa"/>
          </w:tcPr>
          <w:p>
            <w:pPr>
              <w:pStyle w:val="TableParagraph"/>
              <w:spacing w:line="253" w:lineRule="exact"/>
              <w:ind w:left="103"/>
              <w:rPr>
                <w:sz w:val="24"/>
              </w:rPr>
            </w:pPr>
            <w:r>
              <w:rPr>
                <w:sz w:val="24"/>
              </w:rPr>
              <w:t>13</w:t>
            </w:r>
          </w:p>
        </w:tc>
      </w:tr>
      <w:tr>
        <w:trPr>
          <w:trHeight w:val="278" w:hRule="atLeast"/>
        </w:trPr>
        <w:tc>
          <w:tcPr>
            <w:tcW w:w="1952" w:type="dxa"/>
          </w:tcPr>
          <w:p>
            <w:pPr>
              <w:pStyle w:val="TableParagraph"/>
              <w:spacing w:line="257" w:lineRule="exact" w:before="1"/>
              <w:ind w:left="108"/>
              <w:rPr>
                <w:sz w:val="24"/>
              </w:rPr>
            </w:pPr>
            <w:r>
              <w:rPr>
                <w:sz w:val="24"/>
              </w:rPr>
              <w:t>Lapte consum</w:t>
            </w:r>
          </w:p>
        </w:tc>
        <w:tc>
          <w:tcPr>
            <w:tcW w:w="1309" w:type="dxa"/>
          </w:tcPr>
          <w:p>
            <w:pPr>
              <w:pStyle w:val="TableParagraph"/>
              <w:spacing w:line="257" w:lineRule="exact" w:before="1"/>
              <w:ind w:left="107"/>
              <w:rPr>
                <w:sz w:val="24"/>
              </w:rPr>
            </w:pPr>
            <w:r>
              <w:rPr>
                <w:sz w:val="24"/>
              </w:rPr>
              <w:t>3</w:t>
            </w:r>
          </w:p>
        </w:tc>
        <w:tc>
          <w:tcPr>
            <w:tcW w:w="1280" w:type="dxa"/>
          </w:tcPr>
          <w:p>
            <w:pPr>
              <w:pStyle w:val="TableParagraph"/>
              <w:spacing w:line="257" w:lineRule="exact" w:before="1"/>
              <w:ind w:left="106"/>
              <w:rPr>
                <w:sz w:val="24"/>
              </w:rPr>
            </w:pPr>
            <w:r>
              <w:rPr>
                <w:sz w:val="24"/>
              </w:rPr>
              <w:t>3</w:t>
            </w:r>
          </w:p>
        </w:tc>
        <w:tc>
          <w:tcPr>
            <w:tcW w:w="1283" w:type="dxa"/>
          </w:tcPr>
          <w:p>
            <w:pPr>
              <w:pStyle w:val="TableParagraph"/>
              <w:spacing w:line="257" w:lineRule="exact" w:before="1"/>
              <w:ind w:left="108"/>
              <w:rPr>
                <w:sz w:val="24"/>
              </w:rPr>
            </w:pPr>
            <w:r>
              <w:rPr>
                <w:sz w:val="24"/>
              </w:rPr>
              <w:t>3</w:t>
            </w:r>
          </w:p>
        </w:tc>
        <w:tc>
          <w:tcPr>
            <w:tcW w:w="1310" w:type="dxa"/>
          </w:tcPr>
          <w:p>
            <w:pPr>
              <w:pStyle w:val="TableParagraph"/>
              <w:spacing w:line="257" w:lineRule="exact" w:before="1"/>
              <w:ind w:left="105"/>
              <w:rPr>
                <w:sz w:val="24"/>
              </w:rPr>
            </w:pPr>
            <w:r>
              <w:rPr>
                <w:w w:val="99"/>
                <w:sz w:val="24"/>
              </w:rPr>
              <w:t>-</w:t>
            </w:r>
          </w:p>
        </w:tc>
        <w:tc>
          <w:tcPr>
            <w:tcW w:w="1729" w:type="dxa"/>
          </w:tcPr>
          <w:p>
            <w:pPr>
              <w:pStyle w:val="TableParagraph"/>
              <w:spacing w:line="257" w:lineRule="exact" w:before="1"/>
              <w:ind w:left="103"/>
              <w:rPr>
                <w:sz w:val="24"/>
              </w:rPr>
            </w:pPr>
            <w:r>
              <w:rPr>
                <w:sz w:val="24"/>
              </w:rPr>
              <w:t>5</w:t>
            </w:r>
          </w:p>
        </w:tc>
      </w:tr>
      <w:tr>
        <w:trPr>
          <w:trHeight w:val="551" w:hRule="atLeast"/>
        </w:trPr>
        <w:tc>
          <w:tcPr>
            <w:tcW w:w="1952" w:type="dxa"/>
          </w:tcPr>
          <w:p>
            <w:pPr>
              <w:pStyle w:val="TableParagraph"/>
              <w:spacing w:line="276" w:lineRule="exact" w:before="2"/>
              <w:ind w:left="108" w:right="361"/>
              <w:rPr>
                <w:sz w:val="24"/>
              </w:rPr>
            </w:pPr>
            <w:r>
              <w:rPr>
                <w:sz w:val="24"/>
              </w:rPr>
              <w:t>Meniu zilnic/persoană</w:t>
            </w:r>
          </w:p>
        </w:tc>
        <w:tc>
          <w:tcPr>
            <w:tcW w:w="1309" w:type="dxa"/>
          </w:tcPr>
          <w:p>
            <w:pPr>
              <w:pStyle w:val="TableParagraph"/>
              <w:spacing w:line="275" w:lineRule="exact"/>
              <w:ind w:left="107"/>
              <w:rPr>
                <w:sz w:val="24"/>
              </w:rPr>
            </w:pPr>
            <w:r>
              <w:rPr>
                <w:sz w:val="24"/>
              </w:rPr>
              <w:t>1</w:t>
            </w:r>
          </w:p>
        </w:tc>
        <w:tc>
          <w:tcPr>
            <w:tcW w:w="1280" w:type="dxa"/>
          </w:tcPr>
          <w:p>
            <w:pPr>
              <w:pStyle w:val="TableParagraph"/>
              <w:spacing w:line="275" w:lineRule="exact"/>
              <w:ind w:left="106"/>
              <w:rPr>
                <w:sz w:val="24"/>
              </w:rPr>
            </w:pPr>
            <w:r>
              <w:rPr>
                <w:sz w:val="24"/>
              </w:rPr>
              <w:t>1</w:t>
            </w:r>
          </w:p>
        </w:tc>
        <w:tc>
          <w:tcPr>
            <w:tcW w:w="1283" w:type="dxa"/>
          </w:tcPr>
          <w:p>
            <w:pPr>
              <w:pStyle w:val="TableParagraph"/>
              <w:spacing w:line="275" w:lineRule="exact"/>
              <w:ind w:left="108"/>
              <w:rPr>
                <w:sz w:val="24"/>
              </w:rPr>
            </w:pPr>
            <w:r>
              <w:rPr>
                <w:sz w:val="24"/>
              </w:rPr>
              <w:t>1</w:t>
            </w:r>
          </w:p>
        </w:tc>
        <w:tc>
          <w:tcPr>
            <w:tcW w:w="1310" w:type="dxa"/>
          </w:tcPr>
          <w:p>
            <w:pPr>
              <w:pStyle w:val="TableParagraph"/>
              <w:spacing w:line="275" w:lineRule="exact"/>
              <w:ind w:left="105"/>
              <w:rPr>
                <w:sz w:val="24"/>
              </w:rPr>
            </w:pPr>
            <w:r>
              <w:rPr>
                <w:w w:val="99"/>
                <w:sz w:val="24"/>
              </w:rPr>
              <w:t>-</w:t>
            </w:r>
          </w:p>
        </w:tc>
        <w:tc>
          <w:tcPr>
            <w:tcW w:w="1729" w:type="dxa"/>
          </w:tcPr>
          <w:p>
            <w:pPr>
              <w:pStyle w:val="TableParagraph"/>
              <w:spacing w:line="275" w:lineRule="exact"/>
              <w:ind w:left="103"/>
              <w:rPr>
                <w:sz w:val="24"/>
              </w:rPr>
            </w:pPr>
            <w:r>
              <w:rPr>
                <w:sz w:val="24"/>
              </w:rPr>
              <w:t>5</w:t>
            </w:r>
          </w:p>
        </w:tc>
      </w:tr>
      <w:tr>
        <w:trPr>
          <w:trHeight w:val="274" w:hRule="atLeast"/>
        </w:trPr>
        <w:tc>
          <w:tcPr>
            <w:tcW w:w="1952" w:type="dxa"/>
            <w:vMerge w:val="restart"/>
          </w:tcPr>
          <w:p>
            <w:pPr>
              <w:pStyle w:val="TableParagraph"/>
              <w:spacing w:line="273" w:lineRule="exact"/>
              <w:ind w:left="108"/>
              <w:rPr>
                <w:sz w:val="24"/>
              </w:rPr>
            </w:pPr>
            <w:r>
              <w:rPr>
                <w:sz w:val="24"/>
              </w:rPr>
              <w:t>TOTAL:</w:t>
            </w:r>
          </w:p>
        </w:tc>
        <w:tc>
          <w:tcPr>
            <w:tcW w:w="1309" w:type="dxa"/>
            <w:vMerge w:val="restart"/>
          </w:tcPr>
          <w:p>
            <w:pPr>
              <w:pStyle w:val="TableParagraph"/>
              <w:spacing w:line="273" w:lineRule="exact"/>
              <w:ind w:left="107"/>
              <w:rPr>
                <w:sz w:val="24"/>
              </w:rPr>
            </w:pPr>
            <w:r>
              <w:rPr>
                <w:sz w:val="24"/>
              </w:rPr>
              <w:t>12</w:t>
            </w:r>
          </w:p>
        </w:tc>
        <w:tc>
          <w:tcPr>
            <w:tcW w:w="1280" w:type="dxa"/>
          </w:tcPr>
          <w:p>
            <w:pPr>
              <w:pStyle w:val="TableParagraph"/>
              <w:spacing w:line="254" w:lineRule="exact"/>
              <w:ind w:left="106"/>
              <w:rPr>
                <w:sz w:val="24"/>
              </w:rPr>
            </w:pPr>
            <w:r>
              <w:rPr>
                <w:sz w:val="24"/>
              </w:rPr>
              <w:t>12</w:t>
            </w:r>
          </w:p>
        </w:tc>
        <w:tc>
          <w:tcPr>
            <w:tcW w:w="1283" w:type="dxa"/>
          </w:tcPr>
          <w:p>
            <w:pPr>
              <w:pStyle w:val="TableParagraph"/>
              <w:spacing w:line="254" w:lineRule="exact"/>
              <w:ind w:left="108"/>
              <w:rPr>
                <w:sz w:val="24"/>
              </w:rPr>
            </w:pPr>
            <w:r>
              <w:rPr>
                <w:sz w:val="24"/>
              </w:rPr>
              <w:t>12</w:t>
            </w:r>
          </w:p>
        </w:tc>
        <w:tc>
          <w:tcPr>
            <w:tcW w:w="1310" w:type="dxa"/>
          </w:tcPr>
          <w:p>
            <w:pPr>
              <w:pStyle w:val="TableParagraph"/>
              <w:spacing w:line="254" w:lineRule="exact"/>
              <w:ind w:left="105"/>
              <w:rPr>
                <w:sz w:val="24"/>
              </w:rPr>
            </w:pPr>
            <w:r>
              <w:rPr>
                <w:sz w:val="24"/>
              </w:rPr>
              <w:t>8</w:t>
            </w:r>
          </w:p>
        </w:tc>
        <w:tc>
          <w:tcPr>
            <w:tcW w:w="1729" w:type="dxa"/>
          </w:tcPr>
          <w:p>
            <w:pPr>
              <w:pStyle w:val="TableParagraph"/>
              <w:spacing w:line="254" w:lineRule="exact"/>
              <w:ind w:left="103"/>
              <w:rPr>
                <w:sz w:val="24"/>
              </w:rPr>
            </w:pPr>
            <w:r>
              <w:rPr>
                <w:sz w:val="24"/>
              </w:rPr>
              <w:t>23</w:t>
            </w:r>
          </w:p>
        </w:tc>
      </w:tr>
      <w:tr>
        <w:trPr>
          <w:trHeight w:val="275"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6" w:lineRule="exact"/>
              <w:ind w:left="106"/>
              <w:rPr>
                <w:sz w:val="24"/>
              </w:rPr>
            </w:pPr>
            <w:r>
              <w:rPr>
                <w:sz w:val="24"/>
              </w:rPr>
              <w:t>55</w:t>
            </w:r>
          </w:p>
        </w:tc>
      </w:tr>
    </w:tbl>
    <w:p>
      <w:pPr>
        <w:pStyle w:val="BodyText"/>
        <w:spacing w:before="10"/>
        <w:ind w:left="0"/>
        <w:rPr>
          <w:sz w:val="23"/>
        </w:rPr>
      </w:pPr>
    </w:p>
    <w:p>
      <w:pPr>
        <w:pStyle w:val="BodyText"/>
        <w:ind w:left="233"/>
      </w:pPr>
      <w:r>
        <w:rPr/>
        <w:t>Ialomita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309"/>
        <w:gridCol w:w="1280"/>
        <w:gridCol w:w="1283"/>
        <w:gridCol w:w="1310"/>
        <w:gridCol w:w="1729"/>
      </w:tblGrid>
      <w:tr>
        <w:trPr>
          <w:trHeight w:val="285" w:hRule="atLeast"/>
        </w:trPr>
        <w:tc>
          <w:tcPr>
            <w:tcW w:w="1952" w:type="dxa"/>
            <w:vMerge w:val="restart"/>
          </w:tcPr>
          <w:p>
            <w:pPr>
              <w:pStyle w:val="TableParagraph"/>
              <w:spacing w:line="275" w:lineRule="exact"/>
              <w:ind w:left="108"/>
              <w:rPr>
                <w:sz w:val="24"/>
              </w:rPr>
            </w:pPr>
            <w:r>
              <w:rPr>
                <w:sz w:val="24"/>
              </w:rPr>
              <w:t>Tip probă</w:t>
            </w:r>
          </w:p>
        </w:tc>
        <w:tc>
          <w:tcPr>
            <w:tcW w:w="1309" w:type="dxa"/>
            <w:vMerge w:val="restart"/>
          </w:tcPr>
          <w:p>
            <w:pPr>
              <w:pStyle w:val="TableParagraph"/>
              <w:spacing w:line="275" w:lineRule="exact"/>
              <w:ind w:left="107"/>
              <w:rPr>
                <w:sz w:val="24"/>
              </w:rPr>
            </w:pPr>
            <w:r>
              <w:rPr>
                <w:sz w:val="24"/>
              </w:rPr>
              <w:t>Nr. Probe</w:t>
            </w:r>
          </w:p>
        </w:tc>
        <w:tc>
          <w:tcPr>
            <w:tcW w:w="5602" w:type="dxa"/>
            <w:gridSpan w:val="4"/>
          </w:tcPr>
          <w:p>
            <w:pPr>
              <w:pStyle w:val="TableParagraph"/>
              <w:spacing w:line="265" w:lineRule="exact"/>
              <w:ind w:left="106"/>
              <w:rPr>
                <w:sz w:val="24"/>
              </w:rPr>
            </w:pPr>
            <w:r>
              <w:rPr>
                <w:sz w:val="24"/>
              </w:rPr>
              <w:t>Măsurători radioactivitate</w:t>
            </w:r>
          </w:p>
        </w:tc>
      </w:tr>
      <w:tr>
        <w:trPr>
          <w:trHeight w:val="551"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1280" w:type="dxa"/>
          </w:tcPr>
          <w:p>
            <w:pPr>
              <w:pStyle w:val="TableParagraph"/>
              <w:spacing w:line="276" w:lineRule="exact" w:before="2"/>
              <w:ind w:left="106" w:right="490"/>
              <w:rPr>
                <w:sz w:val="24"/>
              </w:rPr>
            </w:pPr>
            <w:r>
              <w:rPr>
                <w:sz w:val="24"/>
              </w:rPr>
              <w:t>Alfa Global</w:t>
            </w:r>
          </w:p>
        </w:tc>
        <w:tc>
          <w:tcPr>
            <w:tcW w:w="1283" w:type="dxa"/>
          </w:tcPr>
          <w:p>
            <w:pPr>
              <w:pStyle w:val="TableParagraph"/>
              <w:spacing w:line="276" w:lineRule="exact" w:before="2"/>
              <w:ind w:left="108" w:right="491"/>
              <w:rPr>
                <w:sz w:val="24"/>
              </w:rPr>
            </w:pPr>
            <w:r>
              <w:rPr>
                <w:sz w:val="24"/>
              </w:rPr>
              <w:t>Beta Global</w:t>
            </w:r>
          </w:p>
        </w:tc>
        <w:tc>
          <w:tcPr>
            <w:tcW w:w="1310" w:type="dxa"/>
          </w:tcPr>
          <w:p>
            <w:pPr>
              <w:pStyle w:val="TableParagraph"/>
              <w:spacing w:line="276" w:lineRule="exact" w:before="2"/>
              <w:ind w:left="165" w:right="541" w:hanging="60"/>
              <w:rPr>
                <w:sz w:val="24"/>
              </w:rPr>
            </w:pPr>
            <w:r>
              <w:rPr>
                <w:sz w:val="24"/>
              </w:rPr>
              <w:t>Tritiu ( </w:t>
            </w:r>
            <w:r>
              <w:rPr>
                <w:spacing w:val="-5"/>
                <w:sz w:val="24"/>
              </w:rPr>
              <w:t>H-3)</w:t>
            </w:r>
          </w:p>
        </w:tc>
        <w:tc>
          <w:tcPr>
            <w:tcW w:w="1729" w:type="dxa"/>
          </w:tcPr>
          <w:p>
            <w:pPr>
              <w:pStyle w:val="TableParagraph"/>
              <w:spacing w:line="276" w:lineRule="exact" w:before="2"/>
              <w:ind w:left="103" w:right="343"/>
              <w:rPr>
                <w:sz w:val="24"/>
              </w:rPr>
            </w:pPr>
            <w:r>
              <w:rPr>
                <w:sz w:val="24"/>
              </w:rPr>
              <w:t>Separări radiochimice</w:t>
            </w:r>
          </w:p>
        </w:tc>
      </w:tr>
      <w:tr>
        <w:trPr>
          <w:trHeight w:val="273" w:hRule="atLeast"/>
        </w:trPr>
        <w:tc>
          <w:tcPr>
            <w:tcW w:w="1952" w:type="dxa"/>
          </w:tcPr>
          <w:p>
            <w:pPr>
              <w:pStyle w:val="TableParagraph"/>
              <w:spacing w:line="253" w:lineRule="exact"/>
              <w:ind w:left="108"/>
              <w:rPr>
                <w:sz w:val="24"/>
              </w:rPr>
            </w:pPr>
            <w:r>
              <w:rPr>
                <w:sz w:val="24"/>
              </w:rPr>
              <w:t>Apă potabilă</w:t>
            </w:r>
          </w:p>
        </w:tc>
        <w:tc>
          <w:tcPr>
            <w:tcW w:w="1309" w:type="dxa"/>
          </w:tcPr>
          <w:p>
            <w:pPr>
              <w:pStyle w:val="TableParagraph"/>
              <w:spacing w:line="253" w:lineRule="exact"/>
              <w:ind w:left="107"/>
              <w:rPr>
                <w:sz w:val="24"/>
              </w:rPr>
            </w:pPr>
            <w:r>
              <w:rPr>
                <w:sz w:val="24"/>
              </w:rPr>
              <w:t>8</w:t>
            </w:r>
          </w:p>
        </w:tc>
        <w:tc>
          <w:tcPr>
            <w:tcW w:w="1280" w:type="dxa"/>
          </w:tcPr>
          <w:p>
            <w:pPr>
              <w:pStyle w:val="TableParagraph"/>
              <w:spacing w:line="253" w:lineRule="exact"/>
              <w:ind w:left="106"/>
              <w:rPr>
                <w:sz w:val="24"/>
              </w:rPr>
            </w:pPr>
            <w:r>
              <w:rPr>
                <w:sz w:val="24"/>
              </w:rPr>
              <w:t>8</w:t>
            </w:r>
          </w:p>
        </w:tc>
        <w:tc>
          <w:tcPr>
            <w:tcW w:w="1283" w:type="dxa"/>
          </w:tcPr>
          <w:p>
            <w:pPr>
              <w:pStyle w:val="TableParagraph"/>
              <w:spacing w:line="253" w:lineRule="exact"/>
              <w:ind w:left="108"/>
              <w:rPr>
                <w:sz w:val="24"/>
              </w:rPr>
            </w:pPr>
            <w:r>
              <w:rPr>
                <w:sz w:val="24"/>
              </w:rPr>
              <w:t>8</w:t>
            </w:r>
          </w:p>
        </w:tc>
        <w:tc>
          <w:tcPr>
            <w:tcW w:w="1310" w:type="dxa"/>
          </w:tcPr>
          <w:p>
            <w:pPr>
              <w:pStyle w:val="TableParagraph"/>
              <w:spacing w:line="253" w:lineRule="exact"/>
              <w:ind w:left="105"/>
              <w:rPr>
                <w:sz w:val="24"/>
              </w:rPr>
            </w:pPr>
            <w:r>
              <w:rPr>
                <w:sz w:val="24"/>
              </w:rPr>
              <w:t>8</w:t>
            </w:r>
          </w:p>
        </w:tc>
        <w:tc>
          <w:tcPr>
            <w:tcW w:w="1729" w:type="dxa"/>
          </w:tcPr>
          <w:p>
            <w:pPr>
              <w:pStyle w:val="TableParagraph"/>
              <w:spacing w:line="253" w:lineRule="exact"/>
              <w:ind w:left="103"/>
              <w:rPr>
                <w:sz w:val="24"/>
              </w:rPr>
            </w:pPr>
            <w:r>
              <w:rPr>
                <w:sz w:val="24"/>
              </w:rPr>
              <w:t>8</w:t>
            </w:r>
          </w:p>
        </w:tc>
      </w:tr>
      <w:tr>
        <w:trPr>
          <w:trHeight w:val="277" w:hRule="atLeast"/>
        </w:trPr>
        <w:tc>
          <w:tcPr>
            <w:tcW w:w="1952" w:type="dxa"/>
            <w:vMerge w:val="restart"/>
          </w:tcPr>
          <w:p>
            <w:pPr>
              <w:pStyle w:val="TableParagraph"/>
              <w:spacing w:before="1"/>
              <w:ind w:left="108"/>
              <w:rPr>
                <w:sz w:val="24"/>
              </w:rPr>
            </w:pPr>
            <w:r>
              <w:rPr>
                <w:sz w:val="24"/>
              </w:rPr>
              <w:t>TOTAL:</w:t>
            </w:r>
          </w:p>
        </w:tc>
        <w:tc>
          <w:tcPr>
            <w:tcW w:w="1309" w:type="dxa"/>
            <w:vMerge w:val="restart"/>
          </w:tcPr>
          <w:p>
            <w:pPr>
              <w:pStyle w:val="TableParagraph"/>
              <w:spacing w:before="1"/>
              <w:ind w:left="107"/>
              <w:rPr>
                <w:sz w:val="24"/>
              </w:rPr>
            </w:pPr>
            <w:r>
              <w:rPr>
                <w:sz w:val="24"/>
              </w:rPr>
              <w:t>8</w:t>
            </w:r>
          </w:p>
        </w:tc>
        <w:tc>
          <w:tcPr>
            <w:tcW w:w="1280" w:type="dxa"/>
          </w:tcPr>
          <w:p>
            <w:pPr>
              <w:pStyle w:val="TableParagraph"/>
              <w:spacing w:line="257" w:lineRule="exact" w:before="1"/>
              <w:ind w:left="106"/>
              <w:rPr>
                <w:sz w:val="24"/>
              </w:rPr>
            </w:pPr>
            <w:r>
              <w:rPr>
                <w:sz w:val="24"/>
              </w:rPr>
              <w:t>8</w:t>
            </w:r>
          </w:p>
        </w:tc>
        <w:tc>
          <w:tcPr>
            <w:tcW w:w="1283" w:type="dxa"/>
          </w:tcPr>
          <w:p>
            <w:pPr>
              <w:pStyle w:val="TableParagraph"/>
              <w:spacing w:line="257" w:lineRule="exact" w:before="1"/>
              <w:ind w:left="108"/>
              <w:rPr>
                <w:sz w:val="24"/>
              </w:rPr>
            </w:pPr>
            <w:r>
              <w:rPr>
                <w:sz w:val="24"/>
              </w:rPr>
              <w:t>8</w:t>
            </w:r>
          </w:p>
        </w:tc>
        <w:tc>
          <w:tcPr>
            <w:tcW w:w="1310" w:type="dxa"/>
          </w:tcPr>
          <w:p>
            <w:pPr>
              <w:pStyle w:val="TableParagraph"/>
              <w:spacing w:line="257" w:lineRule="exact" w:before="1"/>
              <w:ind w:left="105"/>
              <w:rPr>
                <w:sz w:val="24"/>
              </w:rPr>
            </w:pPr>
            <w:r>
              <w:rPr>
                <w:sz w:val="24"/>
              </w:rPr>
              <w:t>8</w:t>
            </w:r>
          </w:p>
        </w:tc>
        <w:tc>
          <w:tcPr>
            <w:tcW w:w="1729" w:type="dxa"/>
          </w:tcPr>
          <w:p>
            <w:pPr>
              <w:pStyle w:val="TableParagraph"/>
              <w:spacing w:line="257" w:lineRule="exact" w:before="1"/>
              <w:ind w:left="103"/>
              <w:rPr>
                <w:sz w:val="24"/>
              </w:rPr>
            </w:pPr>
            <w:r>
              <w:rPr>
                <w:sz w:val="24"/>
              </w:rPr>
              <w:t>8</w:t>
            </w:r>
          </w:p>
        </w:tc>
      </w:tr>
      <w:tr>
        <w:trPr>
          <w:trHeight w:val="275" w:hRule="atLeast"/>
        </w:trPr>
        <w:tc>
          <w:tcPr>
            <w:tcW w:w="1952" w:type="dxa"/>
            <w:vMerge/>
            <w:tcBorders>
              <w:top w:val="nil"/>
            </w:tcBorders>
          </w:tcPr>
          <w:p>
            <w:pPr>
              <w:rPr>
                <w:sz w:val="2"/>
                <w:szCs w:val="2"/>
              </w:rPr>
            </w:pPr>
          </w:p>
        </w:tc>
        <w:tc>
          <w:tcPr>
            <w:tcW w:w="1309" w:type="dxa"/>
            <w:vMerge/>
            <w:tcBorders>
              <w:top w:val="nil"/>
            </w:tcBorders>
          </w:tcPr>
          <w:p>
            <w:pPr>
              <w:rPr>
                <w:sz w:val="2"/>
                <w:szCs w:val="2"/>
              </w:rPr>
            </w:pPr>
          </w:p>
        </w:tc>
        <w:tc>
          <w:tcPr>
            <w:tcW w:w="5602" w:type="dxa"/>
            <w:gridSpan w:val="4"/>
          </w:tcPr>
          <w:p>
            <w:pPr>
              <w:pStyle w:val="TableParagraph"/>
              <w:spacing w:line="256" w:lineRule="exact"/>
              <w:ind w:left="106"/>
              <w:rPr>
                <w:sz w:val="24"/>
              </w:rPr>
            </w:pPr>
            <w:r>
              <w:rPr>
                <w:sz w:val="24"/>
              </w:rPr>
              <w:t>32</w:t>
            </w:r>
          </w:p>
        </w:tc>
      </w:tr>
    </w:tbl>
    <w:p>
      <w:pPr>
        <w:pStyle w:val="BodyText"/>
        <w:spacing w:before="228"/>
        <w:ind w:left="233" w:right="1252"/>
      </w:pPr>
      <w:r>
        <w:rPr/>
        <w:t>Numărul de probe recoltate </w:t>
      </w:r>
      <w:r>
        <w:rPr>
          <w:rFonts w:ascii="Tahoma" w:hAnsi="Tahoma"/>
        </w:rPr>
        <w:t>ș</w:t>
      </w:r>
      <w:r>
        <w:rPr/>
        <w:t>i analizate in anul 2017 a fost de </w:t>
      </w:r>
      <w:r>
        <w:rPr>
          <w:u w:val="single"/>
        </w:rPr>
        <w:t>313</w:t>
      </w:r>
      <w:r>
        <w:rPr/>
        <w:t> cu </w:t>
      </w:r>
      <w:r>
        <w:rPr>
          <w:u w:val="single"/>
        </w:rPr>
        <w:t>1034</w:t>
      </w:r>
      <w:r>
        <w:rPr/>
        <w:t> de măsurători </w:t>
      </w:r>
      <w:r>
        <w:rPr>
          <w:rFonts w:ascii="Tahoma" w:hAnsi="Tahoma"/>
        </w:rPr>
        <w:t>ș</w:t>
      </w:r>
      <w:r>
        <w:rPr/>
        <w:t>i analize radiochimice </w:t>
      </w:r>
      <w:r>
        <w:rPr>
          <w:rFonts w:ascii="Tahoma" w:hAnsi="Tahoma"/>
        </w:rPr>
        <w:t>ș</w:t>
      </w:r>
      <w:r>
        <w:rPr/>
        <w:t>i </w:t>
      </w:r>
      <w:r>
        <w:rPr>
          <w:u w:val="single"/>
        </w:rPr>
        <w:t>112</w:t>
      </w:r>
      <w:r>
        <w:rPr/>
        <w:t> buletine de analiză radioactivă emise, după cum urmează:</w:t>
      </w:r>
    </w:p>
    <w:p>
      <w:pPr>
        <w:spacing w:after="0"/>
        <w:sectPr>
          <w:pgSz w:w="11910" w:h="16840"/>
          <w:pgMar w:header="0" w:footer="738" w:top="1340" w:bottom="920" w:left="900" w:right="0"/>
        </w:sectPr>
      </w:pPr>
    </w:p>
    <w:p>
      <w:pPr>
        <w:pStyle w:val="BodyText"/>
        <w:spacing w:before="60"/>
        <w:ind w:left="233"/>
      </w:pPr>
      <w:r>
        <w:rPr>
          <w:u w:val="single"/>
        </w:rPr>
        <w:t>209 ape potabile</w:t>
      </w:r>
      <w:r>
        <w:rPr/>
        <w:t> cu :</w:t>
      </w:r>
    </w:p>
    <w:p>
      <w:pPr>
        <w:pStyle w:val="ListParagraph"/>
        <w:numPr>
          <w:ilvl w:val="0"/>
          <w:numId w:val="7"/>
        </w:numPr>
        <w:tabs>
          <w:tab w:pos="433" w:val="left" w:leader="none"/>
        </w:tabs>
        <w:spacing w:line="240" w:lineRule="auto" w:before="1" w:after="0"/>
        <w:ind w:left="432" w:right="0" w:hanging="140"/>
        <w:jc w:val="left"/>
        <w:rPr>
          <w:sz w:val="24"/>
        </w:rPr>
      </w:pPr>
      <w:r>
        <w:rPr>
          <w:sz w:val="24"/>
        </w:rPr>
        <w:t>209 măsurători alfa global</w:t>
      </w:r>
    </w:p>
    <w:p>
      <w:pPr>
        <w:pStyle w:val="ListParagraph"/>
        <w:numPr>
          <w:ilvl w:val="0"/>
          <w:numId w:val="7"/>
        </w:numPr>
        <w:tabs>
          <w:tab w:pos="433" w:val="left" w:leader="none"/>
        </w:tabs>
        <w:spacing w:line="240" w:lineRule="auto" w:before="0" w:after="0"/>
        <w:ind w:left="432" w:right="0" w:hanging="140"/>
        <w:jc w:val="left"/>
        <w:rPr>
          <w:sz w:val="24"/>
        </w:rPr>
      </w:pPr>
      <w:r>
        <w:rPr>
          <w:sz w:val="24"/>
        </w:rPr>
        <w:t>209 măsurători beta global</w:t>
      </w:r>
    </w:p>
    <w:p>
      <w:pPr>
        <w:pStyle w:val="ListParagraph"/>
        <w:numPr>
          <w:ilvl w:val="0"/>
          <w:numId w:val="7"/>
        </w:numPr>
        <w:tabs>
          <w:tab w:pos="433" w:val="left" w:leader="none"/>
        </w:tabs>
        <w:spacing w:line="240" w:lineRule="auto" w:before="0" w:after="0"/>
        <w:ind w:left="432" w:right="0" w:hanging="140"/>
        <w:jc w:val="left"/>
        <w:rPr>
          <w:sz w:val="24"/>
        </w:rPr>
      </w:pPr>
      <w:r>
        <w:rPr>
          <w:sz w:val="24"/>
        </w:rPr>
        <w:t>159 măsurători</w:t>
      </w:r>
      <w:r>
        <w:rPr>
          <w:spacing w:val="-1"/>
          <w:sz w:val="24"/>
        </w:rPr>
        <w:t> </w:t>
      </w:r>
      <w:r>
        <w:rPr>
          <w:sz w:val="24"/>
        </w:rPr>
        <w:t>tritiu</w:t>
      </w:r>
    </w:p>
    <w:p>
      <w:pPr>
        <w:pStyle w:val="ListParagraph"/>
        <w:numPr>
          <w:ilvl w:val="0"/>
          <w:numId w:val="7"/>
        </w:numPr>
        <w:tabs>
          <w:tab w:pos="433" w:val="left" w:leader="none"/>
        </w:tabs>
        <w:spacing w:line="240" w:lineRule="auto" w:before="0" w:after="0"/>
        <w:ind w:left="432" w:right="0" w:hanging="140"/>
        <w:jc w:val="left"/>
        <w:rPr>
          <w:sz w:val="24"/>
        </w:rPr>
      </w:pPr>
      <w:r>
        <w:rPr>
          <w:sz w:val="24"/>
        </w:rPr>
        <w:t>223 separări</w:t>
      </w:r>
      <w:r>
        <w:rPr>
          <w:spacing w:val="-1"/>
          <w:sz w:val="24"/>
        </w:rPr>
        <w:t> </w:t>
      </w:r>
      <w:r>
        <w:rPr>
          <w:sz w:val="24"/>
        </w:rPr>
        <w:t>radiochimice</w:t>
      </w:r>
    </w:p>
    <w:p>
      <w:pPr>
        <w:pStyle w:val="ListParagraph"/>
        <w:numPr>
          <w:ilvl w:val="0"/>
          <w:numId w:val="7"/>
        </w:numPr>
        <w:tabs>
          <w:tab w:pos="433" w:val="left" w:leader="none"/>
        </w:tabs>
        <w:spacing w:line="240" w:lineRule="auto" w:before="0" w:after="0"/>
        <w:ind w:left="233" w:right="7229" w:firstLine="60"/>
        <w:jc w:val="left"/>
        <w:rPr>
          <w:sz w:val="24"/>
        </w:rPr>
      </w:pPr>
      <w:r>
        <w:rPr>
          <w:sz w:val="24"/>
        </w:rPr>
        <w:t>107 buletine de analiză </w:t>
      </w:r>
      <w:r>
        <w:rPr>
          <w:spacing w:val="-3"/>
          <w:sz w:val="24"/>
        </w:rPr>
        <w:t>radioactivă</w:t>
      </w:r>
      <w:r>
        <w:rPr>
          <w:spacing w:val="-3"/>
          <w:sz w:val="24"/>
          <w:u w:val="single"/>
        </w:rPr>
        <w:t> </w:t>
      </w:r>
      <w:r>
        <w:rPr>
          <w:sz w:val="24"/>
          <w:u w:val="single"/>
        </w:rPr>
        <w:t>11 probe alimentare</w:t>
      </w:r>
      <w:r>
        <w:rPr>
          <w:sz w:val="24"/>
        </w:rPr>
        <w:t> cu</w:t>
      </w:r>
      <w:r>
        <w:rPr>
          <w:spacing w:val="-3"/>
          <w:sz w:val="24"/>
        </w:rPr>
        <w:t> </w:t>
      </w:r>
      <w:r>
        <w:rPr>
          <w:sz w:val="24"/>
        </w:rPr>
        <w:t>:</w:t>
      </w:r>
    </w:p>
    <w:p>
      <w:pPr>
        <w:pStyle w:val="BodyText"/>
        <w:ind w:left="353"/>
      </w:pPr>
      <w:r>
        <w:rPr/>
        <w:t>- 11 măsurători alfa global ,</w:t>
      </w:r>
    </w:p>
    <w:p>
      <w:pPr>
        <w:pStyle w:val="BodyText"/>
        <w:ind w:left="353"/>
      </w:pPr>
      <w:r>
        <w:rPr/>
        <w:t>- 11măsurători beta global</w:t>
      </w:r>
    </w:p>
    <w:p>
      <w:pPr>
        <w:pStyle w:val="BodyText"/>
        <w:ind w:left="233" w:right="7998" w:firstLine="180"/>
      </w:pPr>
      <w:r>
        <w:rPr/>
        <w:t>- 23 separări radiochimice;</w:t>
      </w:r>
      <w:r>
        <w:rPr>
          <w:u w:val="single"/>
        </w:rPr>
        <w:t> 3 alte probe cu:</w:t>
      </w:r>
    </w:p>
    <w:p>
      <w:pPr>
        <w:pStyle w:val="BodyText"/>
        <w:ind w:left="353"/>
      </w:pPr>
      <w:r>
        <w:rPr/>
        <w:t>- 3 măsurători alfa</w:t>
      </w:r>
      <w:r>
        <w:rPr>
          <w:spacing w:val="-5"/>
        </w:rPr>
        <w:t> </w:t>
      </w:r>
      <w:r>
        <w:rPr/>
        <w:t>global,</w:t>
      </w:r>
    </w:p>
    <w:p>
      <w:pPr>
        <w:pStyle w:val="BodyText"/>
        <w:ind w:left="353"/>
      </w:pPr>
      <w:r>
        <w:rPr/>
        <w:t>- 3 măsurători beta</w:t>
      </w:r>
      <w:r>
        <w:rPr>
          <w:spacing w:val="-5"/>
        </w:rPr>
        <w:t> </w:t>
      </w:r>
      <w:r>
        <w:rPr/>
        <w:t>global</w:t>
      </w:r>
    </w:p>
    <w:p>
      <w:pPr>
        <w:pStyle w:val="BodyText"/>
        <w:spacing w:before="1"/>
        <w:ind w:left="353"/>
      </w:pPr>
      <w:r>
        <w:rPr/>
        <w:t>- 3 separări</w:t>
      </w:r>
      <w:r>
        <w:rPr>
          <w:spacing w:val="-8"/>
        </w:rPr>
        <w:t> </w:t>
      </w:r>
      <w:r>
        <w:rPr/>
        <w:t>radiochimice;</w:t>
      </w:r>
    </w:p>
    <w:p>
      <w:pPr>
        <w:pStyle w:val="BodyText"/>
        <w:ind w:left="233" w:right="7391" w:firstLine="120"/>
      </w:pPr>
      <w:r>
        <w:rPr/>
        <w:t>- 3 buletine de analiză radioactivă</w:t>
      </w:r>
      <w:r>
        <w:rPr>
          <w:u w:val="single"/>
        </w:rPr>
        <w:t> 90 suprafe</w:t>
      </w:r>
      <w:r>
        <w:rPr>
          <w:rFonts w:ascii="Tahoma" w:hAnsi="Tahoma"/>
          <w:u w:val="single"/>
        </w:rPr>
        <w:t>ț</w:t>
      </w:r>
      <w:r>
        <w:rPr>
          <w:u w:val="single"/>
        </w:rPr>
        <w:t>e contaminate</w:t>
      </w:r>
      <w:r>
        <w:rPr/>
        <w:t> cu:</w:t>
      </w:r>
    </w:p>
    <w:p>
      <w:pPr>
        <w:pStyle w:val="BodyText"/>
        <w:spacing w:before="1"/>
        <w:ind w:left="533"/>
      </w:pPr>
      <w:r>
        <w:rPr/>
        <w:t>- 90 măsurări de tritiu</w:t>
      </w:r>
    </w:p>
    <w:p>
      <w:pPr>
        <w:pStyle w:val="BodyText"/>
        <w:ind w:left="533"/>
      </w:pPr>
      <w:r>
        <w:rPr/>
        <w:t>- 90 separări radiochimice</w:t>
      </w:r>
    </w:p>
    <w:p>
      <w:pPr>
        <w:pStyle w:val="BodyText"/>
        <w:spacing w:line="275" w:lineRule="exact"/>
        <w:ind w:left="473"/>
      </w:pPr>
      <w:r>
        <w:rPr/>
        <w:t>- 2 buletine de analiză radioactivă</w:t>
      </w:r>
    </w:p>
    <w:p>
      <w:pPr>
        <w:pStyle w:val="BodyText"/>
        <w:ind w:left="233" w:right="880"/>
        <w:rPr>
          <w:b/>
        </w:rPr>
      </w:pPr>
      <w:r>
        <w:rPr/>
        <w:t>Con</w:t>
      </w:r>
      <w:r>
        <w:rPr>
          <w:rFonts w:ascii="Tahoma" w:hAnsi="Tahoma"/>
        </w:rPr>
        <w:t>ț</w:t>
      </w:r>
      <w:r>
        <w:rPr/>
        <w:t>inutul radioactiv al probelor de apă potabilă </w:t>
      </w:r>
      <w:r>
        <w:rPr>
          <w:rFonts w:ascii="Tahoma" w:hAnsi="Tahoma"/>
        </w:rPr>
        <w:t>ș</w:t>
      </w:r>
      <w:r>
        <w:rPr/>
        <w:t>i aliment măsurate se incadrează in limitele con</w:t>
      </w:r>
      <w:r>
        <w:rPr>
          <w:rFonts w:ascii="Tahoma" w:hAnsi="Tahoma"/>
        </w:rPr>
        <w:t>ț</w:t>
      </w:r>
      <w:r>
        <w:rPr/>
        <w:t>inutului radioactiv natural, in conformitate cu Legea 458/2002, Legea nr.301/2015 </w:t>
      </w:r>
      <w:r>
        <w:rPr>
          <w:rFonts w:ascii="Tahoma" w:hAnsi="Tahoma"/>
        </w:rPr>
        <w:t>ș</w:t>
      </w:r>
      <w:r>
        <w:rPr/>
        <w:t>i NFSR/2000. </w:t>
      </w:r>
      <w:r>
        <w:rPr>
          <w:b/>
        </w:rPr>
        <w:t>Activitatea de avizare/autorizare</w:t>
      </w:r>
    </w:p>
    <w:p>
      <w:pPr>
        <w:pStyle w:val="BodyText"/>
        <w:ind w:left="233" w:right="1179"/>
      </w:pPr>
      <w:r>
        <w:rPr/>
        <w:t>În paralel cu activită</w:t>
      </w:r>
      <w:r>
        <w:rPr>
          <w:rFonts w:ascii="Tahoma" w:hAnsi="Tahoma"/>
        </w:rPr>
        <w:t>ț</w:t>
      </w:r>
      <w:r>
        <w:rPr/>
        <w:t>ile de monitorizare ce decurg din obiectivele PN, s-au desfă</w:t>
      </w:r>
      <w:r>
        <w:rPr>
          <w:rFonts w:ascii="Tahoma" w:hAnsi="Tahoma"/>
        </w:rPr>
        <w:t>ș</w:t>
      </w:r>
      <w:r>
        <w:rPr/>
        <w:t>urat </w:t>
      </w:r>
      <w:r>
        <w:rPr>
          <w:rFonts w:ascii="Tahoma" w:hAnsi="Tahoma"/>
        </w:rPr>
        <w:t>ș</w:t>
      </w:r>
      <w:r>
        <w:rPr/>
        <w:t>i activită</w:t>
      </w:r>
      <w:r>
        <w:rPr>
          <w:rFonts w:ascii="Tahoma" w:hAnsi="Tahoma"/>
        </w:rPr>
        <w:t>ț</w:t>
      </w:r>
      <w:r>
        <w:rPr/>
        <w:t>ile curente de avizare-autorizare sanitară, reglementate de Ord. MS nr. 381/2004.</w:t>
      </w:r>
    </w:p>
    <w:p>
      <w:pPr>
        <w:pStyle w:val="BodyText"/>
        <w:ind w:left="233" w:right="1340" w:firstLine="60"/>
      </w:pPr>
      <w:r>
        <w:rPr/>
        <w:t>Au fost analizate 368 documenta</w:t>
      </w:r>
      <w:r>
        <w:rPr>
          <w:rFonts w:ascii="Tahoma" w:hAnsi="Tahoma"/>
        </w:rPr>
        <w:t>ț</w:t>
      </w:r>
      <w:r>
        <w:rPr/>
        <w:t>ii depuse spre evaluarea conformită</w:t>
      </w:r>
      <w:r>
        <w:rPr>
          <w:rFonts w:ascii="Tahoma" w:hAnsi="Tahoma"/>
        </w:rPr>
        <w:t>ț</w:t>
      </w:r>
      <w:r>
        <w:rPr/>
        <w:t>ii cu cerin</w:t>
      </w:r>
      <w:r>
        <w:rPr>
          <w:rFonts w:ascii="Tahoma" w:hAnsi="Tahoma"/>
        </w:rPr>
        <w:t>ț</w:t>
      </w:r>
      <w:r>
        <w:rPr/>
        <w:t>ele legale pentru ob</w:t>
      </w:r>
      <w:r>
        <w:rPr>
          <w:rFonts w:ascii="Tahoma" w:hAnsi="Tahoma"/>
        </w:rPr>
        <w:t>ț</w:t>
      </w:r>
      <w:r>
        <w:rPr/>
        <w:t>inerea avizului/autoriza</w:t>
      </w:r>
      <w:r>
        <w:rPr>
          <w:rFonts w:ascii="Tahoma" w:hAnsi="Tahoma"/>
        </w:rPr>
        <w:t>ț</w:t>
      </w:r>
      <w:r>
        <w:rPr/>
        <w:t>iei solicitate, prevăzute de OMS nr. 381/2004 art. 23-27 Anexa 2:</w:t>
      </w:r>
    </w:p>
    <w:tbl>
      <w:tblPr>
        <w:tblW w:w="0" w:type="auto"/>
        <w:jc w:val="left"/>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590"/>
      </w:tblGrid>
      <w:tr>
        <w:trPr>
          <w:trHeight w:val="275" w:hRule="atLeast"/>
        </w:trPr>
        <w:tc>
          <w:tcPr>
            <w:tcW w:w="2213" w:type="dxa"/>
          </w:tcPr>
          <w:p>
            <w:pPr>
              <w:pStyle w:val="TableParagraph"/>
              <w:rPr>
                <w:sz w:val="20"/>
              </w:rPr>
            </w:pPr>
          </w:p>
        </w:tc>
        <w:tc>
          <w:tcPr>
            <w:tcW w:w="2590" w:type="dxa"/>
          </w:tcPr>
          <w:p>
            <w:pPr>
              <w:pStyle w:val="TableParagraph"/>
              <w:spacing w:line="256" w:lineRule="exact"/>
              <w:ind w:left="110"/>
              <w:rPr>
                <w:sz w:val="24"/>
              </w:rPr>
            </w:pPr>
            <w:r>
              <w:rPr>
                <w:sz w:val="24"/>
              </w:rPr>
              <w:t>Nr. solicitări înregistrate</w:t>
            </w:r>
          </w:p>
        </w:tc>
      </w:tr>
      <w:tr>
        <w:trPr>
          <w:trHeight w:val="292" w:hRule="atLeast"/>
        </w:trPr>
        <w:tc>
          <w:tcPr>
            <w:tcW w:w="2213" w:type="dxa"/>
          </w:tcPr>
          <w:p>
            <w:pPr>
              <w:pStyle w:val="TableParagraph"/>
              <w:spacing w:line="272" w:lineRule="exact"/>
              <w:ind w:left="107"/>
              <w:rPr>
                <w:sz w:val="24"/>
              </w:rPr>
            </w:pPr>
            <w:r>
              <w:rPr>
                <w:sz w:val="24"/>
              </w:rPr>
              <w:t>Bucure</w:t>
            </w:r>
            <w:r>
              <w:rPr>
                <w:rFonts w:ascii="Tahoma" w:hAnsi="Tahoma"/>
                <w:sz w:val="24"/>
              </w:rPr>
              <w:t>ș</w:t>
            </w:r>
            <w:r>
              <w:rPr>
                <w:sz w:val="24"/>
              </w:rPr>
              <w:t>ti</w:t>
            </w:r>
          </w:p>
        </w:tc>
        <w:tc>
          <w:tcPr>
            <w:tcW w:w="2590" w:type="dxa"/>
          </w:tcPr>
          <w:p>
            <w:pPr>
              <w:pStyle w:val="TableParagraph"/>
              <w:spacing w:line="272" w:lineRule="exact"/>
              <w:ind w:left="110"/>
              <w:rPr>
                <w:sz w:val="24"/>
              </w:rPr>
            </w:pPr>
            <w:r>
              <w:rPr>
                <w:sz w:val="24"/>
              </w:rPr>
              <w:t>292</w:t>
            </w:r>
          </w:p>
        </w:tc>
      </w:tr>
      <w:tr>
        <w:trPr>
          <w:trHeight w:val="275" w:hRule="atLeast"/>
        </w:trPr>
        <w:tc>
          <w:tcPr>
            <w:tcW w:w="2213" w:type="dxa"/>
          </w:tcPr>
          <w:p>
            <w:pPr>
              <w:pStyle w:val="TableParagraph"/>
              <w:spacing w:line="256" w:lineRule="exact"/>
              <w:ind w:left="107"/>
              <w:rPr>
                <w:sz w:val="24"/>
              </w:rPr>
            </w:pPr>
            <w:r>
              <w:rPr>
                <w:sz w:val="24"/>
              </w:rPr>
              <w:t>Jud. Ilfov</w:t>
            </w:r>
          </w:p>
        </w:tc>
        <w:tc>
          <w:tcPr>
            <w:tcW w:w="2590" w:type="dxa"/>
          </w:tcPr>
          <w:p>
            <w:pPr>
              <w:pStyle w:val="TableParagraph"/>
              <w:spacing w:line="256" w:lineRule="exact"/>
              <w:ind w:left="110"/>
              <w:rPr>
                <w:sz w:val="24"/>
              </w:rPr>
            </w:pPr>
            <w:r>
              <w:rPr>
                <w:sz w:val="24"/>
              </w:rPr>
              <w:t>43</w:t>
            </w:r>
          </w:p>
        </w:tc>
      </w:tr>
      <w:tr>
        <w:trPr>
          <w:trHeight w:val="292" w:hRule="atLeast"/>
        </w:trPr>
        <w:tc>
          <w:tcPr>
            <w:tcW w:w="2213" w:type="dxa"/>
          </w:tcPr>
          <w:p>
            <w:pPr>
              <w:pStyle w:val="TableParagraph"/>
              <w:spacing w:line="272" w:lineRule="exact"/>
              <w:ind w:left="107"/>
              <w:rPr>
                <w:sz w:val="24"/>
              </w:rPr>
            </w:pPr>
            <w:r>
              <w:rPr>
                <w:sz w:val="24"/>
              </w:rPr>
              <w:t>Jud. Ialomi</w:t>
            </w:r>
            <w:r>
              <w:rPr>
                <w:rFonts w:ascii="Tahoma" w:hAnsi="Tahoma"/>
                <w:sz w:val="24"/>
              </w:rPr>
              <w:t>ț</w:t>
            </w:r>
            <w:r>
              <w:rPr>
                <w:sz w:val="24"/>
              </w:rPr>
              <w:t>a</w:t>
            </w:r>
          </w:p>
        </w:tc>
        <w:tc>
          <w:tcPr>
            <w:tcW w:w="2590" w:type="dxa"/>
          </w:tcPr>
          <w:p>
            <w:pPr>
              <w:pStyle w:val="TableParagraph"/>
              <w:spacing w:line="272" w:lineRule="exact"/>
              <w:ind w:left="110"/>
              <w:rPr>
                <w:sz w:val="24"/>
              </w:rPr>
            </w:pPr>
            <w:r>
              <w:rPr>
                <w:sz w:val="24"/>
              </w:rPr>
              <w:t>10</w:t>
            </w:r>
          </w:p>
        </w:tc>
      </w:tr>
      <w:tr>
        <w:trPr>
          <w:trHeight w:val="292" w:hRule="atLeast"/>
        </w:trPr>
        <w:tc>
          <w:tcPr>
            <w:tcW w:w="2213" w:type="dxa"/>
          </w:tcPr>
          <w:p>
            <w:pPr>
              <w:pStyle w:val="TableParagraph"/>
              <w:spacing w:line="272" w:lineRule="exact"/>
              <w:ind w:left="107"/>
              <w:rPr>
                <w:sz w:val="24"/>
              </w:rPr>
            </w:pPr>
            <w:r>
              <w:rPr>
                <w:sz w:val="24"/>
              </w:rPr>
              <w:t>Jud. Călăra</w:t>
            </w:r>
            <w:r>
              <w:rPr>
                <w:rFonts w:ascii="Tahoma" w:hAnsi="Tahoma"/>
                <w:sz w:val="24"/>
              </w:rPr>
              <w:t>ș</w:t>
            </w:r>
            <w:r>
              <w:rPr>
                <w:sz w:val="24"/>
              </w:rPr>
              <w:t>i</w:t>
            </w:r>
          </w:p>
        </w:tc>
        <w:tc>
          <w:tcPr>
            <w:tcW w:w="2590" w:type="dxa"/>
          </w:tcPr>
          <w:p>
            <w:pPr>
              <w:pStyle w:val="TableParagraph"/>
              <w:spacing w:line="272" w:lineRule="exact"/>
              <w:ind w:left="110"/>
              <w:rPr>
                <w:sz w:val="24"/>
              </w:rPr>
            </w:pPr>
            <w:r>
              <w:rPr>
                <w:sz w:val="24"/>
              </w:rPr>
              <w:t>5</w:t>
            </w:r>
          </w:p>
        </w:tc>
      </w:tr>
      <w:tr>
        <w:trPr>
          <w:trHeight w:val="275" w:hRule="atLeast"/>
        </w:trPr>
        <w:tc>
          <w:tcPr>
            <w:tcW w:w="2213" w:type="dxa"/>
          </w:tcPr>
          <w:p>
            <w:pPr>
              <w:pStyle w:val="TableParagraph"/>
              <w:spacing w:line="256" w:lineRule="exact"/>
              <w:ind w:left="107"/>
              <w:rPr>
                <w:sz w:val="24"/>
              </w:rPr>
            </w:pPr>
            <w:r>
              <w:rPr>
                <w:sz w:val="24"/>
              </w:rPr>
              <w:t>Jud. Giurgiu</w:t>
            </w:r>
          </w:p>
        </w:tc>
        <w:tc>
          <w:tcPr>
            <w:tcW w:w="2590" w:type="dxa"/>
          </w:tcPr>
          <w:p>
            <w:pPr>
              <w:pStyle w:val="TableParagraph"/>
              <w:spacing w:line="256" w:lineRule="exact"/>
              <w:ind w:left="110"/>
              <w:rPr>
                <w:sz w:val="24"/>
              </w:rPr>
            </w:pPr>
            <w:r>
              <w:rPr>
                <w:sz w:val="24"/>
              </w:rPr>
              <w:t>5</w:t>
            </w:r>
          </w:p>
        </w:tc>
      </w:tr>
      <w:tr>
        <w:trPr>
          <w:trHeight w:val="275" w:hRule="atLeast"/>
        </w:trPr>
        <w:tc>
          <w:tcPr>
            <w:tcW w:w="2213" w:type="dxa"/>
          </w:tcPr>
          <w:p>
            <w:pPr>
              <w:pStyle w:val="TableParagraph"/>
              <w:spacing w:line="256" w:lineRule="exact"/>
              <w:ind w:left="107"/>
              <w:rPr>
                <w:sz w:val="24"/>
              </w:rPr>
            </w:pPr>
            <w:r>
              <w:rPr>
                <w:sz w:val="24"/>
              </w:rPr>
              <w:t>Jud.Teleorman</w:t>
            </w:r>
          </w:p>
        </w:tc>
        <w:tc>
          <w:tcPr>
            <w:tcW w:w="2590" w:type="dxa"/>
          </w:tcPr>
          <w:p>
            <w:pPr>
              <w:pStyle w:val="TableParagraph"/>
              <w:spacing w:line="256" w:lineRule="exact"/>
              <w:ind w:left="110"/>
              <w:rPr>
                <w:sz w:val="24"/>
              </w:rPr>
            </w:pPr>
            <w:r>
              <w:rPr>
                <w:sz w:val="24"/>
              </w:rPr>
              <w:t>13</w:t>
            </w:r>
          </w:p>
        </w:tc>
      </w:tr>
    </w:tbl>
    <w:p>
      <w:pPr>
        <w:pStyle w:val="BodyText"/>
        <w:spacing w:before="230"/>
        <w:ind w:left="233"/>
      </w:pPr>
      <w:r>
        <w:rPr>
          <w:rFonts w:ascii="Tahoma" w:hAnsi="Tahoma"/>
        </w:rPr>
        <w:t>ș</w:t>
      </w:r>
      <w:r>
        <w:rPr/>
        <w:t>i s-au eliberat avize </w:t>
      </w:r>
      <w:r>
        <w:rPr>
          <w:rFonts w:ascii="Tahoma" w:hAnsi="Tahoma"/>
        </w:rPr>
        <w:t>ș</w:t>
      </w:r>
      <w:r>
        <w:rPr/>
        <w:t>i autoriza</w:t>
      </w:r>
      <w:r>
        <w:rPr>
          <w:rFonts w:ascii="Tahoma" w:hAnsi="Tahoma"/>
        </w:rPr>
        <w:t>ț</w:t>
      </w:r>
      <w:r>
        <w:rPr/>
        <w:t>ii sanitare, după cum reiese din tabelele de mai jos:</w:t>
      </w:r>
    </w:p>
    <w:tbl>
      <w:tblPr>
        <w:tblW w:w="0" w:type="auto"/>
        <w:jc w:val="left"/>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986"/>
      </w:tblGrid>
      <w:tr>
        <w:trPr>
          <w:trHeight w:val="292" w:hRule="atLeast"/>
        </w:trPr>
        <w:tc>
          <w:tcPr>
            <w:tcW w:w="2819" w:type="dxa"/>
          </w:tcPr>
          <w:p>
            <w:pPr>
              <w:pStyle w:val="TableParagraph"/>
              <w:spacing w:line="272" w:lineRule="exact"/>
              <w:ind w:left="107"/>
              <w:rPr>
                <w:sz w:val="24"/>
              </w:rPr>
            </w:pPr>
            <w:r>
              <w:rPr>
                <w:sz w:val="24"/>
              </w:rPr>
              <w:t>Activită</w:t>
            </w:r>
            <w:r>
              <w:rPr>
                <w:rFonts w:ascii="Tahoma" w:hAnsi="Tahoma"/>
                <w:sz w:val="24"/>
              </w:rPr>
              <w:t>ț</w:t>
            </w:r>
            <w:r>
              <w:rPr>
                <w:sz w:val="24"/>
              </w:rPr>
              <w:t>i</w:t>
            </w:r>
            <w:r>
              <w:rPr>
                <w:spacing w:val="59"/>
                <w:sz w:val="24"/>
              </w:rPr>
              <w:t> </w:t>
            </w:r>
            <w:r>
              <w:rPr>
                <w:sz w:val="24"/>
              </w:rPr>
              <w:t>avizate</w:t>
            </w:r>
          </w:p>
        </w:tc>
        <w:tc>
          <w:tcPr>
            <w:tcW w:w="1986" w:type="dxa"/>
          </w:tcPr>
          <w:p>
            <w:pPr>
              <w:pStyle w:val="TableParagraph"/>
              <w:spacing w:line="272" w:lineRule="exact"/>
              <w:ind w:left="109"/>
              <w:rPr>
                <w:sz w:val="24"/>
              </w:rPr>
            </w:pPr>
            <w:r>
              <w:rPr>
                <w:sz w:val="24"/>
              </w:rPr>
              <w:t>Nr. avize eliberate</w:t>
            </w:r>
          </w:p>
        </w:tc>
      </w:tr>
      <w:tr>
        <w:trPr>
          <w:trHeight w:val="289" w:hRule="atLeast"/>
        </w:trPr>
        <w:tc>
          <w:tcPr>
            <w:tcW w:w="2819" w:type="dxa"/>
          </w:tcPr>
          <w:p>
            <w:pPr>
              <w:pStyle w:val="TableParagraph"/>
              <w:spacing w:line="270" w:lineRule="exact"/>
              <w:ind w:left="167"/>
              <w:rPr>
                <w:sz w:val="24"/>
              </w:rPr>
            </w:pPr>
            <w:r>
              <w:rPr>
                <w:sz w:val="24"/>
              </w:rPr>
              <w:t>amplasare -construc</w:t>
            </w:r>
            <w:r>
              <w:rPr>
                <w:rFonts w:ascii="Tahoma" w:hAnsi="Tahoma"/>
                <w:sz w:val="24"/>
              </w:rPr>
              <w:t>ț</w:t>
            </w:r>
            <w:r>
              <w:rPr>
                <w:sz w:val="24"/>
              </w:rPr>
              <w:t>ie</w:t>
            </w:r>
          </w:p>
        </w:tc>
        <w:tc>
          <w:tcPr>
            <w:tcW w:w="1986" w:type="dxa"/>
          </w:tcPr>
          <w:p>
            <w:pPr>
              <w:pStyle w:val="TableParagraph"/>
              <w:spacing w:line="270" w:lineRule="exact"/>
              <w:ind w:left="109"/>
              <w:rPr>
                <w:sz w:val="24"/>
              </w:rPr>
            </w:pPr>
            <w:r>
              <w:rPr>
                <w:sz w:val="24"/>
              </w:rPr>
              <w:t>39</w:t>
            </w:r>
          </w:p>
        </w:tc>
      </w:tr>
      <w:tr>
        <w:trPr>
          <w:trHeight w:val="278" w:hRule="atLeast"/>
        </w:trPr>
        <w:tc>
          <w:tcPr>
            <w:tcW w:w="2819" w:type="dxa"/>
          </w:tcPr>
          <w:p>
            <w:pPr>
              <w:pStyle w:val="TableParagraph"/>
              <w:spacing w:line="257" w:lineRule="exact" w:before="2"/>
              <w:ind w:left="107"/>
              <w:rPr>
                <w:sz w:val="24"/>
              </w:rPr>
            </w:pPr>
            <w:r>
              <w:rPr>
                <w:sz w:val="24"/>
              </w:rPr>
              <w:t>constructie</w:t>
            </w:r>
          </w:p>
        </w:tc>
        <w:tc>
          <w:tcPr>
            <w:tcW w:w="1986" w:type="dxa"/>
          </w:tcPr>
          <w:p>
            <w:pPr>
              <w:pStyle w:val="TableParagraph"/>
              <w:spacing w:line="257" w:lineRule="exact" w:before="2"/>
              <w:ind w:left="109"/>
              <w:rPr>
                <w:sz w:val="24"/>
              </w:rPr>
            </w:pPr>
            <w:r>
              <w:rPr>
                <w:sz w:val="24"/>
              </w:rPr>
              <w:t>1</w:t>
            </w:r>
          </w:p>
        </w:tc>
      </w:tr>
      <w:tr>
        <w:trPr>
          <w:trHeight w:val="275" w:hRule="atLeast"/>
        </w:trPr>
        <w:tc>
          <w:tcPr>
            <w:tcW w:w="2819" w:type="dxa"/>
          </w:tcPr>
          <w:p>
            <w:pPr>
              <w:pStyle w:val="TableParagraph"/>
              <w:spacing w:line="256" w:lineRule="exact"/>
              <w:ind w:left="107"/>
              <w:rPr>
                <w:sz w:val="24"/>
              </w:rPr>
            </w:pPr>
            <w:r>
              <w:rPr>
                <w:sz w:val="24"/>
              </w:rPr>
              <w:t>depozitare</w:t>
            </w:r>
          </w:p>
        </w:tc>
        <w:tc>
          <w:tcPr>
            <w:tcW w:w="1986" w:type="dxa"/>
          </w:tcPr>
          <w:p>
            <w:pPr>
              <w:pStyle w:val="TableParagraph"/>
              <w:spacing w:line="256" w:lineRule="exact"/>
              <w:ind w:left="109"/>
              <w:rPr>
                <w:sz w:val="24"/>
              </w:rPr>
            </w:pPr>
            <w:r>
              <w:rPr>
                <w:sz w:val="24"/>
              </w:rPr>
              <w:t>2</w:t>
            </w:r>
          </w:p>
        </w:tc>
      </w:tr>
      <w:tr>
        <w:trPr>
          <w:trHeight w:val="275" w:hRule="atLeast"/>
        </w:trPr>
        <w:tc>
          <w:tcPr>
            <w:tcW w:w="2819" w:type="dxa"/>
          </w:tcPr>
          <w:p>
            <w:pPr>
              <w:pStyle w:val="TableParagraph"/>
              <w:spacing w:line="256" w:lineRule="exact"/>
              <w:ind w:left="107"/>
              <w:rPr>
                <w:sz w:val="24"/>
              </w:rPr>
            </w:pPr>
            <w:r>
              <w:rPr>
                <w:sz w:val="24"/>
              </w:rPr>
              <w:t>dezafectare</w:t>
            </w:r>
          </w:p>
        </w:tc>
        <w:tc>
          <w:tcPr>
            <w:tcW w:w="1986" w:type="dxa"/>
          </w:tcPr>
          <w:p>
            <w:pPr>
              <w:pStyle w:val="TableParagraph"/>
              <w:spacing w:line="256" w:lineRule="exact"/>
              <w:ind w:left="109"/>
              <w:rPr>
                <w:sz w:val="24"/>
              </w:rPr>
            </w:pPr>
            <w:r>
              <w:rPr>
                <w:sz w:val="24"/>
              </w:rPr>
              <w:t>2</w:t>
            </w:r>
          </w:p>
        </w:tc>
      </w:tr>
      <w:tr>
        <w:trPr>
          <w:trHeight w:val="275" w:hRule="atLeast"/>
        </w:trPr>
        <w:tc>
          <w:tcPr>
            <w:tcW w:w="2819" w:type="dxa"/>
          </w:tcPr>
          <w:p>
            <w:pPr>
              <w:pStyle w:val="TableParagraph"/>
              <w:spacing w:line="256" w:lineRule="exact"/>
              <w:ind w:left="107"/>
              <w:rPr>
                <w:sz w:val="24"/>
              </w:rPr>
            </w:pPr>
            <w:r>
              <w:rPr>
                <w:sz w:val="24"/>
              </w:rPr>
              <w:t>încetare activitate</w:t>
            </w:r>
          </w:p>
        </w:tc>
        <w:tc>
          <w:tcPr>
            <w:tcW w:w="1986" w:type="dxa"/>
          </w:tcPr>
          <w:p>
            <w:pPr>
              <w:pStyle w:val="TableParagraph"/>
              <w:spacing w:line="256" w:lineRule="exact"/>
              <w:ind w:left="109"/>
              <w:rPr>
                <w:sz w:val="24"/>
              </w:rPr>
            </w:pPr>
            <w:r>
              <w:rPr>
                <w:sz w:val="24"/>
              </w:rPr>
              <w:t>25</w:t>
            </w:r>
          </w:p>
        </w:tc>
      </w:tr>
      <w:tr>
        <w:trPr>
          <w:trHeight w:val="275" w:hRule="atLeast"/>
        </w:trPr>
        <w:tc>
          <w:tcPr>
            <w:tcW w:w="2819" w:type="dxa"/>
          </w:tcPr>
          <w:p>
            <w:pPr>
              <w:pStyle w:val="TableParagraph"/>
              <w:spacing w:line="256" w:lineRule="exact"/>
              <w:ind w:left="107"/>
              <w:rPr>
                <w:sz w:val="24"/>
              </w:rPr>
            </w:pPr>
            <w:r>
              <w:rPr>
                <w:sz w:val="24"/>
              </w:rPr>
              <w:t>transport</w:t>
            </w:r>
          </w:p>
        </w:tc>
        <w:tc>
          <w:tcPr>
            <w:tcW w:w="1986" w:type="dxa"/>
          </w:tcPr>
          <w:p>
            <w:pPr>
              <w:pStyle w:val="TableParagraph"/>
              <w:spacing w:line="256" w:lineRule="exact"/>
              <w:ind w:left="109"/>
              <w:rPr>
                <w:sz w:val="24"/>
              </w:rPr>
            </w:pPr>
            <w:r>
              <w:rPr>
                <w:sz w:val="24"/>
              </w:rPr>
              <w:t>4</w:t>
            </w:r>
          </w:p>
        </w:tc>
      </w:tr>
      <w:tr>
        <w:trPr>
          <w:trHeight w:val="568" w:hRule="atLeast"/>
        </w:trPr>
        <w:tc>
          <w:tcPr>
            <w:tcW w:w="2819" w:type="dxa"/>
          </w:tcPr>
          <w:p>
            <w:pPr>
              <w:pStyle w:val="TableParagraph"/>
              <w:spacing w:line="292" w:lineRule="exact"/>
              <w:ind w:left="107"/>
              <w:rPr>
                <w:sz w:val="24"/>
              </w:rPr>
            </w:pPr>
            <w:r>
              <w:rPr>
                <w:sz w:val="24"/>
              </w:rPr>
              <w:t>Activită</w:t>
            </w:r>
            <w:r>
              <w:rPr>
                <w:rFonts w:ascii="Tahoma" w:hAnsi="Tahoma"/>
                <w:sz w:val="24"/>
              </w:rPr>
              <w:t>ț</w:t>
            </w:r>
            <w:r>
              <w:rPr>
                <w:sz w:val="24"/>
              </w:rPr>
              <w:t>i</w:t>
            </w:r>
            <w:r>
              <w:rPr>
                <w:spacing w:val="59"/>
                <w:sz w:val="24"/>
              </w:rPr>
              <w:t> </w:t>
            </w:r>
            <w:r>
              <w:rPr>
                <w:sz w:val="24"/>
              </w:rPr>
              <w:t>autorizate</w:t>
            </w:r>
          </w:p>
        </w:tc>
        <w:tc>
          <w:tcPr>
            <w:tcW w:w="1986" w:type="dxa"/>
          </w:tcPr>
          <w:p>
            <w:pPr>
              <w:pStyle w:val="TableParagraph"/>
              <w:spacing w:line="276" w:lineRule="exact" w:before="19"/>
              <w:ind w:left="109" w:right="487"/>
              <w:rPr>
                <w:sz w:val="24"/>
              </w:rPr>
            </w:pPr>
            <w:r>
              <w:rPr>
                <w:sz w:val="24"/>
              </w:rPr>
              <w:t>Nr. autoriza</w:t>
            </w:r>
            <w:r>
              <w:rPr>
                <w:rFonts w:ascii="Tahoma" w:hAnsi="Tahoma"/>
                <w:sz w:val="24"/>
              </w:rPr>
              <w:t>ț</w:t>
            </w:r>
            <w:r>
              <w:rPr>
                <w:sz w:val="24"/>
              </w:rPr>
              <w:t>ii eliberate</w:t>
            </w:r>
          </w:p>
        </w:tc>
      </w:tr>
      <w:tr>
        <w:trPr>
          <w:trHeight w:val="289" w:hRule="atLeast"/>
        </w:trPr>
        <w:tc>
          <w:tcPr>
            <w:tcW w:w="2819" w:type="dxa"/>
          </w:tcPr>
          <w:p>
            <w:pPr>
              <w:pStyle w:val="TableParagraph"/>
              <w:spacing w:line="270" w:lineRule="exact"/>
              <w:ind w:left="107"/>
              <w:rPr>
                <w:sz w:val="24"/>
              </w:rPr>
            </w:pPr>
            <w:r>
              <w:rPr>
                <w:sz w:val="24"/>
              </w:rPr>
              <w:t>func</w:t>
            </w:r>
            <w:r>
              <w:rPr>
                <w:rFonts w:ascii="Tahoma" w:hAnsi="Tahoma"/>
                <w:sz w:val="24"/>
              </w:rPr>
              <w:t>ț</w:t>
            </w:r>
            <w:r>
              <w:rPr>
                <w:sz w:val="24"/>
              </w:rPr>
              <w:t>ionare-utilizare</w:t>
            </w:r>
          </w:p>
        </w:tc>
        <w:tc>
          <w:tcPr>
            <w:tcW w:w="1986" w:type="dxa"/>
          </w:tcPr>
          <w:p>
            <w:pPr>
              <w:pStyle w:val="TableParagraph"/>
              <w:spacing w:line="270" w:lineRule="exact"/>
              <w:ind w:left="109"/>
              <w:rPr>
                <w:sz w:val="24"/>
              </w:rPr>
            </w:pPr>
            <w:r>
              <w:rPr>
                <w:sz w:val="24"/>
              </w:rPr>
              <w:t>265</w:t>
            </w:r>
          </w:p>
        </w:tc>
      </w:tr>
      <w:tr>
        <w:trPr>
          <w:trHeight w:val="568" w:hRule="atLeast"/>
        </w:trPr>
        <w:tc>
          <w:tcPr>
            <w:tcW w:w="2819" w:type="dxa"/>
          </w:tcPr>
          <w:p>
            <w:pPr>
              <w:pStyle w:val="TableParagraph"/>
              <w:spacing w:line="276" w:lineRule="exact" w:before="19"/>
              <w:ind w:left="107" w:right="702"/>
              <w:rPr>
                <w:sz w:val="24"/>
              </w:rPr>
            </w:pPr>
            <w:r>
              <w:rPr>
                <w:sz w:val="24"/>
              </w:rPr>
              <w:t>manipulare instala</w:t>
            </w:r>
            <w:r>
              <w:rPr>
                <w:rFonts w:ascii="Tahoma" w:hAnsi="Tahoma"/>
                <w:sz w:val="24"/>
              </w:rPr>
              <w:t>ț</w:t>
            </w:r>
            <w:r>
              <w:rPr>
                <w:sz w:val="24"/>
              </w:rPr>
              <w:t>ii radiologice</w:t>
            </w:r>
          </w:p>
        </w:tc>
        <w:tc>
          <w:tcPr>
            <w:tcW w:w="1986" w:type="dxa"/>
          </w:tcPr>
          <w:p>
            <w:pPr>
              <w:pStyle w:val="TableParagraph"/>
              <w:spacing w:line="275" w:lineRule="exact"/>
              <w:ind w:left="109"/>
              <w:rPr>
                <w:sz w:val="24"/>
              </w:rPr>
            </w:pPr>
            <w:r>
              <w:rPr>
                <w:sz w:val="24"/>
              </w:rPr>
              <w:t>28</w:t>
            </w:r>
          </w:p>
        </w:tc>
      </w:tr>
      <w:tr>
        <w:trPr>
          <w:trHeight w:val="289" w:hRule="atLeast"/>
        </w:trPr>
        <w:tc>
          <w:tcPr>
            <w:tcW w:w="2819" w:type="dxa"/>
          </w:tcPr>
          <w:p>
            <w:pPr>
              <w:pStyle w:val="TableParagraph"/>
              <w:spacing w:line="270" w:lineRule="exact"/>
              <w:ind w:left="107"/>
              <w:rPr>
                <w:sz w:val="24"/>
              </w:rPr>
            </w:pPr>
            <w:r>
              <w:rPr>
                <w:sz w:val="24"/>
              </w:rPr>
              <w:t>produc</w:t>
            </w:r>
            <w:r>
              <w:rPr>
                <w:rFonts w:ascii="Tahoma" w:hAnsi="Tahoma"/>
                <w:sz w:val="24"/>
              </w:rPr>
              <w:t>ț</w:t>
            </w:r>
            <w:r>
              <w:rPr>
                <w:sz w:val="24"/>
              </w:rPr>
              <w:t>ie</w:t>
            </w:r>
          </w:p>
        </w:tc>
        <w:tc>
          <w:tcPr>
            <w:tcW w:w="1986" w:type="dxa"/>
          </w:tcPr>
          <w:p>
            <w:pPr>
              <w:pStyle w:val="TableParagraph"/>
              <w:spacing w:line="270" w:lineRule="exact"/>
              <w:ind w:left="109"/>
              <w:rPr>
                <w:sz w:val="24"/>
              </w:rPr>
            </w:pPr>
            <w:r>
              <w:rPr>
                <w:sz w:val="24"/>
              </w:rPr>
              <w:t>1</w:t>
            </w:r>
          </w:p>
        </w:tc>
      </w:tr>
      <w:tr>
        <w:trPr>
          <w:trHeight w:val="292" w:hRule="atLeast"/>
        </w:trPr>
        <w:tc>
          <w:tcPr>
            <w:tcW w:w="2819" w:type="dxa"/>
          </w:tcPr>
          <w:p>
            <w:pPr>
              <w:pStyle w:val="TableParagraph"/>
              <w:spacing w:line="272" w:lineRule="exact"/>
              <w:ind w:left="107"/>
              <w:rPr>
                <w:sz w:val="24"/>
              </w:rPr>
            </w:pPr>
            <w:r>
              <w:rPr>
                <w:sz w:val="24"/>
              </w:rPr>
              <w:t>punere în func</w:t>
            </w:r>
            <w:r>
              <w:rPr>
                <w:rFonts w:ascii="Tahoma" w:hAnsi="Tahoma"/>
                <w:sz w:val="24"/>
              </w:rPr>
              <w:t>ț</w:t>
            </w:r>
            <w:r>
              <w:rPr>
                <w:sz w:val="24"/>
              </w:rPr>
              <w:t>iune</w:t>
            </w:r>
          </w:p>
        </w:tc>
        <w:tc>
          <w:tcPr>
            <w:tcW w:w="1986" w:type="dxa"/>
          </w:tcPr>
          <w:p>
            <w:pPr>
              <w:pStyle w:val="TableParagraph"/>
              <w:spacing w:line="272" w:lineRule="exact"/>
              <w:ind w:left="109"/>
              <w:rPr>
                <w:sz w:val="24"/>
              </w:rPr>
            </w:pPr>
            <w:r>
              <w:rPr>
                <w:sz w:val="24"/>
              </w:rPr>
              <w:t>1- CETAL</w:t>
            </w:r>
          </w:p>
        </w:tc>
      </w:tr>
    </w:tbl>
    <w:p>
      <w:pPr>
        <w:spacing w:after="0" w:line="272" w:lineRule="exact"/>
        <w:rPr>
          <w:sz w:val="24"/>
        </w:rPr>
        <w:sectPr>
          <w:pgSz w:w="11910" w:h="16840"/>
          <w:pgMar w:header="0" w:footer="738" w:top="1360" w:bottom="920" w:left="900" w:right="0"/>
        </w:sectPr>
      </w:pPr>
    </w:p>
    <w:p>
      <w:pPr>
        <w:pStyle w:val="BodyText"/>
        <w:spacing w:before="81"/>
        <w:ind w:left="233"/>
      </w:pPr>
      <w:r>
        <w:rPr/>
        <w:t>Autoriza</w:t>
      </w:r>
      <w:r>
        <w:rPr>
          <w:rFonts w:ascii="Tahoma" w:hAnsi="Tahoma"/>
        </w:rPr>
        <w:t>ț</w:t>
      </w:r>
      <w:r>
        <w:rPr/>
        <w:t>iile de func</w:t>
      </w:r>
      <w:r>
        <w:rPr>
          <w:rFonts w:ascii="Tahoma" w:hAnsi="Tahoma"/>
        </w:rPr>
        <w:t>ț</w:t>
      </w:r>
      <w:r>
        <w:rPr/>
        <w:t>ionare-utilizare instala</w:t>
      </w:r>
      <w:r>
        <w:rPr>
          <w:rFonts w:ascii="Tahoma" w:hAnsi="Tahoma"/>
        </w:rPr>
        <w:t>ț</w:t>
      </w:r>
      <w:r>
        <w:rPr/>
        <w:t>ii radiologice au fost eliberate pentru următoarele practici:</w:t>
      </w: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3846"/>
        <w:gridCol w:w="1642"/>
      </w:tblGrid>
      <w:tr>
        <w:trPr>
          <w:trHeight w:val="568" w:hRule="atLeast"/>
        </w:trPr>
        <w:tc>
          <w:tcPr>
            <w:tcW w:w="1260" w:type="dxa"/>
          </w:tcPr>
          <w:p>
            <w:pPr>
              <w:pStyle w:val="TableParagraph"/>
              <w:rPr>
                <w:sz w:val="24"/>
              </w:rPr>
            </w:pPr>
          </w:p>
        </w:tc>
        <w:tc>
          <w:tcPr>
            <w:tcW w:w="3846" w:type="dxa"/>
          </w:tcPr>
          <w:p>
            <w:pPr>
              <w:pStyle w:val="TableParagraph"/>
              <w:spacing w:line="275" w:lineRule="exact"/>
              <w:ind w:left="107"/>
              <w:rPr>
                <w:sz w:val="24"/>
              </w:rPr>
            </w:pPr>
            <w:r>
              <w:rPr>
                <w:sz w:val="24"/>
              </w:rPr>
              <w:t>Tip practică autorizată</w:t>
            </w:r>
          </w:p>
        </w:tc>
        <w:tc>
          <w:tcPr>
            <w:tcW w:w="1642" w:type="dxa"/>
          </w:tcPr>
          <w:p>
            <w:pPr>
              <w:pStyle w:val="TableParagraph"/>
              <w:spacing w:line="276" w:lineRule="exact" w:before="19"/>
              <w:ind w:left="107" w:right="145"/>
              <w:rPr>
                <w:sz w:val="24"/>
              </w:rPr>
            </w:pPr>
            <w:r>
              <w:rPr>
                <w:sz w:val="24"/>
              </w:rPr>
              <w:t>Nr. autoriza</w:t>
            </w:r>
            <w:r>
              <w:rPr>
                <w:rFonts w:ascii="Tahoma" w:hAnsi="Tahoma"/>
                <w:sz w:val="24"/>
              </w:rPr>
              <w:t>ț</w:t>
            </w:r>
            <w:r>
              <w:rPr>
                <w:sz w:val="24"/>
              </w:rPr>
              <w:t>ii eliberate</w:t>
            </w:r>
          </w:p>
        </w:tc>
      </w:tr>
      <w:tr>
        <w:trPr>
          <w:trHeight w:val="272" w:hRule="atLeast"/>
        </w:trPr>
        <w:tc>
          <w:tcPr>
            <w:tcW w:w="1260" w:type="dxa"/>
            <w:vMerge w:val="restart"/>
          </w:tcPr>
          <w:p>
            <w:pPr>
              <w:pStyle w:val="TableParagraph"/>
              <w:rPr>
                <w:sz w:val="28"/>
              </w:rPr>
            </w:pPr>
          </w:p>
          <w:p>
            <w:pPr>
              <w:pStyle w:val="TableParagraph"/>
              <w:rPr>
                <w:sz w:val="28"/>
              </w:rPr>
            </w:pPr>
          </w:p>
          <w:p>
            <w:pPr>
              <w:pStyle w:val="TableParagraph"/>
              <w:spacing w:before="6"/>
              <w:rPr>
                <w:sz w:val="29"/>
              </w:rPr>
            </w:pPr>
          </w:p>
          <w:p>
            <w:pPr>
              <w:pStyle w:val="TableParagraph"/>
              <w:ind w:left="107"/>
              <w:rPr>
                <w:sz w:val="24"/>
              </w:rPr>
            </w:pPr>
            <w:r>
              <w:rPr>
                <w:sz w:val="24"/>
              </w:rPr>
              <w:t>Bucure</w:t>
            </w:r>
            <w:r>
              <w:rPr>
                <w:rFonts w:ascii="Tahoma" w:hAnsi="Tahoma"/>
                <w:sz w:val="24"/>
              </w:rPr>
              <w:t>ș</w:t>
            </w:r>
            <w:r>
              <w:rPr>
                <w:sz w:val="24"/>
              </w:rPr>
              <w:t>ti</w:t>
            </w:r>
          </w:p>
        </w:tc>
        <w:tc>
          <w:tcPr>
            <w:tcW w:w="3846" w:type="dxa"/>
          </w:tcPr>
          <w:p>
            <w:pPr>
              <w:pStyle w:val="TableParagraph"/>
              <w:spacing w:line="253" w:lineRule="exact"/>
              <w:ind w:left="107"/>
              <w:rPr>
                <w:sz w:val="24"/>
              </w:rPr>
            </w:pPr>
            <w:r>
              <w:rPr>
                <w:sz w:val="24"/>
              </w:rPr>
              <w:t>Radiodiagnostic</w:t>
            </w:r>
          </w:p>
        </w:tc>
        <w:tc>
          <w:tcPr>
            <w:tcW w:w="1642" w:type="dxa"/>
          </w:tcPr>
          <w:p>
            <w:pPr>
              <w:pStyle w:val="TableParagraph"/>
              <w:spacing w:line="253" w:lineRule="exact"/>
              <w:ind w:left="107"/>
              <w:rPr>
                <w:sz w:val="24"/>
              </w:rPr>
            </w:pPr>
            <w:r>
              <w:rPr>
                <w:sz w:val="24"/>
              </w:rPr>
              <w:t>175</w:t>
            </w:r>
          </w:p>
        </w:tc>
      </w:tr>
      <w:tr>
        <w:trPr>
          <w:trHeight w:val="551" w:hRule="atLeast"/>
        </w:trPr>
        <w:tc>
          <w:tcPr>
            <w:tcW w:w="1260" w:type="dxa"/>
            <w:vMerge/>
            <w:tcBorders>
              <w:top w:val="nil"/>
            </w:tcBorders>
          </w:tcPr>
          <w:p>
            <w:pPr>
              <w:rPr>
                <w:sz w:val="2"/>
                <w:szCs w:val="2"/>
              </w:rPr>
            </w:pPr>
          </w:p>
        </w:tc>
        <w:tc>
          <w:tcPr>
            <w:tcW w:w="3846" w:type="dxa"/>
          </w:tcPr>
          <w:p>
            <w:pPr>
              <w:pStyle w:val="TableParagraph"/>
              <w:spacing w:line="276" w:lineRule="exact" w:before="2"/>
              <w:ind w:left="107" w:right="896"/>
              <w:rPr>
                <w:sz w:val="24"/>
              </w:rPr>
            </w:pPr>
            <w:r>
              <w:rPr>
                <w:sz w:val="24"/>
              </w:rPr>
              <w:t>Medicina nucleară (diagnostic in vivo si terapie)</w:t>
            </w:r>
          </w:p>
        </w:tc>
        <w:tc>
          <w:tcPr>
            <w:tcW w:w="1642" w:type="dxa"/>
          </w:tcPr>
          <w:p>
            <w:pPr>
              <w:pStyle w:val="TableParagraph"/>
              <w:spacing w:line="275" w:lineRule="exact"/>
              <w:ind w:left="107"/>
              <w:rPr>
                <w:sz w:val="24"/>
              </w:rPr>
            </w:pPr>
            <w:r>
              <w:rPr>
                <w:sz w:val="24"/>
              </w:rPr>
              <w:t>3</w:t>
            </w:r>
          </w:p>
        </w:tc>
      </w:tr>
      <w:tr>
        <w:trPr>
          <w:trHeight w:val="273" w:hRule="atLeast"/>
        </w:trPr>
        <w:tc>
          <w:tcPr>
            <w:tcW w:w="1260" w:type="dxa"/>
            <w:vMerge/>
            <w:tcBorders>
              <w:top w:val="nil"/>
            </w:tcBorders>
          </w:tcPr>
          <w:p>
            <w:pPr>
              <w:rPr>
                <w:sz w:val="2"/>
                <w:szCs w:val="2"/>
              </w:rPr>
            </w:pPr>
          </w:p>
        </w:tc>
        <w:tc>
          <w:tcPr>
            <w:tcW w:w="3846" w:type="dxa"/>
          </w:tcPr>
          <w:p>
            <w:pPr>
              <w:pStyle w:val="TableParagraph"/>
              <w:spacing w:line="253" w:lineRule="exact"/>
              <w:ind w:left="107"/>
              <w:rPr>
                <w:sz w:val="24"/>
              </w:rPr>
            </w:pPr>
            <w:r>
              <w:rPr>
                <w:sz w:val="24"/>
              </w:rPr>
              <w:t>Brahiterapie</w:t>
            </w:r>
          </w:p>
        </w:tc>
        <w:tc>
          <w:tcPr>
            <w:tcW w:w="1642" w:type="dxa"/>
          </w:tcPr>
          <w:p>
            <w:pPr>
              <w:pStyle w:val="TableParagraph"/>
              <w:spacing w:line="253" w:lineRule="exact"/>
              <w:ind w:left="107"/>
              <w:rPr>
                <w:sz w:val="24"/>
              </w:rPr>
            </w:pPr>
            <w:r>
              <w:rPr>
                <w:sz w:val="24"/>
              </w:rPr>
              <w:t>2</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Cercetare</w:t>
            </w:r>
          </w:p>
        </w:tc>
        <w:tc>
          <w:tcPr>
            <w:tcW w:w="1642" w:type="dxa"/>
          </w:tcPr>
          <w:p>
            <w:pPr>
              <w:pStyle w:val="TableParagraph"/>
              <w:spacing w:line="256" w:lineRule="exact"/>
              <w:ind w:left="107"/>
              <w:rPr>
                <w:sz w:val="24"/>
              </w:rPr>
            </w:pPr>
            <w:r>
              <w:rPr>
                <w:sz w:val="24"/>
              </w:rPr>
              <w:t>1</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Control nedistructiv</w:t>
            </w:r>
          </w:p>
        </w:tc>
        <w:tc>
          <w:tcPr>
            <w:tcW w:w="1642" w:type="dxa"/>
          </w:tcPr>
          <w:p>
            <w:pPr>
              <w:pStyle w:val="TableParagraph"/>
              <w:spacing w:line="256" w:lineRule="exact"/>
              <w:ind w:left="107"/>
              <w:rPr>
                <w:sz w:val="24"/>
              </w:rPr>
            </w:pPr>
            <w:r>
              <w:rPr>
                <w:sz w:val="24"/>
              </w:rPr>
              <w:t>2</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Radioterapie cu energii înalte</w:t>
            </w:r>
          </w:p>
        </w:tc>
        <w:tc>
          <w:tcPr>
            <w:tcW w:w="1642" w:type="dxa"/>
          </w:tcPr>
          <w:p>
            <w:pPr>
              <w:pStyle w:val="TableParagraph"/>
              <w:spacing w:line="256" w:lineRule="exact"/>
              <w:ind w:left="107"/>
              <w:rPr>
                <w:sz w:val="24"/>
              </w:rPr>
            </w:pPr>
            <w:r>
              <w:rPr>
                <w:sz w:val="24"/>
              </w:rPr>
              <w:t>2</w:t>
            </w:r>
          </w:p>
        </w:tc>
      </w:tr>
      <w:tr>
        <w:trPr>
          <w:trHeight w:val="278" w:hRule="atLeast"/>
        </w:trPr>
        <w:tc>
          <w:tcPr>
            <w:tcW w:w="1260" w:type="dxa"/>
            <w:vMerge/>
            <w:tcBorders>
              <w:top w:val="nil"/>
            </w:tcBorders>
          </w:tcPr>
          <w:p>
            <w:pPr>
              <w:rPr>
                <w:sz w:val="2"/>
                <w:szCs w:val="2"/>
              </w:rPr>
            </w:pPr>
          </w:p>
        </w:tc>
        <w:tc>
          <w:tcPr>
            <w:tcW w:w="3846" w:type="dxa"/>
          </w:tcPr>
          <w:p>
            <w:pPr>
              <w:pStyle w:val="TableParagraph"/>
              <w:spacing w:line="257" w:lineRule="exact" w:before="1"/>
              <w:ind w:left="107"/>
              <w:rPr>
                <w:sz w:val="24"/>
              </w:rPr>
            </w:pPr>
            <w:r>
              <w:rPr>
                <w:sz w:val="24"/>
              </w:rPr>
              <w:t>Radiodiagnostic veterinar</w:t>
            </w:r>
          </w:p>
        </w:tc>
        <w:tc>
          <w:tcPr>
            <w:tcW w:w="1642" w:type="dxa"/>
          </w:tcPr>
          <w:p>
            <w:pPr>
              <w:pStyle w:val="TableParagraph"/>
              <w:spacing w:line="257" w:lineRule="exact" w:before="1"/>
              <w:ind w:left="107"/>
              <w:rPr>
                <w:sz w:val="24"/>
              </w:rPr>
            </w:pPr>
            <w:r>
              <w:rPr>
                <w:sz w:val="24"/>
              </w:rPr>
              <w:t>1</w:t>
            </w:r>
          </w:p>
        </w:tc>
      </w:tr>
      <w:tr>
        <w:trPr>
          <w:trHeight w:val="290" w:hRule="atLeast"/>
        </w:trPr>
        <w:tc>
          <w:tcPr>
            <w:tcW w:w="1260" w:type="dxa"/>
          </w:tcPr>
          <w:p>
            <w:pPr>
              <w:pStyle w:val="TableParagraph"/>
              <w:spacing w:line="270" w:lineRule="exact"/>
              <w:ind w:left="107"/>
              <w:rPr>
                <w:sz w:val="24"/>
              </w:rPr>
            </w:pPr>
            <w:r>
              <w:rPr>
                <w:sz w:val="24"/>
              </w:rPr>
              <w:t>Călăra</w:t>
            </w:r>
            <w:r>
              <w:rPr>
                <w:rFonts w:ascii="Tahoma" w:hAnsi="Tahoma"/>
                <w:sz w:val="24"/>
              </w:rPr>
              <w:t>ș</w:t>
            </w:r>
            <w:r>
              <w:rPr>
                <w:sz w:val="24"/>
              </w:rPr>
              <w:t>i</w:t>
            </w:r>
          </w:p>
        </w:tc>
        <w:tc>
          <w:tcPr>
            <w:tcW w:w="3846" w:type="dxa"/>
          </w:tcPr>
          <w:p>
            <w:pPr>
              <w:pStyle w:val="TableParagraph"/>
              <w:spacing w:line="270" w:lineRule="exact"/>
              <w:ind w:left="107"/>
              <w:rPr>
                <w:sz w:val="24"/>
              </w:rPr>
            </w:pPr>
            <w:r>
              <w:rPr>
                <w:sz w:val="24"/>
              </w:rPr>
              <w:t>Radiodiagnostic</w:t>
            </w:r>
          </w:p>
        </w:tc>
        <w:tc>
          <w:tcPr>
            <w:tcW w:w="1642" w:type="dxa"/>
          </w:tcPr>
          <w:p>
            <w:pPr>
              <w:pStyle w:val="TableParagraph"/>
              <w:spacing w:line="270" w:lineRule="exact"/>
              <w:ind w:left="107"/>
              <w:rPr>
                <w:sz w:val="24"/>
              </w:rPr>
            </w:pPr>
            <w:r>
              <w:rPr>
                <w:sz w:val="24"/>
              </w:rPr>
              <w:t>4</w:t>
            </w:r>
          </w:p>
        </w:tc>
      </w:tr>
      <w:tr>
        <w:trPr>
          <w:trHeight w:val="278" w:hRule="atLeast"/>
        </w:trPr>
        <w:tc>
          <w:tcPr>
            <w:tcW w:w="1260" w:type="dxa"/>
          </w:tcPr>
          <w:p>
            <w:pPr>
              <w:pStyle w:val="TableParagraph"/>
              <w:spacing w:line="257" w:lineRule="exact" w:before="1"/>
              <w:ind w:left="107"/>
              <w:rPr>
                <w:sz w:val="24"/>
              </w:rPr>
            </w:pPr>
            <w:r>
              <w:rPr>
                <w:sz w:val="24"/>
              </w:rPr>
              <w:t>Giurgiu</w:t>
            </w:r>
          </w:p>
        </w:tc>
        <w:tc>
          <w:tcPr>
            <w:tcW w:w="3846" w:type="dxa"/>
          </w:tcPr>
          <w:p>
            <w:pPr>
              <w:pStyle w:val="TableParagraph"/>
              <w:spacing w:line="257" w:lineRule="exact" w:before="1"/>
              <w:ind w:left="107"/>
              <w:rPr>
                <w:sz w:val="24"/>
              </w:rPr>
            </w:pPr>
            <w:r>
              <w:rPr>
                <w:sz w:val="24"/>
              </w:rPr>
              <w:t>Radiodiagnostic</w:t>
            </w:r>
          </w:p>
        </w:tc>
        <w:tc>
          <w:tcPr>
            <w:tcW w:w="1642" w:type="dxa"/>
          </w:tcPr>
          <w:p>
            <w:pPr>
              <w:pStyle w:val="TableParagraph"/>
              <w:spacing w:line="257" w:lineRule="exact" w:before="1"/>
              <w:ind w:left="107"/>
              <w:rPr>
                <w:sz w:val="24"/>
              </w:rPr>
            </w:pPr>
            <w:r>
              <w:rPr>
                <w:sz w:val="24"/>
              </w:rPr>
              <w:t>3</w:t>
            </w:r>
          </w:p>
        </w:tc>
      </w:tr>
      <w:tr>
        <w:trPr>
          <w:trHeight w:val="290" w:hRule="atLeast"/>
        </w:trPr>
        <w:tc>
          <w:tcPr>
            <w:tcW w:w="1260" w:type="dxa"/>
          </w:tcPr>
          <w:p>
            <w:pPr>
              <w:pStyle w:val="TableParagraph"/>
              <w:spacing w:line="270" w:lineRule="exact"/>
              <w:ind w:left="107"/>
              <w:rPr>
                <w:sz w:val="24"/>
              </w:rPr>
            </w:pPr>
            <w:r>
              <w:rPr>
                <w:sz w:val="24"/>
              </w:rPr>
              <w:t>Ialomi</w:t>
            </w:r>
            <w:r>
              <w:rPr>
                <w:rFonts w:ascii="Tahoma" w:hAnsi="Tahoma"/>
                <w:sz w:val="24"/>
              </w:rPr>
              <w:t>ț</w:t>
            </w:r>
            <w:r>
              <w:rPr>
                <w:sz w:val="24"/>
              </w:rPr>
              <w:t>a</w:t>
            </w:r>
          </w:p>
        </w:tc>
        <w:tc>
          <w:tcPr>
            <w:tcW w:w="3846" w:type="dxa"/>
          </w:tcPr>
          <w:p>
            <w:pPr>
              <w:pStyle w:val="TableParagraph"/>
              <w:spacing w:line="270" w:lineRule="exact"/>
              <w:ind w:left="107"/>
              <w:rPr>
                <w:sz w:val="24"/>
              </w:rPr>
            </w:pPr>
            <w:r>
              <w:rPr>
                <w:sz w:val="24"/>
              </w:rPr>
              <w:t>Radiodiagnostic</w:t>
            </w:r>
          </w:p>
        </w:tc>
        <w:tc>
          <w:tcPr>
            <w:tcW w:w="1642" w:type="dxa"/>
          </w:tcPr>
          <w:p>
            <w:pPr>
              <w:pStyle w:val="TableParagraph"/>
              <w:spacing w:line="270" w:lineRule="exact"/>
              <w:ind w:left="107"/>
              <w:rPr>
                <w:sz w:val="24"/>
              </w:rPr>
            </w:pPr>
            <w:r>
              <w:rPr>
                <w:sz w:val="24"/>
              </w:rPr>
              <w:t>6</w:t>
            </w:r>
          </w:p>
        </w:tc>
      </w:tr>
      <w:tr>
        <w:trPr>
          <w:trHeight w:val="277" w:hRule="atLeast"/>
        </w:trPr>
        <w:tc>
          <w:tcPr>
            <w:tcW w:w="1260" w:type="dxa"/>
            <w:vMerge w:val="restart"/>
          </w:tcPr>
          <w:p>
            <w:pPr>
              <w:pStyle w:val="TableParagraph"/>
              <w:spacing w:before="3"/>
              <w:rPr>
                <w:sz w:val="37"/>
              </w:rPr>
            </w:pPr>
          </w:p>
          <w:p>
            <w:pPr>
              <w:pStyle w:val="TableParagraph"/>
              <w:ind w:left="107"/>
              <w:rPr>
                <w:sz w:val="24"/>
              </w:rPr>
            </w:pPr>
            <w:r>
              <w:rPr>
                <w:sz w:val="24"/>
              </w:rPr>
              <w:t>Ilfov</w:t>
            </w:r>
          </w:p>
        </w:tc>
        <w:tc>
          <w:tcPr>
            <w:tcW w:w="3846" w:type="dxa"/>
          </w:tcPr>
          <w:p>
            <w:pPr>
              <w:pStyle w:val="TableParagraph"/>
              <w:spacing w:line="257" w:lineRule="exact" w:before="1"/>
              <w:ind w:left="107"/>
              <w:rPr>
                <w:sz w:val="24"/>
              </w:rPr>
            </w:pPr>
            <w:r>
              <w:rPr>
                <w:sz w:val="24"/>
              </w:rPr>
              <w:t>Radiodiagnostic</w:t>
            </w:r>
          </w:p>
        </w:tc>
        <w:tc>
          <w:tcPr>
            <w:tcW w:w="1642" w:type="dxa"/>
          </w:tcPr>
          <w:p>
            <w:pPr>
              <w:pStyle w:val="TableParagraph"/>
              <w:spacing w:line="257" w:lineRule="exact" w:before="1"/>
              <w:ind w:left="107"/>
              <w:rPr>
                <w:sz w:val="24"/>
              </w:rPr>
            </w:pPr>
            <w:r>
              <w:rPr>
                <w:sz w:val="24"/>
              </w:rPr>
              <w:t>2</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Cercetare</w:t>
            </w:r>
          </w:p>
        </w:tc>
        <w:tc>
          <w:tcPr>
            <w:tcW w:w="1642" w:type="dxa"/>
          </w:tcPr>
          <w:p>
            <w:pPr>
              <w:pStyle w:val="TableParagraph"/>
              <w:spacing w:line="256" w:lineRule="exact"/>
              <w:ind w:left="107"/>
              <w:rPr>
                <w:sz w:val="24"/>
              </w:rPr>
            </w:pPr>
            <w:r>
              <w:rPr>
                <w:sz w:val="24"/>
              </w:rPr>
              <w:t>6</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Radioterapie cu energii înalte</w:t>
            </w:r>
          </w:p>
        </w:tc>
        <w:tc>
          <w:tcPr>
            <w:tcW w:w="1642" w:type="dxa"/>
          </w:tcPr>
          <w:p>
            <w:pPr>
              <w:pStyle w:val="TableParagraph"/>
              <w:spacing w:line="256" w:lineRule="exact"/>
              <w:ind w:left="107"/>
              <w:rPr>
                <w:sz w:val="24"/>
              </w:rPr>
            </w:pPr>
            <w:r>
              <w:rPr>
                <w:sz w:val="24"/>
              </w:rPr>
              <w:t>2</w:t>
            </w:r>
          </w:p>
        </w:tc>
      </w:tr>
      <w:tr>
        <w:trPr>
          <w:trHeight w:val="275" w:hRule="atLeast"/>
        </w:trPr>
        <w:tc>
          <w:tcPr>
            <w:tcW w:w="1260" w:type="dxa"/>
            <w:vMerge/>
            <w:tcBorders>
              <w:top w:val="nil"/>
            </w:tcBorders>
          </w:tcPr>
          <w:p>
            <w:pPr>
              <w:rPr>
                <w:sz w:val="2"/>
                <w:szCs w:val="2"/>
              </w:rPr>
            </w:pPr>
          </w:p>
        </w:tc>
        <w:tc>
          <w:tcPr>
            <w:tcW w:w="3846" w:type="dxa"/>
          </w:tcPr>
          <w:p>
            <w:pPr>
              <w:pStyle w:val="TableParagraph"/>
              <w:spacing w:line="256" w:lineRule="exact"/>
              <w:ind w:left="107"/>
              <w:rPr>
                <w:sz w:val="24"/>
              </w:rPr>
            </w:pPr>
            <w:r>
              <w:rPr>
                <w:sz w:val="24"/>
              </w:rPr>
              <w:t>Radiodiagnostic veterinar</w:t>
            </w:r>
          </w:p>
        </w:tc>
        <w:tc>
          <w:tcPr>
            <w:tcW w:w="1642" w:type="dxa"/>
          </w:tcPr>
          <w:p>
            <w:pPr>
              <w:pStyle w:val="TableParagraph"/>
              <w:spacing w:line="256" w:lineRule="exact"/>
              <w:ind w:left="107"/>
              <w:rPr>
                <w:sz w:val="24"/>
              </w:rPr>
            </w:pPr>
            <w:r>
              <w:rPr>
                <w:sz w:val="24"/>
              </w:rPr>
              <w:t>2</w:t>
            </w:r>
          </w:p>
        </w:tc>
      </w:tr>
      <w:tr>
        <w:trPr>
          <w:trHeight w:val="275" w:hRule="atLeast"/>
        </w:trPr>
        <w:tc>
          <w:tcPr>
            <w:tcW w:w="1260" w:type="dxa"/>
            <w:vMerge w:val="restart"/>
          </w:tcPr>
          <w:p>
            <w:pPr>
              <w:pStyle w:val="TableParagraph"/>
              <w:spacing w:before="143"/>
              <w:ind w:left="107"/>
              <w:rPr>
                <w:sz w:val="24"/>
              </w:rPr>
            </w:pPr>
            <w:r>
              <w:rPr>
                <w:sz w:val="24"/>
              </w:rPr>
              <w:t>Teleorman</w:t>
            </w:r>
          </w:p>
        </w:tc>
        <w:tc>
          <w:tcPr>
            <w:tcW w:w="3846" w:type="dxa"/>
          </w:tcPr>
          <w:p>
            <w:pPr>
              <w:pStyle w:val="TableParagraph"/>
              <w:spacing w:line="256" w:lineRule="exact"/>
              <w:ind w:left="107"/>
              <w:rPr>
                <w:sz w:val="24"/>
              </w:rPr>
            </w:pPr>
            <w:r>
              <w:rPr>
                <w:sz w:val="24"/>
              </w:rPr>
              <w:t>Radiodiagnostic</w:t>
            </w:r>
          </w:p>
        </w:tc>
        <w:tc>
          <w:tcPr>
            <w:tcW w:w="1642" w:type="dxa"/>
          </w:tcPr>
          <w:p>
            <w:pPr>
              <w:pStyle w:val="TableParagraph"/>
              <w:spacing w:line="256" w:lineRule="exact"/>
              <w:ind w:left="107"/>
              <w:rPr>
                <w:sz w:val="24"/>
              </w:rPr>
            </w:pPr>
            <w:r>
              <w:rPr>
                <w:sz w:val="24"/>
              </w:rPr>
              <w:t>8</w:t>
            </w:r>
          </w:p>
        </w:tc>
      </w:tr>
      <w:tr>
        <w:trPr>
          <w:trHeight w:val="278" w:hRule="atLeast"/>
        </w:trPr>
        <w:tc>
          <w:tcPr>
            <w:tcW w:w="1260" w:type="dxa"/>
            <w:vMerge/>
            <w:tcBorders>
              <w:top w:val="nil"/>
            </w:tcBorders>
          </w:tcPr>
          <w:p>
            <w:pPr>
              <w:rPr>
                <w:sz w:val="2"/>
                <w:szCs w:val="2"/>
              </w:rPr>
            </w:pPr>
          </w:p>
        </w:tc>
        <w:tc>
          <w:tcPr>
            <w:tcW w:w="3846" w:type="dxa"/>
          </w:tcPr>
          <w:p>
            <w:pPr>
              <w:pStyle w:val="TableParagraph"/>
              <w:spacing w:line="258" w:lineRule="exact"/>
              <w:ind w:left="107"/>
              <w:rPr>
                <w:sz w:val="24"/>
              </w:rPr>
            </w:pPr>
            <w:r>
              <w:rPr>
                <w:sz w:val="24"/>
              </w:rPr>
              <w:t>Control nedistructiv</w:t>
            </w:r>
          </w:p>
        </w:tc>
        <w:tc>
          <w:tcPr>
            <w:tcW w:w="1642" w:type="dxa"/>
          </w:tcPr>
          <w:p>
            <w:pPr>
              <w:pStyle w:val="TableParagraph"/>
              <w:spacing w:line="258" w:lineRule="exact"/>
              <w:ind w:left="107"/>
              <w:rPr>
                <w:sz w:val="24"/>
              </w:rPr>
            </w:pPr>
            <w:r>
              <w:rPr>
                <w:sz w:val="24"/>
              </w:rPr>
              <w:t>1</w:t>
            </w:r>
          </w:p>
        </w:tc>
      </w:tr>
    </w:tbl>
    <w:p>
      <w:pPr>
        <w:pStyle w:val="Heading1"/>
        <w:spacing w:before="227"/>
        <w:rPr>
          <w:u w:val="none"/>
        </w:rPr>
      </w:pPr>
      <w:r>
        <w:rPr>
          <w:u w:val="none"/>
        </w:rPr>
        <w:t>Activitatea de solutionare petitii</w:t>
      </w:r>
    </w:p>
    <w:p>
      <w:pPr>
        <w:pStyle w:val="BodyText"/>
        <w:spacing w:before="1"/>
        <w:ind w:left="233" w:right="1639"/>
      </w:pPr>
      <w:r>
        <w:rPr/>
        <w:t>Au fost înregistrate </w:t>
      </w:r>
      <w:r>
        <w:rPr>
          <w:rFonts w:ascii="Tahoma" w:hAnsi="Tahoma"/>
        </w:rPr>
        <w:t>ș</w:t>
      </w:r>
      <w:r>
        <w:rPr/>
        <w:t>i transmise, spre analiză, laboratorului 4 solicitări formulate conform legii 544/2001. Aceste solicitări au fost solu</w:t>
      </w:r>
      <w:r>
        <w:rPr>
          <w:rFonts w:ascii="Tahoma" w:hAnsi="Tahoma"/>
        </w:rPr>
        <w:t>ț</w:t>
      </w:r>
      <w:r>
        <w:rPr/>
        <w:t>ionate în termenul legal.</w:t>
      </w:r>
    </w:p>
    <w:p>
      <w:pPr>
        <w:pStyle w:val="Heading1"/>
        <w:rPr>
          <w:u w:val="none"/>
        </w:rPr>
      </w:pPr>
      <w:r>
        <w:rPr>
          <w:u w:val="none"/>
        </w:rPr>
        <w:t>Participare la instruiri si evenimente stiintifice</w:t>
      </w:r>
    </w:p>
    <w:p>
      <w:pPr>
        <w:pStyle w:val="BodyText"/>
        <w:spacing w:line="275" w:lineRule="exact" w:before="1"/>
        <w:ind w:left="233"/>
      </w:pPr>
      <w:r>
        <w:rPr/>
        <w:t>Personalul laboratorului a participat la următoarele evenimente:</w:t>
      </w:r>
    </w:p>
    <w:p>
      <w:pPr>
        <w:pStyle w:val="ListParagraph"/>
        <w:numPr>
          <w:ilvl w:val="0"/>
          <w:numId w:val="7"/>
        </w:numPr>
        <w:tabs>
          <w:tab w:pos="373" w:val="left" w:leader="none"/>
        </w:tabs>
        <w:spacing w:line="240" w:lineRule="auto" w:before="0" w:after="0"/>
        <w:ind w:left="233" w:right="1740" w:firstLine="0"/>
        <w:jc w:val="left"/>
        <w:rPr>
          <w:sz w:val="24"/>
        </w:rPr>
      </w:pPr>
      <w:r>
        <w:rPr>
          <w:sz w:val="24"/>
        </w:rPr>
        <w:t>a cincea conferin</w:t>
      </w:r>
      <w:r>
        <w:rPr>
          <w:rFonts w:ascii="Tahoma" w:hAnsi="Tahoma"/>
          <w:sz w:val="24"/>
        </w:rPr>
        <w:t>ț</w:t>
      </w:r>
      <w:r>
        <w:rPr>
          <w:sz w:val="24"/>
        </w:rPr>
        <w:t>ă interna</w:t>
      </w:r>
      <w:r>
        <w:rPr>
          <w:rFonts w:ascii="Tahoma" w:hAnsi="Tahoma"/>
          <w:sz w:val="24"/>
        </w:rPr>
        <w:t>ț</w:t>
      </w:r>
      <w:r>
        <w:rPr>
          <w:sz w:val="24"/>
        </w:rPr>
        <w:t>ională despre radia</w:t>
      </w:r>
      <w:r>
        <w:rPr>
          <w:rFonts w:ascii="Tahoma" w:hAnsi="Tahoma"/>
          <w:sz w:val="24"/>
        </w:rPr>
        <w:t>ț</w:t>
      </w:r>
      <w:r>
        <w:rPr>
          <w:sz w:val="24"/>
        </w:rPr>
        <w:t>ii </w:t>
      </w:r>
      <w:r>
        <w:rPr>
          <w:rFonts w:ascii="Tahoma" w:hAnsi="Tahoma"/>
          <w:sz w:val="24"/>
        </w:rPr>
        <w:t>ș</w:t>
      </w:r>
      <w:r>
        <w:rPr>
          <w:sz w:val="24"/>
        </w:rPr>
        <w:t>i aplica</w:t>
      </w:r>
      <w:r>
        <w:rPr>
          <w:rFonts w:ascii="Tahoma" w:hAnsi="Tahoma"/>
          <w:sz w:val="24"/>
        </w:rPr>
        <w:t>ț</w:t>
      </w:r>
      <w:r>
        <w:rPr>
          <w:sz w:val="24"/>
        </w:rPr>
        <w:t>iile acestora in diferite domenii de activitate RAD 2017 organizată în perioada</w:t>
      </w:r>
      <w:r>
        <w:rPr>
          <w:spacing w:val="-3"/>
          <w:sz w:val="24"/>
        </w:rPr>
        <w:t> </w:t>
      </w:r>
      <w:r>
        <w:rPr>
          <w:sz w:val="24"/>
        </w:rPr>
        <w:t>12-16.06.2017</w:t>
      </w:r>
    </w:p>
    <w:p>
      <w:pPr>
        <w:pStyle w:val="BodyText"/>
        <w:ind w:left="233" w:right="880"/>
      </w:pPr>
      <w:r>
        <w:rPr>
          <w:i/>
        </w:rPr>
        <w:t>- </w:t>
      </w:r>
      <w:r>
        <w:rPr/>
        <w:t>a treia ediţie a Conferinţei Naţionale de Medicină Nucleară, organizată simultan cu Simpozionul Internaţional Applying Radionuclides for Therapy (ART 2017), de Societatea Română de Medicină Nucleară şi Imagistică Moleculară, în perioada 26-28 octombrie 2017</w:t>
      </w:r>
    </w:p>
    <w:p>
      <w:pPr>
        <w:pStyle w:val="BodyText"/>
        <w:ind w:left="233" w:right="1412" w:firstLine="60"/>
      </w:pPr>
      <w:r>
        <w:rPr/>
        <w:t>Personalul laboratorului a participat la toate instruirile </w:t>
      </w:r>
      <w:r>
        <w:rPr>
          <w:rFonts w:ascii="Tahoma" w:hAnsi="Tahoma"/>
        </w:rPr>
        <w:t>ș</w:t>
      </w:r>
      <w:r>
        <w:rPr/>
        <w:t>i mesele rotunde, organizate de Institutul Na</w:t>
      </w:r>
      <w:r>
        <w:rPr>
          <w:rFonts w:ascii="Tahoma" w:hAnsi="Tahoma"/>
        </w:rPr>
        <w:t>ț</w:t>
      </w:r>
      <w:r>
        <w:rPr/>
        <w:t>ional de Sănătate Publică, cu privire la activită</w:t>
      </w:r>
      <w:r>
        <w:rPr>
          <w:rFonts w:ascii="Tahoma" w:hAnsi="Tahoma"/>
        </w:rPr>
        <w:t>ț</w:t>
      </w:r>
      <w:r>
        <w:rPr/>
        <w:t>ile din cadrul Programului National II.</w:t>
      </w:r>
    </w:p>
    <w:p>
      <w:pPr>
        <w:spacing w:after="0"/>
        <w:sectPr>
          <w:pgSz w:w="11910" w:h="16840"/>
          <w:pgMar w:header="0" w:footer="738" w:top="1340" w:bottom="920" w:left="900" w:right="0"/>
        </w:sectPr>
      </w:pPr>
    </w:p>
    <w:p>
      <w:pPr>
        <w:pStyle w:val="Heading1"/>
        <w:spacing w:before="68"/>
        <w:ind w:left="840"/>
        <w:rPr>
          <w:u w:val="none"/>
        </w:rPr>
      </w:pPr>
      <w:r>
        <w:rPr>
          <w:u w:val="thick"/>
        </w:rPr>
        <w:t>BIROUL RELATII CU PUBLICUL</w:t>
      </w:r>
    </w:p>
    <w:p>
      <w:pPr>
        <w:pStyle w:val="BodyText"/>
        <w:spacing w:before="1"/>
        <w:ind w:left="0"/>
        <w:rPr>
          <w:b/>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680"/>
        <w:gridCol w:w="1500"/>
        <w:gridCol w:w="1901"/>
        <w:gridCol w:w="2299"/>
        <w:gridCol w:w="1799"/>
        <w:gridCol w:w="1398"/>
      </w:tblGrid>
      <w:tr>
        <w:trPr>
          <w:trHeight w:val="1379" w:hRule="atLeast"/>
        </w:trPr>
        <w:tc>
          <w:tcPr>
            <w:tcW w:w="540" w:type="dxa"/>
          </w:tcPr>
          <w:p>
            <w:pPr>
              <w:pStyle w:val="TableParagraph"/>
              <w:ind w:left="114" w:right="85" w:hanging="3"/>
              <w:rPr>
                <w:sz w:val="24"/>
              </w:rPr>
            </w:pPr>
            <w:r>
              <w:rPr>
                <w:sz w:val="24"/>
              </w:rPr>
              <w:t>Nr. Crt</w:t>
            </w:r>
          </w:p>
        </w:tc>
        <w:tc>
          <w:tcPr>
            <w:tcW w:w="1680" w:type="dxa"/>
          </w:tcPr>
          <w:p>
            <w:pPr>
              <w:pStyle w:val="TableParagraph"/>
              <w:ind w:left="107" w:right="89"/>
              <w:rPr>
                <w:sz w:val="24"/>
              </w:rPr>
            </w:pPr>
            <w:r>
              <w:rPr>
                <w:sz w:val="24"/>
              </w:rPr>
              <w:t>Actiuni/Activit ati</w:t>
            </w:r>
          </w:p>
        </w:tc>
        <w:tc>
          <w:tcPr>
            <w:tcW w:w="1500" w:type="dxa"/>
          </w:tcPr>
          <w:p>
            <w:pPr>
              <w:pStyle w:val="TableParagraph"/>
              <w:ind w:left="189" w:right="180" w:firstLine="1"/>
              <w:jc w:val="center"/>
              <w:rPr>
                <w:sz w:val="24"/>
              </w:rPr>
            </w:pPr>
            <w:r>
              <w:rPr>
                <w:sz w:val="24"/>
              </w:rPr>
              <w:t>Data desfasurarii actiunii</w:t>
            </w:r>
          </w:p>
        </w:tc>
        <w:tc>
          <w:tcPr>
            <w:tcW w:w="1901" w:type="dxa"/>
          </w:tcPr>
          <w:p>
            <w:pPr>
              <w:pStyle w:val="TableParagraph"/>
              <w:ind w:left="108" w:right="670"/>
              <w:rPr>
                <w:sz w:val="24"/>
              </w:rPr>
            </w:pPr>
            <w:r>
              <w:rPr>
                <w:sz w:val="24"/>
              </w:rPr>
              <w:t>Locatia de derularea activitatii programate</w:t>
            </w:r>
          </w:p>
        </w:tc>
        <w:tc>
          <w:tcPr>
            <w:tcW w:w="2299" w:type="dxa"/>
          </w:tcPr>
          <w:p>
            <w:pPr>
              <w:pStyle w:val="TableParagraph"/>
              <w:spacing w:line="276" w:lineRule="exact" w:before="2"/>
              <w:ind w:left="108" w:right="255"/>
              <w:rPr>
                <w:sz w:val="24"/>
              </w:rPr>
            </w:pPr>
            <w:r>
              <w:rPr>
                <w:sz w:val="24"/>
              </w:rPr>
              <w:t>Institutiile participante la actiunile derulate in comun (cand este cazul)</w:t>
            </w:r>
          </w:p>
        </w:tc>
        <w:tc>
          <w:tcPr>
            <w:tcW w:w="1799" w:type="dxa"/>
          </w:tcPr>
          <w:p>
            <w:pPr>
              <w:pStyle w:val="TableParagraph"/>
              <w:spacing w:line="275" w:lineRule="exact"/>
              <w:ind w:left="109"/>
              <w:rPr>
                <w:sz w:val="24"/>
              </w:rPr>
            </w:pPr>
            <w:r>
              <w:rPr>
                <w:sz w:val="24"/>
              </w:rPr>
              <w:t>Masuri</w:t>
            </w:r>
          </w:p>
        </w:tc>
        <w:tc>
          <w:tcPr>
            <w:tcW w:w="1398" w:type="dxa"/>
          </w:tcPr>
          <w:p>
            <w:pPr>
              <w:pStyle w:val="TableParagraph"/>
              <w:ind w:left="110" w:right="125"/>
              <w:rPr>
                <w:sz w:val="24"/>
              </w:rPr>
            </w:pPr>
            <w:r>
              <w:rPr>
                <w:sz w:val="24"/>
              </w:rPr>
              <w:t>Stadiul de realizare al actiunii/acti vitatii</w:t>
            </w:r>
          </w:p>
        </w:tc>
      </w:tr>
      <w:tr>
        <w:trPr>
          <w:trHeight w:val="1378" w:hRule="atLeast"/>
        </w:trPr>
        <w:tc>
          <w:tcPr>
            <w:tcW w:w="540" w:type="dxa"/>
          </w:tcPr>
          <w:p>
            <w:pPr>
              <w:pStyle w:val="TableParagraph"/>
              <w:spacing w:before="8"/>
              <w:rPr>
                <w:b/>
                <w:sz w:val="23"/>
              </w:rPr>
            </w:pPr>
          </w:p>
          <w:p>
            <w:pPr>
              <w:pStyle w:val="TableParagraph"/>
              <w:ind w:left="7"/>
              <w:jc w:val="center"/>
              <w:rPr>
                <w:sz w:val="24"/>
              </w:rPr>
            </w:pPr>
            <w:r>
              <w:rPr>
                <w:sz w:val="24"/>
              </w:rPr>
              <w:t>1</w:t>
            </w:r>
          </w:p>
        </w:tc>
        <w:tc>
          <w:tcPr>
            <w:tcW w:w="1680" w:type="dxa"/>
          </w:tcPr>
          <w:p>
            <w:pPr>
              <w:pStyle w:val="TableParagraph"/>
              <w:ind w:left="107" w:right="96"/>
              <w:rPr>
                <w:sz w:val="24"/>
              </w:rPr>
            </w:pPr>
            <w:r>
              <w:rPr>
                <w:sz w:val="24"/>
              </w:rPr>
              <w:t>Monitorizare mijloace mass- media</w:t>
            </w:r>
          </w:p>
        </w:tc>
        <w:tc>
          <w:tcPr>
            <w:tcW w:w="1500" w:type="dxa"/>
          </w:tcPr>
          <w:p>
            <w:pPr>
              <w:pStyle w:val="TableParagraph"/>
              <w:spacing w:line="273" w:lineRule="exact"/>
              <w:ind w:left="482"/>
              <w:rPr>
                <w:sz w:val="24"/>
              </w:rPr>
            </w:pPr>
            <w:r>
              <w:rPr>
                <w:sz w:val="24"/>
              </w:rPr>
              <w:t>zilnic</w:t>
            </w:r>
          </w:p>
        </w:tc>
        <w:tc>
          <w:tcPr>
            <w:tcW w:w="1901" w:type="dxa"/>
          </w:tcPr>
          <w:p>
            <w:pPr>
              <w:pStyle w:val="TableParagraph"/>
              <w:spacing w:line="273" w:lineRule="exact"/>
              <w:ind w:left="149" w:right="141"/>
              <w:jc w:val="center"/>
              <w:rPr>
                <w:sz w:val="24"/>
              </w:rPr>
            </w:pPr>
            <w:r>
              <w:rPr>
                <w:sz w:val="24"/>
              </w:rPr>
              <w:t>Birou : Str.</w:t>
            </w:r>
          </w:p>
          <w:p>
            <w:pPr>
              <w:pStyle w:val="TableParagraph"/>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ind w:left="109" w:right="287"/>
              <w:rPr>
                <w:sz w:val="24"/>
              </w:rPr>
            </w:pPr>
            <w:r>
              <w:rPr>
                <w:sz w:val="24"/>
              </w:rPr>
              <w:t>Informarea conducerii asupra evenimentelor</w:t>
            </w:r>
          </w:p>
          <w:p>
            <w:pPr>
              <w:pStyle w:val="TableParagraph"/>
              <w:spacing w:line="257" w:lineRule="exact"/>
              <w:ind w:left="109"/>
              <w:rPr>
                <w:sz w:val="24"/>
              </w:rPr>
            </w:pPr>
            <w:r>
              <w:rPr>
                <w:sz w:val="24"/>
              </w:rPr>
              <w:t>din sanatate</w:t>
            </w:r>
          </w:p>
        </w:tc>
        <w:tc>
          <w:tcPr>
            <w:tcW w:w="1398" w:type="dxa"/>
          </w:tcPr>
          <w:p>
            <w:pPr>
              <w:pStyle w:val="TableParagraph"/>
              <w:spacing w:before="8"/>
              <w:rPr>
                <w:b/>
                <w:sz w:val="23"/>
              </w:rPr>
            </w:pPr>
          </w:p>
          <w:p>
            <w:pPr>
              <w:pStyle w:val="TableParagraph"/>
              <w:ind w:left="254"/>
              <w:rPr>
                <w:sz w:val="24"/>
              </w:rPr>
            </w:pPr>
            <w:r>
              <w:rPr>
                <w:sz w:val="24"/>
              </w:rPr>
              <w:t>finalizata</w:t>
            </w:r>
          </w:p>
        </w:tc>
      </w:tr>
      <w:tr>
        <w:trPr>
          <w:trHeight w:val="827" w:hRule="atLeast"/>
        </w:trPr>
        <w:tc>
          <w:tcPr>
            <w:tcW w:w="540" w:type="dxa"/>
          </w:tcPr>
          <w:p>
            <w:pPr>
              <w:pStyle w:val="TableParagraph"/>
              <w:spacing w:before="10"/>
              <w:rPr>
                <w:b/>
                <w:sz w:val="23"/>
              </w:rPr>
            </w:pPr>
          </w:p>
          <w:p>
            <w:pPr>
              <w:pStyle w:val="TableParagraph"/>
              <w:ind w:left="7"/>
              <w:jc w:val="center"/>
              <w:rPr>
                <w:sz w:val="24"/>
              </w:rPr>
            </w:pPr>
            <w:r>
              <w:rPr>
                <w:sz w:val="24"/>
              </w:rPr>
              <w:t>2</w:t>
            </w:r>
          </w:p>
        </w:tc>
        <w:tc>
          <w:tcPr>
            <w:tcW w:w="1680" w:type="dxa"/>
          </w:tcPr>
          <w:p>
            <w:pPr>
              <w:pStyle w:val="TableParagraph"/>
              <w:ind w:left="107" w:right="103"/>
              <w:rPr>
                <w:sz w:val="24"/>
              </w:rPr>
            </w:pPr>
            <w:r>
              <w:rPr>
                <w:sz w:val="24"/>
              </w:rPr>
              <w:t>Corespondenta si Curierat</w:t>
            </w:r>
          </w:p>
        </w:tc>
        <w:tc>
          <w:tcPr>
            <w:tcW w:w="1500" w:type="dxa"/>
          </w:tcPr>
          <w:p>
            <w:pPr>
              <w:pStyle w:val="TableParagraph"/>
              <w:spacing w:before="10"/>
              <w:rPr>
                <w:b/>
                <w:sz w:val="23"/>
              </w:rPr>
            </w:pPr>
          </w:p>
          <w:p>
            <w:pPr>
              <w:pStyle w:val="TableParagraph"/>
              <w:ind w:left="482"/>
              <w:rPr>
                <w:sz w:val="24"/>
              </w:rPr>
            </w:pPr>
            <w:r>
              <w:rPr>
                <w:sz w:val="24"/>
              </w:rPr>
              <w:t>zilnic</w:t>
            </w:r>
          </w:p>
        </w:tc>
        <w:tc>
          <w:tcPr>
            <w:tcW w:w="1901" w:type="dxa"/>
          </w:tcPr>
          <w:p>
            <w:pPr>
              <w:pStyle w:val="TableParagraph"/>
              <w:ind w:left="489" w:right="390" w:hanging="75"/>
              <w:rPr>
                <w:sz w:val="24"/>
              </w:rPr>
            </w:pPr>
            <w:r>
              <w:rPr>
                <w:sz w:val="24"/>
              </w:rPr>
              <w:t>Municipiul Bucuresti</w:t>
            </w:r>
          </w:p>
        </w:tc>
        <w:tc>
          <w:tcPr>
            <w:tcW w:w="2299" w:type="dxa"/>
          </w:tcPr>
          <w:p>
            <w:pPr>
              <w:pStyle w:val="TableParagraph"/>
              <w:spacing w:line="276" w:lineRule="exact" w:before="2"/>
              <w:ind w:left="108" w:right="288"/>
              <w:rPr>
                <w:sz w:val="24"/>
              </w:rPr>
            </w:pPr>
            <w:r>
              <w:rPr>
                <w:sz w:val="24"/>
              </w:rPr>
              <w:t>MS, Prefectura,Inst National de Expertiza etc.</w:t>
            </w:r>
          </w:p>
        </w:tc>
        <w:tc>
          <w:tcPr>
            <w:tcW w:w="1799" w:type="dxa"/>
          </w:tcPr>
          <w:p>
            <w:pPr>
              <w:pStyle w:val="TableParagraph"/>
              <w:spacing w:line="276" w:lineRule="exact" w:before="2"/>
              <w:ind w:left="109"/>
              <w:rPr>
                <w:sz w:val="24"/>
              </w:rPr>
            </w:pPr>
            <w:r>
              <w:rPr>
                <w:sz w:val="24"/>
              </w:rPr>
              <w:t>Finalizarea lucrarilor institutiei</w:t>
            </w:r>
          </w:p>
        </w:tc>
        <w:tc>
          <w:tcPr>
            <w:tcW w:w="1398" w:type="dxa"/>
          </w:tcPr>
          <w:p>
            <w:pPr>
              <w:pStyle w:val="TableParagraph"/>
              <w:spacing w:before="10"/>
              <w:rPr>
                <w:b/>
                <w:sz w:val="23"/>
              </w:rPr>
            </w:pPr>
          </w:p>
          <w:p>
            <w:pPr>
              <w:pStyle w:val="TableParagraph"/>
              <w:ind w:left="254"/>
              <w:rPr>
                <w:sz w:val="24"/>
              </w:rPr>
            </w:pPr>
            <w:r>
              <w:rPr>
                <w:sz w:val="24"/>
              </w:rPr>
              <w:t>finalizata</w:t>
            </w:r>
          </w:p>
        </w:tc>
      </w:tr>
      <w:tr>
        <w:trPr>
          <w:trHeight w:val="1101" w:hRule="atLeast"/>
        </w:trPr>
        <w:tc>
          <w:tcPr>
            <w:tcW w:w="540" w:type="dxa"/>
          </w:tcPr>
          <w:p>
            <w:pPr>
              <w:pStyle w:val="TableParagraph"/>
              <w:spacing w:before="8"/>
              <w:rPr>
                <w:b/>
                <w:sz w:val="23"/>
              </w:rPr>
            </w:pPr>
          </w:p>
          <w:p>
            <w:pPr>
              <w:pStyle w:val="TableParagraph"/>
              <w:ind w:left="7"/>
              <w:jc w:val="center"/>
              <w:rPr>
                <w:sz w:val="24"/>
              </w:rPr>
            </w:pPr>
            <w:r>
              <w:rPr>
                <w:sz w:val="24"/>
              </w:rPr>
              <w:t>3</w:t>
            </w:r>
          </w:p>
        </w:tc>
        <w:tc>
          <w:tcPr>
            <w:tcW w:w="1680" w:type="dxa"/>
          </w:tcPr>
          <w:p>
            <w:pPr>
              <w:pStyle w:val="TableParagraph"/>
              <w:spacing w:before="8"/>
              <w:rPr>
                <w:b/>
                <w:sz w:val="23"/>
              </w:rPr>
            </w:pPr>
          </w:p>
          <w:p>
            <w:pPr>
              <w:pStyle w:val="TableParagraph"/>
              <w:ind w:left="107" w:right="196"/>
              <w:rPr>
                <w:sz w:val="24"/>
              </w:rPr>
            </w:pPr>
            <w:r>
              <w:rPr>
                <w:sz w:val="24"/>
              </w:rPr>
              <w:t>Rezolvare petitii/sesizari</w:t>
            </w:r>
          </w:p>
        </w:tc>
        <w:tc>
          <w:tcPr>
            <w:tcW w:w="1500" w:type="dxa"/>
          </w:tcPr>
          <w:p>
            <w:pPr>
              <w:pStyle w:val="TableParagraph"/>
              <w:spacing w:before="8"/>
              <w:rPr>
                <w:b/>
                <w:sz w:val="23"/>
              </w:rPr>
            </w:pPr>
          </w:p>
          <w:p>
            <w:pPr>
              <w:pStyle w:val="TableParagraph"/>
              <w:ind w:left="482"/>
              <w:rPr>
                <w:sz w:val="24"/>
              </w:rPr>
            </w:pPr>
            <w:r>
              <w:rPr>
                <w:sz w:val="24"/>
              </w:rPr>
              <w:t>zilnic</w:t>
            </w:r>
          </w:p>
        </w:tc>
        <w:tc>
          <w:tcPr>
            <w:tcW w:w="1901" w:type="dxa"/>
          </w:tcPr>
          <w:p>
            <w:pPr>
              <w:pStyle w:val="TableParagraph"/>
              <w:spacing w:before="8"/>
              <w:rPr>
                <w:b/>
                <w:sz w:val="23"/>
              </w:rPr>
            </w:pPr>
          </w:p>
          <w:p>
            <w:pPr>
              <w:pStyle w:val="TableParagraph"/>
              <w:ind w:left="149" w:right="141"/>
              <w:jc w:val="center"/>
              <w:rPr>
                <w:sz w:val="24"/>
              </w:rPr>
            </w:pPr>
            <w:r>
              <w:rPr>
                <w:sz w:val="24"/>
              </w:rPr>
              <w:t>Birou : Str.</w:t>
            </w:r>
          </w:p>
          <w:p>
            <w:pPr>
              <w:pStyle w:val="TableParagraph"/>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ind w:left="109" w:right="580"/>
              <w:rPr>
                <w:sz w:val="24"/>
              </w:rPr>
            </w:pPr>
            <w:r>
              <w:rPr>
                <w:sz w:val="24"/>
              </w:rPr>
              <w:t>Dirijare, rezolvare, transmitere</w:t>
            </w:r>
          </w:p>
          <w:p>
            <w:pPr>
              <w:pStyle w:val="TableParagraph"/>
              <w:spacing w:line="257" w:lineRule="exact"/>
              <w:ind w:left="109"/>
              <w:rPr>
                <w:sz w:val="24"/>
              </w:rPr>
            </w:pPr>
            <w:r>
              <w:rPr>
                <w:sz w:val="24"/>
              </w:rPr>
              <w:t>raspuns petitii</w:t>
            </w:r>
          </w:p>
        </w:tc>
        <w:tc>
          <w:tcPr>
            <w:tcW w:w="1398" w:type="dxa"/>
          </w:tcPr>
          <w:p>
            <w:pPr>
              <w:pStyle w:val="TableParagraph"/>
              <w:ind w:left="254" w:right="111" w:hanging="111"/>
              <w:rPr>
                <w:sz w:val="24"/>
              </w:rPr>
            </w:pPr>
            <w:r>
              <w:rPr>
                <w:sz w:val="24"/>
              </w:rPr>
              <w:t>Total: 2127 finalizata</w:t>
            </w:r>
          </w:p>
        </w:tc>
      </w:tr>
      <w:tr>
        <w:trPr>
          <w:trHeight w:val="1106" w:hRule="atLeast"/>
        </w:trPr>
        <w:tc>
          <w:tcPr>
            <w:tcW w:w="540" w:type="dxa"/>
          </w:tcPr>
          <w:p>
            <w:pPr>
              <w:pStyle w:val="TableParagraph"/>
              <w:spacing w:before="1"/>
              <w:rPr>
                <w:b/>
                <w:sz w:val="24"/>
              </w:rPr>
            </w:pPr>
          </w:p>
          <w:p>
            <w:pPr>
              <w:pStyle w:val="TableParagraph"/>
              <w:ind w:left="7"/>
              <w:jc w:val="center"/>
              <w:rPr>
                <w:sz w:val="24"/>
              </w:rPr>
            </w:pPr>
            <w:r>
              <w:rPr>
                <w:sz w:val="24"/>
              </w:rPr>
              <w:t>4</w:t>
            </w:r>
          </w:p>
        </w:tc>
        <w:tc>
          <w:tcPr>
            <w:tcW w:w="1680" w:type="dxa"/>
          </w:tcPr>
          <w:p>
            <w:pPr>
              <w:pStyle w:val="TableParagraph"/>
              <w:spacing w:before="1"/>
              <w:ind w:left="107" w:right="290"/>
              <w:rPr>
                <w:sz w:val="24"/>
              </w:rPr>
            </w:pPr>
            <w:r>
              <w:rPr>
                <w:sz w:val="24"/>
              </w:rPr>
              <w:t>Monitorizare site </w:t>
            </w:r>
            <w:hyperlink r:id="rId47">
              <w:r>
                <w:rPr>
                  <w:sz w:val="24"/>
                </w:rPr>
                <w:t>www.ms.ro</w:t>
              </w:r>
            </w:hyperlink>
          </w:p>
        </w:tc>
        <w:tc>
          <w:tcPr>
            <w:tcW w:w="1500" w:type="dxa"/>
          </w:tcPr>
          <w:p>
            <w:pPr>
              <w:pStyle w:val="TableParagraph"/>
              <w:spacing w:before="1"/>
              <w:rPr>
                <w:b/>
                <w:sz w:val="24"/>
              </w:rPr>
            </w:pPr>
          </w:p>
          <w:p>
            <w:pPr>
              <w:pStyle w:val="TableParagraph"/>
              <w:ind w:left="482"/>
              <w:rPr>
                <w:sz w:val="24"/>
              </w:rPr>
            </w:pPr>
            <w:r>
              <w:rPr>
                <w:sz w:val="24"/>
              </w:rPr>
              <w:t>zilnic</w:t>
            </w:r>
          </w:p>
        </w:tc>
        <w:tc>
          <w:tcPr>
            <w:tcW w:w="1901" w:type="dxa"/>
          </w:tcPr>
          <w:p>
            <w:pPr>
              <w:pStyle w:val="TableParagraph"/>
              <w:spacing w:before="1"/>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spacing w:line="270" w:lineRule="atLeast" w:before="1"/>
              <w:ind w:left="108" w:right="201"/>
              <w:rPr>
                <w:sz w:val="24"/>
              </w:rPr>
            </w:pPr>
            <w:r>
              <w:rPr>
                <w:sz w:val="24"/>
              </w:rPr>
              <w:t>Birou Presa Ministerul Sanatatii, Spitalele din subordine</w:t>
            </w:r>
          </w:p>
        </w:tc>
        <w:tc>
          <w:tcPr>
            <w:tcW w:w="1799" w:type="dxa"/>
          </w:tcPr>
          <w:p>
            <w:pPr>
              <w:pStyle w:val="TableParagraph"/>
              <w:spacing w:line="270" w:lineRule="atLeast" w:before="1"/>
              <w:ind w:left="109" w:right="386"/>
              <w:rPr>
                <w:sz w:val="24"/>
              </w:rPr>
            </w:pPr>
            <w:r>
              <w:rPr>
                <w:sz w:val="24"/>
              </w:rPr>
              <w:t>Informatii asupra sistemului de sanatate</w:t>
            </w:r>
          </w:p>
        </w:tc>
        <w:tc>
          <w:tcPr>
            <w:tcW w:w="1398" w:type="dxa"/>
          </w:tcPr>
          <w:p>
            <w:pPr>
              <w:pStyle w:val="TableParagraph"/>
              <w:spacing w:before="1"/>
              <w:rPr>
                <w:b/>
                <w:sz w:val="24"/>
              </w:rPr>
            </w:pPr>
          </w:p>
          <w:p>
            <w:pPr>
              <w:pStyle w:val="TableParagraph"/>
              <w:ind w:left="254"/>
              <w:rPr>
                <w:sz w:val="24"/>
              </w:rPr>
            </w:pPr>
            <w:r>
              <w:rPr>
                <w:sz w:val="24"/>
              </w:rPr>
              <w:t>finalizata</w:t>
            </w:r>
          </w:p>
        </w:tc>
      </w:tr>
      <w:tr>
        <w:trPr>
          <w:trHeight w:val="1104" w:hRule="atLeast"/>
        </w:trPr>
        <w:tc>
          <w:tcPr>
            <w:tcW w:w="540" w:type="dxa"/>
          </w:tcPr>
          <w:p>
            <w:pPr>
              <w:pStyle w:val="TableParagraph"/>
              <w:spacing w:before="10"/>
              <w:rPr>
                <w:b/>
                <w:sz w:val="23"/>
              </w:rPr>
            </w:pPr>
          </w:p>
          <w:p>
            <w:pPr>
              <w:pStyle w:val="TableParagraph"/>
              <w:ind w:left="7"/>
              <w:jc w:val="center"/>
              <w:rPr>
                <w:sz w:val="24"/>
              </w:rPr>
            </w:pPr>
            <w:r>
              <w:rPr>
                <w:sz w:val="24"/>
              </w:rPr>
              <w:t>5</w:t>
            </w:r>
          </w:p>
        </w:tc>
        <w:tc>
          <w:tcPr>
            <w:tcW w:w="1680" w:type="dxa"/>
          </w:tcPr>
          <w:p>
            <w:pPr>
              <w:pStyle w:val="TableParagraph"/>
              <w:ind w:left="107" w:right="110"/>
              <w:rPr>
                <w:sz w:val="24"/>
              </w:rPr>
            </w:pPr>
            <w:r>
              <w:rPr>
                <w:sz w:val="24"/>
              </w:rPr>
              <w:t>Verificare, completare si actualizare site</w:t>
            </w:r>
          </w:p>
          <w:p>
            <w:pPr>
              <w:pStyle w:val="TableParagraph"/>
              <w:spacing w:line="257" w:lineRule="exact"/>
              <w:ind w:left="107"/>
              <w:rPr>
                <w:sz w:val="24"/>
              </w:rPr>
            </w:pPr>
            <w:r>
              <w:rPr>
                <w:sz w:val="24"/>
              </w:rPr>
              <w:t>DSPMB</w:t>
            </w:r>
          </w:p>
        </w:tc>
        <w:tc>
          <w:tcPr>
            <w:tcW w:w="1500" w:type="dxa"/>
          </w:tcPr>
          <w:p>
            <w:pPr>
              <w:pStyle w:val="TableParagraph"/>
              <w:spacing w:before="10"/>
              <w:rPr>
                <w:b/>
                <w:sz w:val="23"/>
              </w:rPr>
            </w:pPr>
          </w:p>
          <w:p>
            <w:pPr>
              <w:pStyle w:val="TableParagraph"/>
              <w:ind w:left="482"/>
              <w:rPr>
                <w:sz w:val="24"/>
              </w:rPr>
            </w:pPr>
            <w:r>
              <w:rPr>
                <w:sz w:val="24"/>
              </w:rPr>
              <w:t>zilnic</w:t>
            </w:r>
          </w:p>
        </w:tc>
        <w:tc>
          <w:tcPr>
            <w:tcW w:w="1901" w:type="dxa"/>
          </w:tcPr>
          <w:p>
            <w:pPr>
              <w:pStyle w:val="TableParagraph"/>
              <w:spacing w:line="275" w:lineRule="exact"/>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spacing w:line="275" w:lineRule="exact"/>
              <w:ind w:left="108"/>
              <w:rPr>
                <w:sz w:val="24"/>
              </w:rPr>
            </w:pPr>
            <w:r>
              <w:rPr>
                <w:sz w:val="24"/>
              </w:rPr>
              <w:t>Administrator Site</w:t>
            </w:r>
          </w:p>
        </w:tc>
        <w:tc>
          <w:tcPr>
            <w:tcW w:w="1799" w:type="dxa"/>
          </w:tcPr>
          <w:p>
            <w:pPr>
              <w:pStyle w:val="TableParagraph"/>
              <w:ind w:left="109"/>
              <w:rPr>
                <w:sz w:val="24"/>
              </w:rPr>
            </w:pPr>
            <w:r>
              <w:rPr>
                <w:sz w:val="24"/>
              </w:rPr>
              <w:t>Actualizare date DSPMB si</w:t>
            </w:r>
          </w:p>
          <w:p>
            <w:pPr>
              <w:pStyle w:val="TableParagraph"/>
              <w:spacing w:line="270" w:lineRule="atLeast"/>
              <w:ind w:left="109" w:right="486"/>
              <w:rPr>
                <w:sz w:val="24"/>
              </w:rPr>
            </w:pPr>
            <w:r>
              <w:rPr>
                <w:sz w:val="24"/>
              </w:rPr>
              <w:t>unitati subordonate</w:t>
            </w:r>
          </w:p>
        </w:tc>
        <w:tc>
          <w:tcPr>
            <w:tcW w:w="1398" w:type="dxa"/>
          </w:tcPr>
          <w:p>
            <w:pPr>
              <w:pStyle w:val="TableParagraph"/>
              <w:spacing w:before="10"/>
              <w:rPr>
                <w:b/>
                <w:sz w:val="23"/>
              </w:rPr>
            </w:pPr>
          </w:p>
          <w:p>
            <w:pPr>
              <w:pStyle w:val="TableParagraph"/>
              <w:ind w:left="203"/>
              <w:rPr>
                <w:sz w:val="24"/>
              </w:rPr>
            </w:pPr>
            <w:r>
              <w:rPr>
                <w:sz w:val="24"/>
              </w:rPr>
              <w:t>Total: 449</w:t>
            </w:r>
          </w:p>
        </w:tc>
      </w:tr>
      <w:tr>
        <w:trPr>
          <w:trHeight w:val="1655" w:hRule="atLeast"/>
        </w:trPr>
        <w:tc>
          <w:tcPr>
            <w:tcW w:w="540" w:type="dxa"/>
          </w:tcPr>
          <w:p>
            <w:pPr>
              <w:pStyle w:val="TableParagraph"/>
              <w:spacing w:before="10"/>
              <w:rPr>
                <w:b/>
                <w:sz w:val="23"/>
              </w:rPr>
            </w:pPr>
          </w:p>
          <w:p>
            <w:pPr>
              <w:pStyle w:val="TableParagraph"/>
              <w:ind w:left="7"/>
              <w:jc w:val="center"/>
              <w:rPr>
                <w:sz w:val="24"/>
              </w:rPr>
            </w:pPr>
            <w:r>
              <w:rPr>
                <w:sz w:val="24"/>
              </w:rPr>
              <w:t>6</w:t>
            </w:r>
          </w:p>
        </w:tc>
        <w:tc>
          <w:tcPr>
            <w:tcW w:w="1680" w:type="dxa"/>
          </w:tcPr>
          <w:p>
            <w:pPr>
              <w:pStyle w:val="TableParagraph"/>
              <w:ind w:left="107" w:right="89"/>
              <w:rPr>
                <w:sz w:val="24"/>
              </w:rPr>
            </w:pPr>
            <w:r>
              <w:rPr>
                <w:sz w:val="24"/>
              </w:rPr>
              <w:t>Acordare informatii conform Legii 544/2006</w:t>
            </w:r>
          </w:p>
        </w:tc>
        <w:tc>
          <w:tcPr>
            <w:tcW w:w="1500" w:type="dxa"/>
          </w:tcPr>
          <w:p>
            <w:pPr>
              <w:pStyle w:val="TableParagraph"/>
              <w:spacing w:before="10"/>
              <w:rPr>
                <w:b/>
                <w:sz w:val="23"/>
              </w:rPr>
            </w:pPr>
          </w:p>
          <w:p>
            <w:pPr>
              <w:pStyle w:val="TableParagraph"/>
              <w:ind w:left="482"/>
              <w:rPr>
                <w:sz w:val="24"/>
              </w:rPr>
            </w:pPr>
            <w:r>
              <w:rPr>
                <w:sz w:val="24"/>
              </w:rPr>
              <w:t>zilnic</w:t>
            </w:r>
          </w:p>
        </w:tc>
        <w:tc>
          <w:tcPr>
            <w:tcW w:w="1901" w:type="dxa"/>
          </w:tcPr>
          <w:p>
            <w:pPr>
              <w:pStyle w:val="TableParagraph"/>
              <w:spacing w:line="275" w:lineRule="exact"/>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spacing w:line="276" w:lineRule="exact" w:before="2"/>
              <w:ind w:left="109" w:right="426"/>
              <w:rPr>
                <w:sz w:val="24"/>
              </w:rPr>
            </w:pPr>
            <w:r>
              <w:rPr>
                <w:sz w:val="24"/>
              </w:rPr>
              <w:t>Informatii asupra activitatii DSPMB si a institutiilor subordonate.</w:t>
            </w:r>
          </w:p>
        </w:tc>
        <w:tc>
          <w:tcPr>
            <w:tcW w:w="1398" w:type="dxa"/>
          </w:tcPr>
          <w:p>
            <w:pPr>
              <w:pStyle w:val="TableParagraph"/>
              <w:spacing w:before="10"/>
              <w:rPr>
                <w:b/>
                <w:sz w:val="23"/>
              </w:rPr>
            </w:pPr>
          </w:p>
          <w:p>
            <w:pPr>
              <w:pStyle w:val="TableParagraph"/>
              <w:ind w:left="340" w:right="308" w:firstLine="74"/>
              <w:rPr>
                <w:sz w:val="24"/>
              </w:rPr>
            </w:pPr>
            <w:r>
              <w:rPr>
                <w:sz w:val="24"/>
              </w:rPr>
              <w:t>Total: 251988</w:t>
            </w:r>
          </w:p>
        </w:tc>
      </w:tr>
      <w:tr>
        <w:trPr>
          <w:trHeight w:val="550" w:hRule="atLeast"/>
        </w:trPr>
        <w:tc>
          <w:tcPr>
            <w:tcW w:w="540" w:type="dxa"/>
          </w:tcPr>
          <w:p>
            <w:pPr>
              <w:pStyle w:val="TableParagraph"/>
              <w:spacing w:before="8"/>
              <w:rPr>
                <w:b/>
                <w:sz w:val="23"/>
              </w:rPr>
            </w:pPr>
          </w:p>
          <w:p>
            <w:pPr>
              <w:pStyle w:val="TableParagraph"/>
              <w:spacing w:line="257" w:lineRule="exact"/>
              <w:ind w:left="7"/>
              <w:jc w:val="center"/>
              <w:rPr>
                <w:sz w:val="24"/>
              </w:rPr>
            </w:pPr>
            <w:r>
              <w:rPr>
                <w:sz w:val="24"/>
              </w:rPr>
              <w:t>7</w:t>
            </w:r>
          </w:p>
        </w:tc>
        <w:tc>
          <w:tcPr>
            <w:tcW w:w="1680" w:type="dxa"/>
          </w:tcPr>
          <w:p>
            <w:pPr>
              <w:pStyle w:val="TableParagraph"/>
              <w:spacing w:line="276" w:lineRule="exact"/>
              <w:ind w:left="107" w:right="110"/>
              <w:rPr>
                <w:sz w:val="24"/>
              </w:rPr>
            </w:pPr>
            <w:r>
              <w:rPr>
                <w:sz w:val="24"/>
              </w:rPr>
              <w:t>Monitorizare,v erificare,</w:t>
            </w:r>
          </w:p>
        </w:tc>
        <w:tc>
          <w:tcPr>
            <w:tcW w:w="1500" w:type="dxa"/>
          </w:tcPr>
          <w:p>
            <w:pPr>
              <w:pStyle w:val="TableParagraph"/>
              <w:spacing w:before="8"/>
              <w:rPr>
                <w:b/>
                <w:sz w:val="23"/>
              </w:rPr>
            </w:pPr>
          </w:p>
          <w:p>
            <w:pPr>
              <w:pStyle w:val="TableParagraph"/>
              <w:spacing w:line="257" w:lineRule="exact"/>
              <w:ind w:left="482"/>
              <w:rPr>
                <w:sz w:val="24"/>
              </w:rPr>
            </w:pPr>
            <w:r>
              <w:rPr>
                <w:sz w:val="24"/>
              </w:rPr>
              <w:t>zilnic</w:t>
            </w:r>
          </w:p>
        </w:tc>
        <w:tc>
          <w:tcPr>
            <w:tcW w:w="1901" w:type="dxa"/>
          </w:tcPr>
          <w:p>
            <w:pPr>
              <w:pStyle w:val="TableParagraph"/>
              <w:spacing w:before="8"/>
              <w:rPr>
                <w:b/>
                <w:sz w:val="23"/>
              </w:rPr>
            </w:pPr>
          </w:p>
          <w:p>
            <w:pPr>
              <w:pStyle w:val="TableParagraph"/>
              <w:spacing w:line="257" w:lineRule="exact"/>
              <w:ind w:left="444"/>
              <w:rPr>
                <w:sz w:val="24"/>
              </w:rPr>
            </w:pPr>
            <w:r>
              <w:rPr>
                <w:sz w:val="24"/>
              </w:rPr>
              <w:t>Birou: Str.</w:t>
            </w:r>
          </w:p>
        </w:tc>
        <w:tc>
          <w:tcPr>
            <w:tcW w:w="2299" w:type="dxa"/>
          </w:tcPr>
          <w:p>
            <w:pPr>
              <w:pStyle w:val="TableParagraph"/>
              <w:rPr>
                <w:sz w:val="24"/>
              </w:rPr>
            </w:pPr>
          </w:p>
        </w:tc>
        <w:tc>
          <w:tcPr>
            <w:tcW w:w="1799" w:type="dxa"/>
          </w:tcPr>
          <w:p>
            <w:pPr>
              <w:pStyle w:val="TableParagraph"/>
              <w:spacing w:line="276" w:lineRule="exact"/>
              <w:ind w:left="109" w:right="640"/>
              <w:rPr>
                <w:sz w:val="24"/>
              </w:rPr>
            </w:pPr>
            <w:r>
              <w:rPr>
                <w:sz w:val="24"/>
              </w:rPr>
              <w:t>Dirijare informatii,</w:t>
            </w:r>
          </w:p>
        </w:tc>
        <w:tc>
          <w:tcPr>
            <w:tcW w:w="1398" w:type="dxa"/>
          </w:tcPr>
          <w:p>
            <w:pPr>
              <w:pStyle w:val="TableParagraph"/>
              <w:spacing w:line="276" w:lineRule="exact"/>
              <w:ind w:left="254" w:right="111" w:hanging="111"/>
              <w:rPr>
                <w:sz w:val="24"/>
              </w:rPr>
            </w:pPr>
            <w:r>
              <w:rPr>
                <w:sz w:val="24"/>
              </w:rPr>
              <w:t>Total: 4266 finalizata</w:t>
            </w:r>
          </w:p>
        </w:tc>
      </w:tr>
    </w:tbl>
    <w:p>
      <w:pPr>
        <w:spacing w:after="0" w:line="276" w:lineRule="exact"/>
        <w:rPr>
          <w:sz w:val="24"/>
        </w:rPr>
        <w:sectPr>
          <w:footerReference w:type="default" r:id="rId46"/>
          <w:pgSz w:w="16840" w:h="11910" w:orient="landscape"/>
          <w:pgMar w:footer="658" w:header="0" w:top="760" w:bottom="840" w:left="600" w:right="2420"/>
          <w:pgNumType w:start="40"/>
        </w:sect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680"/>
        <w:gridCol w:w="1500"/>
        <w:gridCol w:w="1901"/>
        <w:gridCol w:w="2299"/>
        <w:gridCol w:w="1799"/>
        <w:gridCol w:w="1398"/>
      </w:tblGrid>
      <w:tr>
        <w:trPr>
          <w:trHeight w:val="828" w:hRule="atLeast"/>
        </w:trPr>
        <w:tc>
          <w:tcPr>
            <w:tcW w:w="540" w:type="dxa"/>
          </w:tcPr>
          <w:p>
            <w:pPr>
              <w:pStyle w:val="TableParagraph"/>
              <w:rPr>
                <w:sz w:val="24"/>
              </w:rPr>
            </w:pPr>
          </w:p>
        </w:tc>
        <w:tc>
          <w:tcPr>
            <w:tcW w:w="1680" w:type="dxa"/>
          </w:tcPr>
          <w:p>
            <w:pPr>
              <w:pStyle w:val="TableParagraph"/>
              <w:spacing w:line="275" w:lineRule="exact"/>
              <w:ind w:left="107"/>
              <w:rPr>
                <w:sz w:val="24"/>
              </w:rPr>
            </w:pPr>
            <w:r>
              <w:rPr>
                <w:sz w:val="24"/>
              </w:rPr>
              <w:t>inregistrare si</w:t>
            </w:r>
          </w:p>
          <w:p>
            <w:pPr>
              <w:pStyle w:val="TableParagraph"/>
              <w:spacing w:line="270" w:lineRule="atLeast"/>
              <w:ind w:left="107" w:right="169"/>
              <w:rPr>
                <w:sz w:val="24"/>
              </w:rPr>
            </w:pPr>
            <w:r>
              <w:rPr>
                <w:sz w:val="24"/>
              </w:rPr>
              <w:t>directionare e- mail-uri sosite</w:t>
            </w:r>
          </w:p>
        </w:tc>
        <w:tc>
          <w:tcPr>
            <w:tcW w:w="1500" w:type="dxa"/>
          </w:tcPr>
          <w:p>
            <w:pPr>
              <w:pStyle w:val="TableParagraph"/>
              <w:rPr>
                <w:sz w:val="24"/>
              </w:rPr>
            </w:pPr>
          </w:p>
        </w:tc>
        <w:tc>
          <w:tcPr>
            <w:tcW w:w="1901" w:type="dxa"/>
          </w:tcPr>
          <w:p>
            <w:pPr>
              <w:pStyle w:val="TableParagraph"/>
              <w:spacing w:line="275" w:lineRule="exact"/>
              <w:ind w:left="170"/>
              <w:rPr>
                <w:sz w:val="24"/>
              </w:rPr>
            </w:pPr>
            <w:r>
              <w:rPr>
                <w:sz w:val="24"/>
              </w:rPr>
              <w:t>Avrig, nr. 72-74</w:t>
            </w:r>
          </w:p>
        </w:tc>
        <w:tc>
          <w:tcPr>
            <w:tcW w:w="2299" w:type="dxa"/>
          </w:tcPr>
          <w:p>
            <w:pPr>
              <w:pStyle w:val="TableParagraph"/>
              <w:rPr>
                <w:sz w:val="24"/>
              </w:rPr>
            </w:pPr>
          </w:p>
        </w:tc>
        <w:tc>
          <w:tcPr>
            <w:tcW w:w="1799" w:type="dxa"/>
          </w:tcPr>
          <w:p>
            <w:pPr>
              <w:pStyle w:val="TableParagraph"/>
              <w:ind w:left="109" w:right="313"/>
              <w:rPr>
                <w:sz w:val="24"/>
              </w:rPr>
            </w:pPr>
            <w:r>
              <w:rPr>
                <w:sz w:val="24"/>
              </w:rPr>
              <w:t>rezolvare petitii/sesizari</w:t>
            </w:r>
          </w:p>
        </w:tc>
        <w:tc>
          <w:tcPr>
            <w:tcW w:w="1398" w:type="dxa"/>
          </w:tcPr>
          <w:p>
            <w:pPr>
              <w:pStyle w:val="TableParagraph"/>
              <w:rPr>
                <w:sz w:val="24"/>
              </w:rPr>
            </w:pPr>
          </w:p>
        </w:tc>
      </w:tr>
      <w:tr>
        <w:trPr>
          <w:trHeight w:val="1103" w:hRule="atLeast"/>
        </w:trPr>
        <w:tc>
          <w:tcPr>
            <w:tcW w:w="540" w:type="dxa"/>
          </w:tcPr>
          <w:p>
            <w:pPr>
              <w:pStyle w:val="TableParagraph"/>
              <w:spacing w:before="10"/>
              <w:rPr>
                <w:b/>
                <w:sz w:val="23"/>
              </w:rPr>
            </w:pPr>
          </w:p>
          <w:p>
            <w:pPr>
              <w:pStyle w:val="TableParagraph"/>
              <w:ind w:right="199"/>
              <w:jc w:val="right"/>
              <w:rPr>
                <w:sz w:val="24"/>
              </w:rPr>
            </w:pPr>
            <w:r>
              <w:rPr>
                <w:sz w:val="24"/>
              </w:rPr>
              <w:t>8</w:t>
            </w:r>
          </w:p>
        </w:tc>
        <w:tc>
          <w:tcPr>
            <w:tcW w:w="1680" w:type="dxa"/>
          </w:tcPr>
          <w:p>
            <w:pPr>
              <w:pStyle w:val="TableParagraph"/>
              <w:ind w:left="107" w:right="190"/>
              <w:rPr>
                <w:sz w:val="24"/>
              </w:rPr>
            </w:pPr>
            <w:r>
              <w:rPr>
                <w:sz w:val="24"/>
              </w:rPr>
              <w:t>Colaborare cu alte institutii publice</w:t>
            </w:r>
          </w:p>
        </w:tc>
        <w:tc>
          <w:tcPr>
            <w:tcW w:w="1500" w:type="dxa"/>
          </w:tcPr>
          <w:p>
            <w:pPr>
              <w:pStyle w:val="TableParagraph"/>
              <w:spacing w:before="10"/>
              <w:rPr>
                <w:b/>
                <w:sz w:val="23"/>
              </w:rPr>
            </w:pPr>
          </w:p>
          <w:p>
            <w:pPr>
              <w:pStyle w:val="TableParagraph"/>
              <w:ind w:left="187" w:right="177"/>
              <w:jc w:val="center"/>
              <w:rPr>
                <w:sz w:val="24"/>
              </w:rPr>
            </w:pPr>
            <w:r>
              <w:rPr>
                <w:sz w:val="24"/>
              </w:rPr>
              <w:t>zilnic</w:t>
            </w:r>
          </w:p>
        </w:tc>
        <w:tc>
          <w:tcPr>
            <w:tcW w:w="1901" w:type="dxa"/>
          </w:tcPr>
          <w:p>
            <w:pPr>
              <w:pStyle w:val="TableParagraph"/>
              <w:spacing w:before="10"/>
              <w:rPr>
                <w:b/>
                <w:sz w:val="23"/>
              </w:rPr>
            </w:pPr>
          </w:p>
          <w:p>
            <w:pPr>
              <w:pStyle w:val="TableParagraph"/>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spacing w:before="10"/>
              <w:rPr>
                <w:b/>
                <w:sz w:val="23"/>
              </w:rPr>
            </w:pPr>
          </w:p>
          <w:p>
            <w:pPr>
              <w:pStyle w:val="TableParagraph"/>
              <w:ind w:left="109"/>
              <w:rPr>
                <w:sz w:val="24"/>
              </w:rPr>
            </w:pPr>
            <w:r>
              <w:rPr>
                <w:sz w:val="24"/>
              </w:rPr>
              <w:t>MI,MS,PMB,</w:t>
            </w:r>
          </w:p>
          <w:p>
            <w:pPr>
              <w:pStyle w:val="TableParagraph"/>
              <w:spacing w:line="270" w:lineRule="atLeast"/>
              <w:ind w:left="109"/>
              <w:rPr>
                <w:sz w:val="24"/>
              </w:rPr>
            </w:pPr>
            <w:r>
              <w:rPr>
                <w:sz w:val="24"/>
              </w:rPr>
              <w:t>Prefectura, ISMB,MEN etc.</w:t>
            </w:r>
          </w:p>
        </w:tc>
        <w:tc>
          <w:tcPr>
            <w:tcW w:w="1398" w:type="dxa"/>
          </w:tcPr>
          <w:p>
            <w:pPr>
              <w:pStyle w:val="TableParagraph"/>
              <w:spacing w:before="10"/>
              <w:rPr>
                <w:b/>
                <w:sz w:val="23"/>
              </w:rPr>
            </w:pPr>
          </w:p>
          <w:p>
            <w:pPr>
              <w:pStyle w:val="TableParagraph"/>
              <w:ind w:right="239"/>
              <w:jc w:val="right"/>
              <w:rPr>
                <w:sz w:val="24"/>
              </w:rPr>
            </w:pPr>
            <w:r>
              <w:rPr>
                <w:sz w:val="24"/>
              </w:rPr>
              <w:t>finalizata</w:t>
            </w:r>
          </w:p>
        </w:tc>
      </w:tr>
      <w:tr>
        <w:trPr>
          <w:trHeight w:val="1104" w:hRule="atLeast"/>
        </w:trPr>
        <w:tc>
          <w:tcPr>
            <w:tcW w:w="540" w:type="dxa"/>
          </w:tcPr>
          <w:p>
            <w:pPr>
              <w:pStyle w:val="TableParagraph"/>
              <w:spacing w:before="10"/>
              <w:rPr>
                <w:b/>
                <w:sz w:val="23"/>
              </w:rPr>
            </w:pPr>
          </w:p>
          <w:p>
            <w:pPr>
              <w:pStyle w:val="TableParagraph"/>
              <w:ind w:right="199"/>
              <w:jc w:val="right"/>
              <w:rPr>
                <w:sz w:val="24"/>
              </w:rPr>
            </w:pPr>
            <w:r>
              <w:rPr>
                <w:sz w:val="24"/>
              </w:rPr>
              <w:t>9</w:t>
            </w:r>
          </w:p>
        </w:tc>
        <w:tc>
          <w:tcPr>
            <w:tcW w:w="1680" w:type="dxa"/>
          </w:tcPr>
          <w:p>
            <w:pPr>
              <w:pStyle w:val="TableParagraph"/>
              <w:ind w:left="107" w:right="650"/>
              <w:rPr>
                <w:sz w:val="24"/>
              </w:rPr>
            </w:pPr>
            <w:r>
              <w:rPr>
                <w:sz w:val="24"/>
              </w:rPr>
              <w:t>Acordare audiente</w:t>
            </w:r>
          </w:p>
        </w:tc>
        <w:tc>
          <w:tcPr>
            <w:tcW w:w="1500" w:type="dxa"/>
          </w:tcPr>
          <w:p>
            <w:pPr>
              <w:pStyle w:val="TableParagraph"/>
              <w:spacing w:line="275" w:lineRule="exact"/>
              <w:ind w:left="187" w:right="183"/>
              <w:jc w:val="center"/>
              <w:rPr>
                <w:sz w:val="24"/>
              </w:rPr>
            </w:pPr>
            <w:r>
              <w:rPr>
                <w:sz w:val="24"/>
              </w:rPr>
              <w:t>saptamanal</w:t>
            </w:r>
          </w:p>
        </w:tc>
        <w:tc>
          <w:tcPr>
            <w:tcW w:w="1901" w:type="dxa"/>
          </w:tcPr>
          <w:p>
            <w:pPr>
              <w:pStyle w:val="TableParagraph"/>
              <w:ind w:left="281" w:right="270" w:hanging="2"/>
              <w:jc w:val="center"/>
              <w:rPr>
                <w:sz w:val="24"/>
              </w:rPr>
            </w:pPr>
            <w:r>
              <w:rPr>
                <w:sz w:val="24"/>
              </w:rPr>
              <w:t>sala consiliu: Str. Avrig, nr.</w:t>
            </w:r>
          </w:p>
          <w:p>
            <w:pPr>
              <w:pStyle w:val="TableParagraph"/>
              <w:ind w:left="149" w:right="141"/>
              <w:jc w:val="center"/>
              <w:rPr>
                <w:sz w:val="24"/>
              </w:rPr>
            </w:pPr>
            <w:r>
              <w:rPr>
                <w:sz w:val="24"/>
              </w:rPr>
              <w:t>72-74</w:t>
            </w:r>
          </w:p>
        </w:tc>
        <w:tc>
          <w:tcPr>
            <w:tcW w:w="2299" w:type="dxa"/>
          </w:tcPr>
          <w:p>
            <w:pPr>
              <w:pStyle w:val="TableParagraph"/>
              <w:spacing w:line="275" w:lineRule="exact"/>
              <w:ind w:left="108"/>
              <w:rPr>
                <w:sz w:val="24"/>
              </w:rPr>
            </w:pPr>
            <w:r>
              <w:rPr>
                <w:sz w:val="24"/>
              </w:rPr>
              <w:t>Comisie de audienta</w:t>
            </w:r>
          </w:p>
        </w:tc>
        <w:tc>
          <w:tcPr>
            <w:tcW w:w="1799" w:type="dxa"/>
          </w:tcPr>
          <w:p>
            <w:pPr>
              <w:pStyle w:val="TableParagraph"/>
              <w:ind w:left="109" w:right="767"/>
              <w:rPr>
                <w:sz w:val="24"/>
              </w:rPr>
            </w:pPr>
            <w:r>
              <w:rPr>
                <w:sz w:val="24"/>
              </w:rPr>
              <w:t>Audiere, dirijare, rezolvare</w:t>
            </w:r>
          </w:p>
          <w:p>
            <w:pPr>
              <w:pStyle w:val="TableParagraph"/>
              <w:spacing w:line="257" w:lineRule="exact"/>
              <w:ind w:left="109"/>
              <w:rPr>
                <w:sz w:val="24"/>
              </w:rPr>
            </w:pPr>
            <w:r>
              <w:rPr>
                <w:sz w:val="24"/>
              </w:rPr>
              <w:t>sesizare</w:t>
            </w:r>
          </w:p>
        </w:tc>
        <w:tc>
          <w:tcPr>
            <w:tcW w:w="1398" w:type="dxa"/>
          </w:tcPr>
          <w:p>
            <w:pPr>
              <w:pStyle w:val="TableParagraph"/>
              <w:ind w:left="110" w:right="365"/>
              <w:rPr>
                <w:sz w:val="24"/>
              </w:rPr>
            </w:pPr>
            <w:r>
              <w:rPr>
                <w:sz w:val="24"/>
              </w:rPr>
              <w:t>Total: 9 finalizata</w:t>
            </w:r>
          </w:p>
        </w:tc>
      </w:tr>
      <w:tr>
        <w:trPr>
          <w:trHeight w:val="551" w:hRule="atLeast"/>
        </w:trPr>
        <w:tc>
          <w:tcPr>
            <w:tcW w:w="540" w:type="dxa"/>
          </w:tcPr>
          <w:p>
            <w:pPr>
              <w:pStyle w:val="TableParagraph"/>
              <w:spacing w:before="10"/>
              <w:rPr>
                <w:b/>
                <w:sz w:val="23"/>
              </w:rPr>
            </w:pPr>
          </w:p>
          <w:p>
            <w:pPr>
              <w:pStyle w:val="TableParagraph"/>
              <w:spacing w:line="257" w:lineRule="exact"/>
              <w:ind w:right="139"/>
              <w:jc w:val="right"/>
              <w:rPr>
                <w:sz w:val="24"/>
              </w:rPr>
            </w:pPr>
            <w:r>
              <w:rPr>
                <w:sz w:val="24"/>
              </w:rPr>
              <w:t>10</w:t>
            </w:r>
          </w:p>
        </w:tc>
        <w:tc>
          <w:tcPr>
            <w:tcW w:w="1680" w:type="dxa"/>
          </w:tcPr>
          <w:p>
            <w:pPr>
              <w:pStyle w:val="TableParagraph"/>
              <w:spacing w:line="276" w:lineRule="exact" w:before="2"/>
              <w:ind w:left="107" w:right="230"/>
              <w:rPr>
                <w:sz w:val="24"/>
              </w:rPr>
            </w:pPr>
            <w:r>
              <w:rPr>
                <w:sz w:val="24"/>
              </w:rPr>
              <w:t>Raportare Greva foamei</w:t>
            </w:r>
          </w:p>
        </w:tc>
        <w:tc>
          <w:tcPr>
            <w:tcW w:w="1500" w:type="dxa"/>
          </w:tcPr>
          <w:p>
            <w:pPr>
              <w:pStyle w:val="TableParagraph"/>
              <w:spacing w:line="275" w:lineRule="exact"/>
              <w:ind w:left="187" w:right="177"/>
              <w:jc w:val="center"/>
              <w:rPr>
                <w:sz w:val="24"/>
              </w:rPr>
            </w:pPr>
            <w:r>
              <w:rPr>
                <w:sz w:val="24"/>
              </w:rPr>
              <w:t>zilnic</w:t>
            </w:r>
          </w:p>
        </w:tc>
        <w:tc>
          <w:tcPr>
            <w:tcW w:w="1901" w:type="dxa"/>
          </w:tcPr>
          <w:p>
            <w:pPr>
              <w:pStyle w:val="TableParagraph"/>
              <w:spacing w:line="275" w:lineRule="exact"/>
              <w:ind w:left="149" w:right="139"/>
              <w:jc w:val="center"/>
              <w:rPr>
                <w:sz w:val="24"/>
              </w:rPr>
            </w:pPr>
            <w:r>
              <w:rPr>
                <w:sz w:val="24"/>
              </w:rPr>
              <w:t>Birou: Str.</w:t>
            </w:r>
          </w:p>
          <w:p>
            <w:pPr>
              <w:pStyle w:val="TableParagraph"/>
              <w:spacing w:line="257" w:lineRule="exact"/>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rPr>
                <w:sz w:val="24"/>
              </w:rPr>
            </w:pPr>
          </w:p>
        </w:tc>
        <w:tc>
          <w:tcPr>
            <w:tcW w:w="1398" w:type="dxa"/>
          </w:tcPr>
          <w:p>
            <w:pPr>
              <w:pStyle w:val="TableParagraph"/>
              <w:spacing w:line="276" w:lineRule="exact" w:before="2"/>
              <w:ind w:left="110" w:right="365"/>
              <w:rPr>
                <w:sz w:val="24"/>
              </w:rPr>
            </w:pPr>
            <w:r>
              <w:rPr>
                <w:sz w:val="24"/>
              </w:rPr>
              <w:t>Total: 72 finalizata</w:t>
            </w:r>
          </w:p>
        </w:tc>
      </w:tr>
      <w:tr>
        <w:trPr>
          <w:trHeight w:val="1104" w:hRule="atLeast"/>
        </w:trPr>
        <w:tc>
          <w:tcPr>
            <w:tcW w:w="540" w:type="dxa"/>
          </w:tcPr>
          <w:p>
            <w:pPr>
              <w:pStyle w:val="TableParagraph"/>
              <w:spacing w:before="10"/>
              <w:rPr>
                <w:b/>
                <w:sz w:val="23"/>
              </w:rPr>
            </w:pPr>
          </w:p>
          <w:p>
            <w:pPr>
              <w:pStyle w:val="TableParagraph"/>
              <w:ind w:right="139"/>
              <w:jc w:val="right"/>
              <w:rPr>
                <w:sz w:val="24"/>
              </w:rPr>
            </w:pPr>
            <w:r>
              <w:rPr>
                <w:sz w:val="24"/>
              </w:rPr>
              <w:t>11</w:t>
            </w:r>
          </w:p>
        </w:tc>
        <w:tc>
          <w:tcPr>
            <w:tcW w:w="1680" w:type="dxa"/>
          </w:tcPr>
          <w:p>
            <w:pPr>
              <w:pStyle w:val="TableParagraph"/>
              <w:ind w:left="107" w:right="414"/>
              <w:rPr>
                <w:sz w:val="24"/>
              </w:rPr>
            </w:pPr>
            <w:r>
              <w:rPr>
                <w:sz w:val="24"/>
              </w:rPr>
              <w:t>Informatii mass-media</w:t>
            </w:r>
          </w:p>
        </w:tc>
        <w:tc>
          <w:tcPr>
            <w:tcW w:w="1500" w:type="dxa"/>
          </w:tcPr>
          <w:p>
            <w:pPr>
              <w:pStyle w:val="TableParagraph"/>
              <w:spacing w:before="10"/>
              <w:rPr>
                <w:b/>
                <w:sz w:val="23"/>
              </w:rPr>
            </w:pPr>
          </w:p>
          <w:p>
            <w:pPr>
              <w:pStyle w:val="TableParagraph"/>
              <w:ind w:left="187" w:right="177"/>
              <w:jc w:val="center"/>
              <w:rPr>
                <w:sz w:val="24"/>
              </w:rPr>
            </w:pPr>
            <w:r>
              <w:rPr>
                <w:sz w:val="24"/>
              </w:rPr>
              <w:t>zilnic</w:t>
            </w:r>
          </w:p>
        </w:tc>
        <w:tc>
          <w:tcPr>
            <w:tcW w:w="1901" w:type="dxa"/>
          </w:tcPr>
          <w:p>
            <w:pPr>
              <w:pStyle w:val="TableParagraph"/>
              <w:spacing w:line="275" w:lineRule="exact"/>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ind w:left="108" w:right="321"/>
              <w:rPr>
                <w:sz w:val="24"/>
              </w:rPr>
            </w:pPr>
            <w:r>
              <w:rPr>
                <w:sz w:val="24"/>
              </w:rPr>
              <w:t>Presa scrisa, audio, video</w:t>
            </w:r>
          </w:p>
        </w:tc>
        <w:tc>
          <w:tcPr>
            <w:tcW w:w="1799" w:type="dxa"/>
          </w:tcPr>
          <w:p>
            <w:pPr>
              <w:pStyle w:val="TableParagraph"/>
              <w:spacing w:line="276" w:lineRule="exact" w:before="2"/>
              <w:ind w:left="109" w:right="687"/>
              <w:rPr>
                <w:sz w:val="24"/>
              </w:rPr>
            </w:pPr>
            <w:r>
              <w:rPr>
                <w:sz w:val="24"/>
              </w:rPr>
              <w:t>Informatii asupra activitatii DSPMB</w:t>
            </w:r>
          </w:p>
        </w:tc>
        <w:tc>
          <w:tcPr>
            <w:tcW w:w="1398" w:type="dxa"/>
          </w:tcPr>
          <w:p>
            <w:pPr>
              <w:pStyle w:val="TableParagraph"/>
              <w:ind w:left="110" w:right="365"/>
              <w:rPr>
                <w:sz w:val="24"/>
              </w:rPr>
            </w:pPr>
            <w:r>
              <w:rPr>
                <w:sz w:val="24"/>
              </w:rPr>
              <w:t>Total: 49 finalizata</w:t>
            </w:r>
          </w:p>
        </w:tc>
      </w:tr>
      <w:tr>
        <w:trPr>
          <w:trHeight w:val="1101" w:hRule="atLeast"/>
        </w:trPr>
        <w:tc>
          <w:tcPr>
            <w:tcW w:w="540" w:type="dxa"/>
          </w:tcPr>
          <w:p>
            <w:pPr>
              <w:pStyle w:val="TableParagraph"/>
              <w:spacing w:before="8"/>
              <w:rPr>
                <w:b/>
                <w:sz w:val="23"/>
              </w:rPr>
            </w:pPr>
          </w:p>
          <w:p>
            <w:pPr>
              <w:pStyle w:val="TableParagraph"/>
              <w:ind w:right="139"/>
              <w:jc w:val="right"/>
              <w:rPr>
                <w:sz w:val="24"/>
              </w:rPr>
            </w:pPr>
            <w:r>
              <w:rPr>
                <w:sz w:val="24"/>
              </w:rPr>
              <w:t>12</w:t>
            </w:r>
          </w:p>
        </w:tc>
        <w:tc>
          <w:tcPr>
            <w:tcW w:w="1680" w:type="dxa"/>
          </w:tcPr>
          <w:p>
            <w:pPr>
              <w:pStyle w:val="TableParagraph"/>
              <w:spacing w:line="276" w:lineRule="exact"/>
              <w:ind w:left="107" w:right="84"/>
              <w:rPr>
                <w:sz w:val="24"/>
              </w:rPr>
            </w:pPr>
            <w:r>
              <w:rPr>
                <w:sz w:val="24"/>
              </w:rPr>
              <w:t>Acordare avize certificate medicale strainatate</w:t>
            </w:r>
          </w:p>
        </w:tc>
        <w:tc>
          <w:tcPr>
            <w:tcW w:w="1500" w:type="dxa"/>
          </w:tcPr>
          <w:p>
            <w:pPr>
              <w:pStyle w:val="TableParagraph"/>
              <w:spacing w:line="273" w:lineRule="exact"/>
              <w:ind w:left="187" w:right="180"/>
              <w:jc w:val="center"/>
              <w:rPr>
                <w:sz w:val="24"/>
              </w:rPr>
            </w:pPr>
            <w:r>
              <w:rPr>
                <w:sz w:val="24"/>
              </w:rPr>
              <w:t>(La cerere)</w:t>
            </w:r>
          </w:p>
        </w:tc>
        <w:tc>
          <w:tcPr>
            <w:tcW w:w="1901" w:type="dxa"/>
          </w:tcPr>
          <w:p>
            <w:pPr>
              <w:pStyle w:val="TableParagraph"/>
              <w:spacing w:line="273" w:lineRule="exact"/>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ind w:left="108" w:right="774"/>
              <w:rPr>
                <w:sz w:val="24"/>
              </w:rPr>
            </w:pPr>
            <w:r>
              <w:rPr>
                <w:sz w:val="24"/>
              </w:rPr>
              <w:t>Compartiment Juridic</w:t>
            </w:r>
          </w:p>
          <w:p>
            <w:pPr>
              <w:pStyle w:val="TableParagraph"/>
              <w:spacing w:line="270" w:lineRule="atLeast"/>
              <w:ind w:left="108" w:right="115"/>
              <w:rPr>
                <w:sz w:val="24"/>
              </w:rPr>
            </w:pPr>
            <w:r>
              <w:rPr>
                <w:sz w:val="24"/>
              </w:rPr>
              <w:t>Ministerul Afacerilor Externe</w:t>
            </w:r>
          </w:p>
        </w:tc>
        <w:tc>
          <w:tcPr>
            <w:tcW w:w="1799" w:type="dxa"/>
          </w:tcPr>
          <w:p>
            <w:pPr>
              <w:pStyle w:val="TableParagraph"/>
              <w:spacing w:line="276" w:lineRule="exact"/>
              <w:ind w:left="109" w:right="174"/>
              <w:rPr>
                <w:sz w:val="24"/>
              </w:rPr>
            </w:pPr>
            <w:r>
              <w:rPr>
                <w:sz w:val="24"/>
              </w:rPr>
              <w:t>Verificare documentatie, inregistrare, intocmire avize</w:t>
            </w:r>
          </w:p>
        </w:tc>
        <w:tc>
          <w:tcPr>
            <w:tcW w:w="1398" w:type="dxa"/>
          </w:tcPr>
          <w:p>
            <w:pPr>
              <w:pStyle w:val="TableParagraph"/>
              <w:ind w:left="110" w:right="365"/>
              <w:rPr>
                <w:sz w:val="24"/>
              </w:rPr>
            </w:pPr>
            <w:r>
              <w:rPr>
                <w:sz w:val="24"/>
              </w:rPr>
              <w:t>Total: 67 finalizata</w:t>
            </w:r>
          </w:p>
        </w:tc>
      </w:tr>
      <w:tr>
        <w:trPr>
          <w:trHeight w:val="549" w:hRule="atLeast"/>
        </w:trPr>
        <w:tc>
          <w:tcPr>
            <w:tcW w:w="540" w:type="dxa"/>
          </w:tcPr>
          <w:p>
            <w:pPr>
              <w:pStyle w:val="TableParagraph"/>
              <w:spacing w:line="273" w:lineRule="exact"/>
              <w:ind w:right="139"/>
              <w:jc w:val="right"/>
              <w:rPr>
                <w:sz w:val="24"/>
              </w:rPr>
            </w:pPr>
            <w:r>
              <w:rPr>
                <w:sz w:val="24"/>
              </w:rPr>
              <w:t>13</w:t>
            </w:r>
          </w:p>
        </w:tc>
        <w:tc>
          <w:tcPr>
            <w:tcW w:w="1680" w:type="dxa"/>
          </w:tcPr>
          <w:p>
            <w:pPr>
              <w:pStyle w:val="TableParagraph"/>
              <w:spacing w:line="273" w:lineRule="exact"/>
              <w:ind w:left="107"/>
              <w:rPr>
                <w:sz w:val="24"/>
              </w:rPr>
            </w:pPr>
            <w:r>
              <w:rPr>
                <w:sz w:val="24"/>
              </w:rPr>
              <w:t>Malpraxis</w:t>
            </w:r>
          </w:p>
        </w:tc>
        <w:tc>
          <w:tcPr>
            <w:tcW w:w="1500" w:type="dxa"/>
          </w:tcPr>
          <w:p>
            <w:pPr>
              <w:pStyle w:val="TableParagraph"/>
              <w:rPr>
                <w:sz w:val="24"/>
              </w:rPr>
            </w:pPr>
          </w:p>
        </w:tc>
        <w:tc>
          <w:tcPr>
            <w:tcW w:w="1901" w:type="dxa"/>
          </w:tcPr>
          <w:p>
            <w:pPr>
              <w:pStyle w:val="TableParagraph"/>
              <w:spacing w:line="273" w:lineRule="exact"/>
              <w:ind w:left="149" w:right="139"/>
              <w:jc w:val="center"/>
              <w:rPr>
                <w:sz w:val="24"/>
              </w:rPr>
            </w:pPr>
            <w:r>
              <w:rPr>
                <w:sz w:val="24"/>
              </w:rPr>
              <w:t>Birou: Str.</w:t>
            </w:r>
          </w:p>
          <w:p>
            <w:pPr>
              <w:pStyle w:val="TableParagraph"/>
              <w:spacing w:line="257" w:lineRule="exact"/>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rPr>
                <w:sz w:val="24"/>
              </w:rPr>
            </w:pPr>
          </w:p>
        </w:tc>
        <w:tc>
          <w:tcPr>
            <w:tcW w:w="1398" w:type="dxa"/>
          </w:tcPr>
          <w:p>
            <w:pPr>
              <w:pStyle w:val="TableParagraph"/>
              <w:spacing w:line="273" w:lineRule="exact"/>
              <w:ind w:right="282"/>
              <w:jc w:val="right"/>
              <w:rPr>
                <w:sz w:val="24"/>
              </w:rPr>
            </w:pPr>
            <w:r>
              <w:rPr>
                <w:sz w:val="24"/>
              </w:rPr>
              <w:t>Total: 387</w:t>
            </w:r>
          </w:p>
        </w:tc>
      </w:tr>
      <w:tr>
        <w:trPr>
          <w:trHeight w:val="1380" w:hRule="atLeast"/>
        </w:trPr>
        <w:tc>
          <w:tcPr>
            <w:tcW w:w="540" w:type="dxa"/>
          </w:tcPr>
          <w:p>
            <w:pPr>
              <w:pStyle w:val="TableParagraph"/>
              <w:spacing w:line="275" w:lineRule="exact"/>
              <w:ind w:right="139"/>
              <w:jc w:val="right"/>
              <w:rPr>
                <w:sz w:val="24"/>
              </w:rPr>
            </w:pPr>
            <w:r>
              <w:rPr>
                <w:sz w:val="24"/>
              </w:rPr>
              <w:t>14</w:t>
            </w:r>
          </w:p>
        </w:tc>
        <w:tc>
          <w:tcPr>
            <w:tcW w:w="1680" w:type="dxa"/>
          </w:tcPr>
          <w:p>
            <w:pPr>
              <w:pStyle w:val="TableParagraph"/>
              <w:ind w:left="107" w:right="89"/>
              <w:rPr>
                <w:sz w:val="24"/>
              </w:rPr>
            </w:pPr>
            <w:r>
              <w:rPr>
                <w:sz w:val="24"/>
              </w:rPr>
              <w:t>Informatii cu privira la lucrari</w:t>
            </w:r>
          </w:p>
          <w:p>
            <w:pPr>
              <w:pStyle w:val="TableParagraph"/>
              <w:spacing w:line="270" w:lineRule="atLeast"/>
              <w:ind w:left="107" w:right="170"/>
              <w:rPr>
                <w:sz w:val="24"/>
              </w:rPr>
            </w:pPr>
            <w:r>
              <w:rPr>
                <w:sz w:val="24"/>
              </w:rPr>
              <w:t>Avize/Autoriz ari</w:t>
            </w:r>
          </w:p>
        </w:tc>
        <w:tc>
          <w:tcPr>
            <w:tcW w:w="1500" w:type="dxa"/>
          </w:tcPr>
          <w:p>
            <w:pPr>
              <w:pStyle w:val="TableParagraph"/>
              <w:spacing w:line="275" w:lineRule="exact"/>
              <w:ind w:left="187" w:right="177"/>
              <w:jc w:val="center"/>
              <w:rPr>
                <w:sz w:val="24"/>
              </w:rPr>
            </w:pPr>
            <w:r>
              <w:rPr>
                <w:sz w:val="24"/>
              </w:rPr>
              <w:t>zilnic</w:t>
            </w:r>
          </w:p>
        </w:tc>
        <w:tc>
          <w:tcPr>
            <w:tcW w:w="1901" w:type="dxa"/>
          </w:tcPr>
          <w:p>
            <w:pPr>
              <w:pStyle w:val="TableParagraph"/>
              <w:spacing w:line="275" w:lineRule="exact"/>
              <w:ind w:left="149" w:right="139"/>
              <w:jc w:val="center"/>
              <w:rPr>
                <w:sz w:val="24"/>
              </w:rPr>
            </w:pPr>
            <w:r>
              <w:rPr>
                <w:sz w:val="24"/>
              </w:rPr>
              <w:t>Birou: Str.</w:t>
            </w:r>
          </w:p>
          <w:p>
            <w:pPr>
              <w:pStyle w:val="TableParagraph"/>
              <w:ind w:left="149" w:right="141"/>
              <w:jc w:val="center"/>
              <w:rPr>
                <w:sz w:val="24"/>
              </w:rPr>
            </w:pPr>
            <w:r>
              <w:rPr>
                <w:sz w:val="24"/>
              </w:rPr>
              <w:t>Avrig, nr. 72-74</w:t>
            </w:r>
          </w:p>
        </w:tc>
        <w:tc>
          <w:tcPr>
            <w:tcW w:w="2299" w:type="dxa"/>
          </w:tcPr>
          <w:p>
            <w:pPr>
              <w:pStyle w:val="TableParagraph"/>
              <w:rPr>
                <w:sz w:val="24"/>
              </w:rPr>
            </w:pPr>
          </w:p>
        </w:tc>
        <w:tc>
          <w:tcPr>
            <w:tcW w:w="1799" w:type="dxa"/>
          </w:tcPr>
          <w:p>
            <w:pPr>
              <w:pStyle w:val="TableParagraph"/>
              <w:rPr>
                <w:sz w:val="24"/>
              </w:rPr>
            </w:pPr>
          </w:p>
        </w:tc>
        <w:tc>
          <w:tcPr>
            <w:tcW w:w="1398" w:type="dxa"/>
          </w:tcPr>
          <w:p>
            <w:pPr>
              <w:pStyle w:val="TableParagraph"/>
              <w:ind w:left="110" w:right="538"/>
              <w:rPr>
                <w:sz w:val="24"/>
              </w:rPr>
            </w:pPr>
            <w:r>
              <w:rPr>
                <w:sz w:val="24"/>
              </w:rPr>
              <w:t>Total : 171655</w:t>
            </w:r>
          </w:p>
        </w:tc>
      </w:tr>
    </w:tbl>
    <w:p>
      <w:pPr>
        <w:spacing w:after="0"/>
        <w:rPr>
          <w:sz w:val="24"/>
        </w:rPr>
        <w:sectPr>
          <w:pgSz w:w="16840" w:h="11910" w:orient="landscape"/>
          <w:pgMar w:header="0" w:footer="658" w:top="820" w:bottom="840" w:left="600" w:right="2420"/>
        </w:sectPr>
      </w:pPr>
    </w:p>
    <w:p>
      <w:pPr>
        <w:spacing w:before="60"/>
        <w:ind w:left="680" w:right="0" w:firstLine="0"/>
        <w:jc w:val="left"/>
        <w:rPr>
          <w:b/>
          <w:sz w:val="24"/>
        </w:rPr>
      </w:pPr>
      <w:r>
        <w:rPr>
          <w:b/>
          <w:sz w:val="24"/>
          <w:u w:val="thick"/>
        </w:rPr>
        <w:t>COMPARTIMENTUL AUDIT INTERN</w:t>
      </w:r>
    </w:p>
    <w:p>
      <w:pPr>
        <w:pStyle w:val="BodyText"/>
        <w:spacing w:before="3"/>
        <w:ind w:left="0"/>
        <w:rPr>
          <w:b/>
          <w:sz w:val="16"/>
        </w:rPr>
      </w:pPr>
    </w:p>
    <w:p>
      <w:pPr>
        <w:spacing w:before="90"/>
        <w:ind w:left="920" w:right="0" w:firstLine="0"/>
        <w:jc w:val="left"/>
        <w:rPr>
          <w:b/>
          <w:sz w:val="24"/>
        </w:rPr>
      </w:pPr>
      <w:r>
        <w:rPr>
          <w:b/>
          <w:sz w:val="24"/>
        </w:rPr>
        <w:t>Misiune:</w:t>
      </w:r>
    </w:p>
    <w:p>
      <w:pPr>
        <w:pStyle w:val="BodyText"/>
        <w:ind w:right="1424"/>
        <w:jc w:val="both"/>
      </w:pPr>
      <w:r>
        <w:rPr>
          <w:b/>
        </w:rPr>
        <w:t>- </w:t>
      </w:r>
      <w:r>
        <w:rPr/>
        <w:t>acorda consultanţă şi asigurări privind eficacitatea sistemelor de management al riscurilor, de control şi de guvernanţă, contribuind la obţinerea plusvalorii prin recomandări pentru îmbunătăţirea acestora.</w:t>
      </w:r>
    </w:p>
    <w:p>
      <w:pPr>
        <w:pStyle w:val="ListParagraph"/>
        <w:numPr>
          <w:ilvl w:val="0"/>
          <w:numId w:val="10"/>
        </w:numPr>
        <w:tabs>
          <w:tab w:pos="923" w:val="left" w:leader="none"/>
        </w:tabs>
        <w:spacing w:line="240" w:lineRule="auto" w:before="0" w:after="0"/>
        <w:ind w:left="680" w:right="1423" w:firstLine="0"/>
        <w:jc w:val="both"/>
        <w:rPr>
          <w:sz w:val="24"/>
        </w:rPr>
      </w:pPr>
      <w:r>
        <w:rPr>
          <w:sz w:val="24"/>
        </w:rPr>
        <w:t>sprijina conducerea entităţii/structurii auditate în realizarea obiectivelor şi furnizează evaluări obiective şi detaliate cu privire la legalitatea, regularitatea, economicitatea, eficienţa şi eficacitatea activităţilor şi operaţiunilor</w:t>
      </w:r>
      <w:r>
        <w:rPr>
          <w:spacing w:val="-2"/>
          <w:sz w:val="24"/>
        </w:rPr>
        <w:t> </w:t>
      </w:r>
      <w:r>
        <w:rPr>
          <w:sz w:val="24"/>
        </w:rPr>
        <w:t>entităţii.</w:t>
      </w:r>
    </w:p>
    <w:p>
      <w:pPr>
        <w:pStyle w:val="BodyText"/>
        <w:ind w:right="1140" w:firstLine="180"/>
      </w:pPr>
      <w:r>
        <w:rPr>
          <w:b/>
        </w:rPr>
        <w:t>Obiectivele </w:t>
      </w:r>
      <w:r>
        <w:rPr/>
        <w:t>trebuie stabilite astfel încât să sprijine entitatea/structura auditată în următoarele direcţii:</w:t>
      </w:r>
    </w:p>
    <w:p>
      <w:pPr>
        <w:pStyle w:val="ListParagraph"/>
        <w:numPr>
          <w:ilvl w:val="0"/>
          <w:numId w:val="10"/>
        </w:numPr>
        <w:tabs>
          <w:tab w:pos="880" w:val="left" w:leader="none"/>
        </w:tabs>
        <w:spacing w:line="240" w:lineRule="auto" w:before="0" w:after="0"/>
        <w:ind w:left="879" w:right="0" w:hanging="140"/>
        <w:jc w:val="left"/>
        <w:rPr>
          <w:color w:val="8F0000"/>
          <w:sz w:val="24"/>
        </w:rPr>
      </w:pPr>
      <w:r>
        <w:rPr>
          <w:sz w:val="24"/>
        </w:rPr>
        <w:t>asigurarea bunei administrări a fondurilor publice şi păstrarea</w:t>
      </w:r>
      <w:r>
        <w:rPr>
          <w:spacing w:val="-8"/>
          <w:sz w:val="24"/>
        </w:rPr>
        <w:t> </w:t>
      </w:r>
      <w:r>
        <w:rPr>
          <w:sz w:val="24"/>
        </w:rPr>
        <w:t>patrimoniului;</w:t>
      </w:r>
    </w:p>
    <w:p>
      <w:pPr>
        <w:pStyle w:val="ListParagraph"/>
        <w:numPr>
          <w:ilvl w:val="0"/>
          <w:numId w:val="10"/>
        </w:numPr>
        <w:tabs>
          <w:tab w:pos="940" w:val="left" w:leader="none"/>
        </w:tabs>
        <w:spacing w:line="240" w:lineRule="auto" w:before="0" w:after="0"/>
        <w:ind w:left="939" w:right="0" w:hanging="200"/>
        <w:jc w:val="left"/>
        <w:rPr>
          <w:color w:val="8F0000"/>
          <w:sz w:val="24"/>
        </w:rPr>
      </w:pPr>
      <w:r>
        <w:rPr>
          <w:sz w:val="24"/>
        </w:rPr>
        <w:t>respectarea</w:t>
      </w:r>
      <w:r>
        <w:rPr>
          <w:spacing w:val="-2"/>
          <w:sz w:val="24"/>
        </w:rPr>
        <w:t> </w:t>
      </w:r>
      <w:r>
        <w:rPr>
          <w:sz w:val="24"/>
        </w:rPr>
        <w:t>conformităţii;</w:t>
      </w:r>
    </w:p>
    <w:p>
      <w:pPr>
        <w:pStyle w:val="ListParagraph"/>
        <w:numPr>
          <w:ilvl w:val="0"/>
          <w:numId w:val="10"/>
        </w:numPr>
        <w:tabs>
          <w:tab w:pos="880" w:val="left" w:leader="none"/>
        </w:tabs>
        <w:spacing w:line="240" w:lineRule="auto" w:before="1" w:after="0"/>
        <w:ind w:left="879" w:right="0" w:hanging="140"/>
        <w:jc w:val="left"/>
        <w:rPr>
          <w:color w:val="8F0000"/>
          <w:sz w:val="24"/>
        </w:rPr>
      </w:pPr>
      <w:r>
        <w:rPr>
          <w:sz w:val="24"/>
        </w:rPr>
        <w:t>asigurarea unor sisteme contabile şi informatice</w:t>
      </w:r>
      <w:r>
        <w:rPr>
          <w:spacing w:val="-4"/>
          <w:sz w:val="24"/>
        </w:rPr>
        <w:t> </w:t>
      </w:r>
      <w:r>
        <w:rPr>
          <w:sz w:val="24"/>
        </w:rPr>
        <w:t>fiabile;</w:t>
      </w:r>
    </w:p>
    <w:p>
      <w:pPr>
        <w:pStyle w:val="ListParagraph"/>
        <w:numPr>
          <w:ilvl w:val="0"/>
          <w:numId w:val="10"/>
        </w:numPr>
        <w:tabs>
          <w:tab w:pos="880" w:val="left" w:leader="none"/>
        </w:tabs>
        <w:spacing w:line="240" w:lineRule="auto" w:before="0" w:after="0"/>
        <w:ind w:left="879" w:right="0" w:hanging="140"/>
        <w:jc w:val="left"/>
        <w:rPr>
          <w:color w:val="8F0000"/>
          <w:sz w:val="24"/>
        </w:rPr>
      </w:pPr>
      <w:r>
        <w:rPr>
          <w:sz w:val="24"/>
        </w:rPr>
        <w:t>îmbunătăţirea managementului riscului, a controlului şi a</w:t>
      </w:r>
      <w:r>
        <w:rPr>
          <w:spacing w:val="-4"/>
          <w:sz w:val="24"/>
        </w:rPr>
        <w:t> </w:t>
      </w:r>
      <w:r>
        <w:rPr>
          <w:sz w:val="24"/>
        </w:rPr>
        <w:t>guvernanţei;</w:t>
      </w:r>
    </w:p>
    <w:p>
      <w:pPr>
        <w:pStyle w:val="ListParagraph"/>
        <w:numPr>
          <w:ilvl w:val="0"/>
          <w:numId w:val="10"/>
        </w:numPr>
        <w:tabs>
          <w:tab w:pos="880" w:val="left" w:leader="none"/>
        </w:tabs>
        <w:spacing w:line="240" w:lineRule="auto" w:before="0" w:after="0"/>
        <w:ind w:left="879" w:right="0" w:hanging="140"/>
        <w:jc w:val="left"/>
        <w:rPr>
          <w:color w:val="8F0000"/>
          <w:sz w:val="24"/>
        </w:rPr>
      </w:pPr>
      <w:r>
        <w:rPr>
          <w:sz w:val="24"/>
        </w:rPr>
        <w:t>îmbunătăţirea eficienţei şi eficacităţii</w:t>
      </w:r>
      <w:r>
        <w:rPr>
          <w:spacing w:val="-2"/>
          <w:sz w:val="24"/>
        </w:rPr>
        <w:t> </w:t>
      </w:r>
      <w:r>
        <w:rPr>
          <w:sz w:val="24"/>
        </w:rPr>
        <w:t>operaţiilor.</w:t>
      </w:r>
    </w:p>
    <w:p>
      <w:pPr>
        <w:pStyle w:val="BodyText"/>
        <w:tabs>
          <w:tab w:pos="2162" w:val="left" w:leader="none"/>
          <w:tab w:pos="3095" w:val="left" w:leader="none"/>
          <w:tab w:pos="3498" w:val="left" w:leader="none"/>
          <w:tab w:pos="4580" w:val="left" w:leader="none"/>
          <w:tab w:pos="5407" w:val="left" w:leader="none"/>
          <w:tab w:pos="6196" w:val="left" w:leader="none"/>
          <w:tab w:pos="7203" w:val="left" w:leader="none"/>
          <w:tab w:pos="7618" w:val="left" w:leader="none"/>
          <w:tab w:pos="8760" w:val="left" w:leader="none"/>
        </w:tabs>
        <w:ind w:right="1422" w:firstLine="240"/>
      </w:pPr>
      <w:r>
        <w:rPr/>
        <w:t>Obiectivul</w:t>
        <w:tab/>
        <w:t>general</w:t>
        <w:tab/>
        <w:t>al</w:t>
        <w:tab/>
        <w:t>auditului</w:t>
        <w:tab/>
        <w:t>public</w:t>
        <w:tab/>
        <w:t>intern</w:t>
        <w:tab/>
        <w:t>vizează,</w:t>
        <w:tab/>
        <w:t>în</w:t>
        <w:tab/>
        <w:t>principal,</w:t>
        <w:tab/>
        <w:t>îmbunătăţirea managementului entităţilor/structurilor auditate prin furnizarea</w:t>
      </w:r>
      <w:r>
        <w:rPr>
          <w:spacing w:val="-3"/>
        </w:rPr>
        <w:t> </w:t>
      </w:r>
      <w:r>
        <w:rPr/>
        <w:t>de:</w:t>
      </w:r>
    </w:p>
    <w:p>
      <w:pPr>
        <w:pStyle w:val="ListParagraph"/>
        <w:numPr>
          <w:ilvl w:val="0"/>
          <w:numId w:val="11"/>
        </w:numPr>
        <w:tabs>
          <w:tab w:pos="943" w:val="left" w:leader="none"/>
        </w:tabs>
        <w:spacing w:line="240" w:lineRule="auto" w:before="0" w:after="0"/>
        <w:ind w:left="680" w:right="1424" w:firstLine="0"/>
        <w:jc w:val="both"/>
        <w:rPr>
          <w:sz w:val="24"/>
        </w:rPr>
      </w:pPr>
      <w:r>
        <w:rPr>
          <w:sz w:val="24"/>
        </w:rPr>
        <w:t>activităţi de asigurare, care reprezintă examinări obiective ale elementelor probante, efectuate cu scopul de a furniza entităţilor publice o evaluare independentă şi obiectivă a proceselor de management al riscurilor, de control şi de</w:t>
      </w:r>
      <w:r>
        <w:rPr>
          <w:spacing w:val="-1"/>
          <w:sz w:val="24"/>
        </w:rPr>
        <w:t> </w:t>
      </w:r>
      <w:r>
        <w:rPr>
          <w:sz w:val="24"/>
        </w:rPr>
        <w:t>guvernanţă;</w:t>
      </w:r>
    </w:p>
    <w:p>
      <w:pPr>
        <w:pStyle w:val="ListParagraph"/>
        <w:numPr>
          <w:ilvl w:val="0"/>
          <w:numId w:val="11"/>
        </w:numPr>
        <w:tabs>
          <w:tab w:pos="947" w:val="left" w:leader="none"/>
        </w:tabs>
        <w:spacing w:line="240" w:lineRule="auto" w:before="0" w:after="0"/>
        <w:ind w:left="680" w:right="1424" w:firstLine="0"/>
        <w:jc w:val="both"/>
        <w:rPr>
          <w:sz w:val="24"/>
        </w:rPr>
      </w:pPr>
      <w:r>
        <w:rPr>
          <w:sz w:val="24"/>
        </w:rPr>
        <w:t>activităţi de consiliere, menite să adauge valoare şi să îmbunătăţească procesele de guvernanţă din cadrul entităţilor publice, fără ca auditorul intern să îşi asume responsabilităţi</w:t>
      </w:r>
      <w:r>
        <w:rPr>
          <w:spacing w:val="-17"/>
          <w:sz w:val="24"/>
        </w:rPr>
        <w:t> </w:t>
      </w:r>
      <w:r>
        <w:rPr>
          <w:sz w:val="24"/>
        </w:rPr>
        <w:t>manageriale.</w:t>
      </w:r>
    </w:p>
    <w:p>
      <w:pPr>
        <w:pStyle w:val="BodyText"/>
        <w:ind w:right="1420" w:firstLine="180"/>
        <w:jc w:val="both"/>
      </w:pPr>
      <w:r>
        <w:rPr/>
        <w:t>Sfera de activitate a auditului intern cuprinde toate activităţile desfăşurate în cadrul entităţii publice pentru îndeplinirea obiectivelor acesteia, inclusiv evaluarea sistemului de control intern/managerial.</w:t>
      </w:r>
    </w:p>
    <w:p>
      <w:pPr>
        <w:pStyle w:val="Heading1"/>
        <w:ind w:left="680"/>
        <w:jc w:val="both"/>
        <w:rPr>
          <w:u w:val="none"/>
        </w:rPr>
      </w:pPr>
      <w:r>
        <w:rPr>
          <w:u w:val="none"/>
        </w:rPr>
        <w:t>Indicatorii de rezultat stabiliti pentru activitatea Compartimentului de audit public intern</w:t>
      </w:r>
    </w:p>
    <w:p>
      <w:pPr>
        <w:pStyle w:val="ListParagraph"/>
        <w:numPr>
          <w:ilvl w:val="0"/>
          <w:numId w:val="10"/>
        </w:numPr>
        <w:tabs>
          <w:tab w:pos="820" w:val="left" w:leader="none"/>
        </w:tabs>
        <w:spacing w:line="240" w:lineRule="auto" w:before="0" w:after="0"/>
        <w:ind w:left="819" w:right="0" w:hanging="140"/>
        <w:jc w:val="both"/>
        <w:rPr>
          <w:sz w:val="24"/>
        </w:rPr>
      </w:pPr>
      <w:r>
        <w:rPr>
          <w:sz w:val="24"/>
        </w:rPr>
        <w:t>Gradul de realizare a misiunilor de audit planificate, aprobate prin Ordinul de</w:t>
      </w:r>
      <w:r>
        <w:rPr>
          <w:spacing w:val="-6"/>
          <w:sz w:val="24"/>
        </w:rPr>
        <w:t> </w:t>
      </w:r>
      <w:r>
        <w:rPr>
          <w:sz w:val="24"/>
        </w:rPr>
        <w:t>serviciu;</w:t>
      </w:r>
    </w:p>
    <w:p>
      <w:pPr>
        <w:pStyle w:val="ListParagraph"/>
        <w:numPr>
          <w:ilvl w:val="0"/>
          <w:numId w:val="10"/>
        </w:numPr>
        <w:tabs>
          <w:tab w:pos="820" w:val="left" w:leader="none"/>
        </w:tabs>
        <w:spacing w:line="240" w:lineRule="auto" w:before="0" w:after="0"/>
        <w:ind w:left="819" w:right="0" w:hanging="140"/>
        <w:jc w:val="both"/>
        <w:rPr>
          <w:sz w:val="24"/>
        </w:rPr>
      </w:pPr>
      <w:r>
        <w:rPr>
          <w:sz w:val="24"/>
        </w:rPr>
        <w:t>Gradul de realizare a altor activitati/documente aferente auditului intern</w:t>
      </w:r>
      <w:r>
        <w:rPr>
          <w:spacing w:val="-5"/>
          <w:sz w:val="24"/>
        </w:rPr>
        <w:t> </w:t>
      </w:r>
      <w:r>
        <w:rPr>
          <w:sz w:val="24"/>
        </w:rPr>
        <w:t>planificate;</w:t>
      </w:r>
    </w:p>
    <w:p>
      <w:pPr>
        <w:pStyle w:val="ListParagraph"/>
        <w:numPr>
          <w:ilvl w:val="0"/>
          <w:numId w:val="10"/>
        </w:numPr>
        <w:tabs>
          <w:tab w:pos="832" w:val="left" w:leader="none"/>
        </w:tabs>
        <w:spacing w:line="240" w:lineRule="auto" w:before="1" w:after="0"/>
        <w:ind w:left="831" w:right="0" w:hanging="140"/>
        <w:jc w:val="both"/>
        <w:rPr>
          <w:sz w:val="24"/>
        </w:rPr>
      </w:pPr>
      <w:r>
        <w:rPr>
          <w:sz w:val="24"/>
        </w:rPr>
        <w:t>Raportarea anuala la termenele</w:t>
      </w:r>
      <w:r>
        <w:rPr>
          <w:spacing w:val="-3"/>
          <w:sz w:val="24"/>
        </w:rPr>
        <w:t> </w:t>
      </w:r>
      <w:r>
        <w:rPr>
          <w:sz w:val="24"/>
        </w:rPr>
        <w:t>legale/stabilite;</w:t>
      </w:r>
    </w:p>
    <w:p>
      <w:pPr>
        <w:pStyle w:val="ListParagraph"/>
        <w:numPr>
          <w:ilvl w:val="0"/>
          <w:numId w:val="10"/>
        </w:numPr>
        <w:tabs>
          <w:tab w:pos="911" w:val="left" w:leader="none"/>
        </w:tabs>
        <w:spacing w:line="240" w:lineRule="auto" w:before="0" w:after="0"/>
        <w:ind w:left="572" w:right="1416" w:firstLine="120"/>
        <w:jc w:val="both"/>
        <w:rPr>
          <w:sz w:val="24"/>
        </w:rPr>
      </w:pPr>
      <w:r>
        <w:rPr>
          <w:sz w:val="24"/>
        </w:rPr>
        <w:t>Actualizarea planurilor de audit public intern, ori de câte ori se impune, iî funcție de modificările legislative sau organizatorice, recomandările structurii de audit ierarhic superioare, dispoziţiile conducerii entităţii publice, alte elemente</w:t>
      </w:r>
      <w:r>
        <w:rPr>
          <w:spacing w:val="-3"/>
          <w:sz w:val="24"/>
        </w:rPr>
        <w:t> </w:t>
      </w:r>
      <w:r>
        <w:rPr>
          <w:sz w:val="24"/>
        </w:rPr>
        <w:t>fundamentale;</w:t>
      </w:r>
    </w:p>
    <w:p>
      <w:pPr>
        <w:pStyle w:val="ListParagraph"/>
        <w:numPr>
          <w:ilvl w:val="0"/>
          <w:numId w:val="10"/>
        </w:numPr>
        <w:tabs>
          <w:tab w:pos="830" w:val="left" w:leader="none"/>
        </w:tabs>
        <w:spacing w:line="240" w:lineRule="auto" w:before="0" w:after="0"/>
        <w:ind w:left="680" w:right="1422" w:firstLine="0"/>
        <w:jc w:val="both"/>
        <w:rPr>
          <w:sz w:val="24"/>
        </w:rPr>
      </w:pPr>
      <w:r>
        <w:rPr>
          <w:sz w:val="24"/>
        </w:rPr>
        <w:t>Elaborarea Planului multianual de audit public intern si Planului anual de audit public intern în termenul</w:t>
      </w:r>
      <w:r>
        <w:rPr>
          <w:spacing w:val="-1"/>
          <w:sz w:val="24"/>
        </w:rPr>
        <w:t> </w:t>
      </w:r>
      <w:r>
        <w:rPr>
          <w:sz w:val="24"/>
        </w:rPr>
        <w:t>legal/stabilit.</w:t>
      </w:r>
    </w:p>
    <w:p>
      <w:pPr>
        <w:pStyle w:val="ListParagraph"/>
        <w:numPr>
          <w:ilvl w:val="0"/>
          <w:numId w:val="10"/>
        </w:numPr>
        <w:tabs>
          <w:tab w:pos="919" w:val="left" w:leader="none"/>
        </w:tabs>
        <w:spacing w:line="240" w:lineRule="auto" w:before="0" w:after="0"/>
        <w:ind w:left="572" w:right="1425" w:firstLine="180"/>
        <w:jc w:val="both"/>
        <w:rPr>
          <w:sz w:val="24"/>
        </w:rPr>
      </w:pPr>
      <w:r>
        <w:rPr>
          <w:sz w:val="24"/>
        </w:rPr>
        <w:t>Obiectivele cuprinse in Planul anual de audit public intern, actualizat, aprobate prin ordinele  de serviciu au fost realizate</w:t>
      </w:r>
      <w:r>
        <w:rPr>
          <w:spacing w:val="-1"/>
          <w:sz w:val="24"/>
        </w:rPr>
        <w:t> </w:t>
      </w:r>
      <w:r>
        <w:rPr>
          <w:sz w:val="24"/>
        </w:rPr>
        <w:t>(100%)</w:t>
      </w:r>
    </w:p>
    <w:p>
      <w:pPr>
        <w:pStyle w:val="BodyText"/>
        <w:ind w:left="800"/>
        <w:jc w:val="both"/>
      </w:pPr>
      <w:r>
        <w:rPr>
          <w:b/>
        </w:rPr>
        <w:t>Activitati: </w:t>
      </w:r>
      <w:r>
        <w:rPr/>
        <w:t>in anul 2017, s-au realizat urmatoarele misiuni/activităti:</w:t>
      </w:r>
    </w:p>
    <w:p>
      <w:pPr>
        <w:pStyle w:val="ListParagraph"/>
        <w:numPr>
          <w:ilvl w:val="0"/>
          <w:numId w:val="12"/>
        </w:numPr>
        <w:tabs>
          <w:tab w:pos="861" w:val="left" w:leader="none"/>
        </w:tabs>
        <w:spacing w:line="240" w:lineRule="auto" w:before="0" w:after="0"/>
        <w:ind w:left="680" w:right="1134" w:firstLine="0"/>
        <w:jc w:val="both"/>
        <w:rPr>
          <w:sz w:val="24"/>
        </w:rPr>
      </w:pPr>
      <w:r>
        <w:rPr>
          <w:sz w:val="24"/>
        </w:rPr>
        <w:t>Coordonare adecvată a deciziilor şi acţiunilor în scopul cresterii calitătii activitătii de audit public intern si încadrării în Programul misiunii de audit public</w:t>
      </w:r>
      <w:r>
        <w:rPr>
          <w:spacing w:val="-5"/>
          <w:sz w:val="24"/>
        </w:rPr>
        <w:t> </w:t>
      </w:r>
      <w:r>
        <w:rPr>
          <w:sz w:val="24"/>
        </w:rPr>
        <w:t>intern.</w:t>
      </w:r>
    </w:p>
    <w:p>
      <w:pPr>
        <w:pStyle w:val="BodyText"/>
        <w:ind w:left="572" w:right="1134" w:firstLine="302"/>
        <w:jc w:val="both"/>
      </w:pPr>
      <w:r>
        <w:rPr>
          <w:spacing w:val="-3"/>
        </w:rPr>
        <w:t>În </w:t>
      </w:r>
      <w:r>
        <w:rPr/>
        <w:t>baza Planului anual de audit public intern actualizat au fost realizate proceduri specifice de audit public intern pentru două misiuni de audit intern de regularitate/conformitate, din care  o misiune de audit a fost finalizată în anul de raportare iar o misiune de audit se află derulare, urmând ca misiunea de audit să fie încheiată în anul</w:t>
      </w:r>
      <w:r>
        <w:rPr>
          <w:spacing w:val="-4"/>
        </w:rPr>
        <w:t> </w:t>
      </w:r>
      <w:r>
        <w:rPr/>
        <w:t>2018.</w:t>
      </w:r>
    </w:p>
    <w:p>
      <w:pPr>
        <w:pStyle w:val="BodyText"/>
        <w:ind w:left="572" w:right="1134" w:firstLine="240"/>
        <w:jc w:val="both"/>
      </w:pPr>
      <w:r>
        <w:rPr/>
        <w:t>Misiunea de audit finalizată în anul 2017 a avut un număr mare de obiective specifice ( 19 obiective specifice) si a vizat mai multe domenii: bugetar, financiar-contabil, resurse umane, juridic, functii</w:t>
      </w:r>
      <w:r>
        <w:rPr>
          <w:spacing w:val="-1"/>
        </w:rPr>
        <w:t> </w:t>
      </w:r>
      <w:r>
        <w:rPr/>
        <w:t>specifice.</w:t>
      </w:r>
    </w:p>
    <w:p>
      <w:pPr>
        <w:pStyle w:val="BodyText"/>
        <w:spacing w:before="1"/>
        <w:ind w:right="1639" w:firstLine="120"/>
        <w:jc w:val="both"/>
      </w:pPr>
      <w:r>
        <w:rPr/>
        <w:t>Rezultate: intocmirea raportului de audit public intern si documentatia aferentă (ex.: Studiu preliminar, Stabilirea punctajului total al riscurilor, Evaluarea gradului de încredere în controlul</w:t>
      </w:r>
    </w:p>
    <w:p>
      <w:pPr>
        <w:spacing w:after="0"/>
        <w:jc w:val="both"/>
        <w:sectPr>
          <w:footerReference w:type="default" r:id="rId48"/>
          <w:pgSz w:w="11910" w:h="16840"/>
          <w:pgMar w:footer="658" w:header="0" w:top="1360" w:bottom="840" w:left="400" w:right="0"/>
          <w:pgNumType w:start="42"/>
        </w:sectPr>
      </w:pPr>
    </w:p>
    <w:p>
      <w:pPr>
        <w:pStyle w:val="BodyText"/>
        <w:spacing w:before="60"/>
        <w:ind w:right="1359"/>
        <w:jc w:val="both"/>
      </w:pPr>
      <w:r>
        <w:rPr/>
        <w:t>intern, teste, foi de lucru, interviuri , chestionare, fise de identificare si analiză a problemei etc) ; si transmiterea de adrese, comunicări etc.</w:t>
      </w:r>
    </w:p>
    <w:p>
      <w:pPr>
        <w:pStyle w:val="ListParagraph"/>
        <w:numPr>
          <w:ilvl w:val="0"/>
          <w:numId w:val="12"/>
        </w:numPr>
        <w:tabs>
          <w:tab w:pos="861" w:val="left" w:leader="none"/>
        </w:tabs>
        <w:spacing w:line="240" w:lineRule="auto" w:before="1" w:after="0"/>
        <w:ind w:left="680" w:right="1131" w:firstLine="0"/>
        <w:jc w:val="both"/>
        <w:rPr>
          <w:sz w:val="24"/>
        </w:rPr>
      </w:pPr>
      <w:r>
        <w:rPr>
          <w:sz w:val="24"/>
        </w:rPr>
        <w:t>Realizarea unor misiuni de consiliere cu caracter informal: in conformitate cu dispozitiile Capitolului IV: </w:t>
      </w:r>
      <w:r>
        <w:rPr>
          <w:i/>
          <w:sz w:val="24"/>
        </w:rPr>
        <w:t>Misiunea de consiliere, pct. 4.1.2., lit.b) din Normele generale privind exercitarea </w:t>
      </w:r>
      <w:r>
        <w:rPr>
          <w:i/>
          <w:sz w:val="24"/>
        </w:rPr>
        <w:t>activitatii de audit public intern aprobate prin Hotararea nr.1086 din 11 decembrie 2013, </w:t>
      </w:r>
      <w:r>
        <w:rPr>
          <w:sz w:val="24"/>
        </w:rPr>
        <w:t>în baza ordinelor de serviciu ale conducerii entitătii publice, auditorul intern a efectuat si misiuni de consiliere cu caracter</w:t>
      </w:r>
      <w:r>
        <w:rPr>
          <w:spacing w:val="-3"/>
          <w:sz w:val="24"/>
        </w:rPr>
        <w:t> </w:t>
      </w:r>
      <w:r>
        <w:rPr>
          <w:sz w:val="24"/>
        </w:rPr>
        <w:t>informal.</w:t>
      </w:r>
    </w:p>
    <w:p>
      <w:pPr>
        <w:pStyle w:val="BodyText"/>
        <w:ind w:right="1134" w:firstLine="180"/>
        <w:jc w:val="both"/>
      </w:pPr>
      <w:r>
        <w:rPr/>
        <w:t>Scopul acestor misiuni: facilitarea înţelegerii, care este destinată obţinerii de informaţii suplimentare pentru cunoaşterea în profunzime a funcţionării proceselor, sistemelor, activităților, de către personalul de conducere si de executie de la nivelul compartimentelor de specialitate/ componentelor structurale implicate în procesul/sistemul/activitatea respectivă.</w:t>
      </w:r>
    </w:p>
    <w:p>
      <w:pPr>
        <w:pStyle w:val="BodyText"/>
        <w:ind w:right="1140" w:firstLine="300"/>
      </w:pPr>
      <w:r>
        <w:rPr/>
        <w:t>Rezultate: acte administrative, documente privind organizarea proceselor/activitătilor; documente privind sistemul de control intern managerial etc elaborate la nivelul compartimentelor de specialitate.</w:t>
      </w:r>
    </w:p>
    <w:p>
      <w:pPr>
        <w:pStyle w:val="ListParagraph"/>
        <w:numPr>
          <w:ilvl w:val="0"/>
          <w:numId w:val="12"/>
        </w:numPr>
        <w:tabs>
          <w:tab w:pos="861" w:val="left" w:leader="none"/>
        </w:tabs>
        <w:spacing w:line="240" w:lineRule="auto" w:before="1" w:after="0"/>
        <w:ind w:left="680" w:right="1139" w:firstLine="0"/>
        <w:jc w:val="left"/>
        <w:rPr>
          <w:sz w:val="24"/>
        </w:rPr>
      </w:pPr>
      <w:r>
        <w:rPr>
          <w:sz w:val="24"/>
        </w:rPr>
        <w:t>Realizarea unor analize anuale privind efectuarea activitatilor de audit public intern cuprinse în planurile multianuale si anuale de audit public intern aprobate de conducerea</w:t>
      </w:r>
      <w:r>
        <w:rPr>
          <w:spacing w:val="-9"/>
          <w:sz w:val="24"/>
        </w:rPr>
        <w:t> </w:t>
      </w:r>
      <w:r>
        <w:rPr>
          <w:sz w:val="24"/>
        </w:rPr>
        <w:t>entităţii</w:t>
      </w:r>
    </w:p>
    <w:p>
      <w:pPr>
        <w:pStyle w:val="BodyText"/>
        <w:ind w:right="1023" w:firstLine="182"/>
        <w:jc w:val="both"/>
      </w:pPr>
      <w:r>
        <w:rPr/>
        <w:t>În conformitate cu dispozitiile de la pct. 1.3.6. din Normele metodologice specifice privind exercitarea auditului public intern în cadrul Ministerului Sănătăţii, aprobate prin O.M.S.683/2014 si dispozitiile conducerii entitătii publice au fost elaborate documentele de raportare cu privire la activitatea Compartimentului de audit public intern pentru anul 2016.</w:t>
      </w:r>
    </w:p>
    <w:p>
      <w:pPr>
        <w:pStyle w:val="BodyText"/>
        <w:ind w:left="860"/>
      </w:pPr>
      <w:r>
        <w:rPr/>
        <w:t>Rezultate:</w:t>
      </w:r>
    </w:p>
    <w:p>
      <w:pPr>
        <w:pStyle w:val="BodyText"/>
        <w:ind w:right="1363" w:firstLine="60"/>
        <w:jc w:val="both"/>
      </w:pPr>
      <w:r>
        <w:rPr>
          <w:b/>
        </w:rPr>
        <w:t>- </w:t>
      </w:r>
      <w:r>
        <w:rPr/>
        <w:t>raportul privind activitatea de audit public intern desfasurata la nivelul D.S.P.M.B. pe anul 2016 si anexele aferente, înaintate la compartimentul de audit public intern de la nivelul entitătii publice ierarhic superioare cu nr. conexat 24752/ 26.01.2017;</w:t>
      </w:r>
    </w:p>
    <w:p>
      <w:pPr>
        <w:pStyle w:val="ListParagraph"/>
        <w:numPr>
          <w:ilvl w:val="0"/>
          <w:numId w:val="13"/>
        </w:numPr>
        <w:tabs>
          <w:tab w:pos="880" w:val="left" w:leader="none"/>
        </w:tabs>
        <w:spacing w:line="240" w:lineRule="auto" w:before="0" w:after="0"/>
        <w:ind w:left="879" w:right="0" w:hanging="140"/>
        <w:jc w:val="left"/>
        <w:rPr>
          <w:sz w:val="24"/>
        </w:rPr>
      </w:pPr>
      <w:r>
        <w:rPr>
          <w:sz w:val="24"/>
        </w:rPr>
        <w:t>raportul înaintat la Curtea Conturi cu adresa nr.</w:t>
      </w:r>
      <w:r>
        <w:rPr>
          <w:spacing w:val="-1"/>
          <w:sz w:val="24"/>
        </w:rPr>
        <w:t> </w:t>
      </w:r>
      <w:r>
        <w:rPr>
          <w:sz w:val="24"/>
        </w:rPr>
        <w:t>3916/13.03.2017;</w:t>
      </w:r>
    </w:p>
    <w:p>
      <w:pPr>
        <w:pStyle w:val="ListParagraph"/>
        <w:numPr>
          <w:ilvl w:val="0"/>
          <w:numId w:val="13"/>
        </w:numPr>
        <w:tabs>
          <w:tab w:pos="880" w:val="left" w:leader="none"/>
        </w:tabs>
        <w:spacing w:line="240" w:lineRule="auto" w:before="0" w:after="0"/>
        <w:ind w:left="879" w:right="0" w:hanging="140"/>
        <w:jc w:val="left"/>
        <w:rPr>
          <w:sz w:val="24"/>
        </w:rPr>
      </w:pPr>
      <w:r>
        <w:rPr>
          <w:sz w:val="24"/>
        </w:rPr>
        <w:t>raportul de activitate cu nr.560/ 25.01.2017;</w:t>
      </w:r>
    </w:p>
    <w:p>
      <w:pPr>
        <w:pStyle w:val="ListParagraph"/>
        <w:numPr>
          <w:ilvl w:val="0"/>
          <w:numId w:val="10"/>
        </w:numPr>
        <w:tabs>
          <w:tab w:pos="880" w:val="left" w:leader="none"/>
        </w:tabs>
        <w:spacing w:line="240" w:lineRule="auto" w:before="0" w:after="0"/>
        <w:ind w:left="879" w:right="0" w:hanging="200"/>
        <w:jc w:val="left"/>
        <w:rPr>
          <w:sz w:val="24"/>
        </w:rPr>
      </w:pPr>
      <w:r>
        <w:rPr>
          <w:sz w:val="24"/>
        </w:rPr>
        <w:t>raport de activitate cu nr.conex</w:t>
      </w:r>
      <w:r>
        <w:rPr>
          <w:spacing w:val="4"/>
          <w:sz w:val="24"/>
        </w:rPr>
        <w:t> </w:t>
      </w:r>
      <w:r>
        <w:rPr>
          <w:sz w:val="24"/>
        </w:rPr>
        <w:t>9494/27.04.2017.</w:t>
      </w:r>
    </w:p>
    <w:p>
      <w:pPr>
        <w:pStyle w:val="ListParagraph"/>
        <w:numPr>
          <w:ilvl w:val="0"/>
          <w:numId w:val="12"/>
        </w:numPr>
        <w:tabs>
          <w:tab w:pos="861" w:val="left" w:leader="none"/>
        </w:tabs>
        <w:spacing w:line="240" w:lineRule="auto" w:before="0" w:after="0"/>
        <w:ind w:left="680" w:right="1135" w:firstLine="0"/>
        <w:jc w:val="both"/>
        <w:rPr>
          <w:sz w:val="24"/>
        </w:rPr>
      </w:pPr>
      <w:r>
        <w:rPr>
          <w:sz w:val="24"/>
        </w:rPr>
        <w:t>Capacitatea entităţii de a asigura o planificare multianuală şi anuală în conformitate cu regulile şi principiile auditului public intern: in conformitate cu dispozitiile de la pct. 2.3.1. din Normele metodologice specifice privind exercitarea auditului public intern în cadrul ministerului sănătăţii, aprobate prin O.M.S.683/2014 si dispozitiile conducerii entitătii publice au fost elaborate documentele privind planificarea multianuală si anuală a activitătii de audit public</w:t>
      </w:r>
      <w:r>
        <w:rPr>
          <w:spacing w:val="-7"/>
          <w:sz w:val="24"/>
        </w:rPr>
        <w:t> </w:t>
      </w:r>
      <w:r>
        <w:rPr>
          <w:sz w:val="24"/>
        </w:rPr>
        <w:t>intern.</w:t>
      </w:r>
    </w:p>
    <w:p>
      <w:pPr>
        <w:pStyle w:val="BodyText"/>
        <w:spacing w:before="1"/>
        <w:ind w:left="740"/>
      </w:pPr>
      <w:r>
        <w:rPr/>
        <w:t>Rezultate:</w:t>
      </w:r>
    </w:p>
    <w:p>
      <w:pPr>
        <w:pStyle w:val="ListParagraph"/>
        <w:numPr>
          <w:ilvl w:val="0"/>
          <w:numId w:val="10"/>
        </w:numPr>
        <w:tabs>
          <w:tab w:pos="772" w:val="left" w:leader="none"/>
        </w:tabs>
        <w:spacing w:line="240" w:lineRule="auto" w:before="0" w:after="0"/>
        <w:ind w:left="771" w:right="0" w:hanging="140"/>
        <w:jc w:val="left"/>
        <w:rPr>
          <w:sz w:val="24"/>
        </w:rPr>
      </w:pPr>
      <w:r>
        <w:rPr>
          <w:sz w:val="24"/>
        </w:rPr>
        <w:t>referatul de modificare</w:t>
      </w:r>
      <w:r>
        <w:rPr>
          <w:spacing w:val="-2"/>
          <w:sz w:val="24"/>
        </w:rPr>
        <w:t> </w:t>
      </w:r>
      <w:r>
        <w:rPr>
          <w:sz w:val="24"/>
        </w:rPr>
        <w:t>(nr.4435/21.03.2017)</w:t>
      </w:r>
    </w:p>
    <w:p>
      <w:pPr>
        <w:pStyle w:val="ListParagraph"/>
        <w:numPr>
          <w:ilvl w:val="0"/>
          <w:numId w:val="10"/>
        </w:numPr>
        <w:tabs>
          <w:tab w:pos="772" w:val="left" w:leader="none"/>
        </w:tabs>
        <w:spacing w:line="240" w:lineRule="auto" w:before="0" w:after="0"/>
        <w:ind w:left="771" w:right="0" w:hanging="140"/>
        <w:jc w:val="left"/>
        <w:rPr>
          <w:sz w:val="24"/>
        </w:rPr>
      </w:pPr>
      <w:r>
        <w:rPr>
          <w:sz w:val="24"/>
        </w:rPr>
        <w:t>planul anual de audit public intern, actualizat ( nr.</w:t>
      </w:r>
      <w:r>
        <w:rPr>
          <w:spacing w:val="-1"/>
          <w:sz w:val="24"/>
        </w:rPr>
        <w:t> </w:t>
      </w:r>
      <w:r>
        <w:rPr>
          <w:sz w:val="24"/>
        </w:rPr>
        <w:t>8355/24.04.2017)</w:t>
      </w:r>
    </w:p>
    <w:p>
      <w:pPr>
        <w:pStyle w:val="ListParagraph"/>
        <w:numPr>
          <w:ilvl w:val="0"/>
          <w:numId w:val="10"/>
        </w:numPr>
        <w:tabs>
          <w:tab w:pos="772" w:val="left" w:leader="none"/>
        </w:tabs>
        <w:spacing w:line="240" w:lineRule="auto" w:before="0" w:after="0"/>
        <w:ind w:left="771" w:right="0" w:hanging="140"/>
        <w:jc w:val="left"/>
        <w:rPr>
          <w:sz w:val="24"/>
        </w:rPr>
      </w:pPr>
      <w:r>
        <w:rPr>
          <w:sz w:val="24"/>
        </w:rPr>
        <w:t>planul anual de audit public intern, actualizat ( nr.</w:t>
      </w:r>
      <w:r>
        <w:rPr>
          <w:spacing w:val="-1"/>
          <w:sz w:val="24"/>
        </w:rPr>
        <w:t> </w:t>
      </w:r>
      <w:r>
        <w:rPr>
          <w:sz w:val="24"/>
        </w:rPr>
        <w:t>18865/18.10.2017)</w:t>
      </w:r>
    </w:p>
    <w:p>
      <w:pPr>
        <w:pStyle w:val="ListParagraph"/>
        <w:numPr>
          <w:ilvl w:val="0"/>
          <w:numId w:val="10"/>
        </w:numPr>
        <w:tabs>
          <w:tab w:pos="839" w:val="left" w:leader="none"/>
        </w:tabs>
        <w:spacing w:line="240" w:lineRule="auto" w:before="0" w:after="0"/>
        <w:ind w:left="572" w:right="1024" w:firstLine="60"/>
        <w:jc w:val="left"/>
        <w:rPr>
          <w:sz w:val="24"/>
        </w:rPr>
      </w:pPr>
      <w:r>
        <w:rPr>
          <w:sz w:val="24"/>
        </w:rPr>
        <w:t>referatul de justificare nr.23002/27.11.2017 însoțit de anexele nr.1- nr.7, proiectele planurilor multianual si anual de audit public</w:t>
      </w:r>
      <w:r>
        <w:rPr>
          <w:spacing w:val="-1"/>
          <w:sz w:val="24"/>
        </w:rPr>
        <w:t> </w:t>
      </w:r>
      <w:r>
        <w:rPr>
          <w:sz w:val="24"/>
        </w:rPr>
        <w:t>intern;</w:t>
      </w:r>
    </w:p>
    <w:p>
      <w:pPr>
        <w:pStyle w:val="ListParagraph"/>
        <w:numPr>
          <w:ilvl w:val="0"/>
          <w:numId w:val="10"/>
        </w:numPr>
        <w:tabs>
          <w:tab w:pos="772" w:val="left" w:leader="none"/>
        </w:tabs>
        <w:spacing w:line="240" w:lineRule="auto" w:before="0" w:after="0"/>
        <w:ind w:left="771" w:right="0" w:hanging="140"/>
        <w:jc w:val="left"/>
        <w:rPr>
          <w:sz w:val="24"/>
        </w:rPr>
      </w:pPr>
      <w:r>
        <w:rPr>
          <w:sz w:val="24"/>
        </w:rPr>
        <w:t>planul multianual de audit public intern nr.</w:t>
      </w:r>
      <w:r>
        <w:rPr>
          <w:spacing w:val="-7"/>
          <w:sz w:val="24"/>
        </w:rPr>
        <w:t> </w:t>
      </w:r>
      <w:r>
        <w:rPr>
          <w:sz w:val="24"/>
        </w:rPr>
        <w:t>23366/04.12.2017;</w:t>
      </w:r>
    </w:p>
    <w:p>
      <w:pPr>
        <w:pStyle w:val="ListParagraph"/>
        <w:numPr>
          <w:ilvl w:val="0"/>
          <w:numId w:val="10"/>
        </w:numPr>
        <w:tabs>
          <w:tab w:pos="772" w:val="left" w:leader="none"/>
        </w:tabs>
        <w:spacing w:line="240" w:lineRule="auto" w:before="0" w:after="0"/>
        <w:ind w:left="771" w:right="0" w:hanging="140"/>
        <w:jc w:val="left"/>
        <w:rPr>
          <w:sz w:val="24"/>
        </w:rPr>
      </w:pPr>
      <w:r>
        <w:rPr>
          <w:sz w:val="24"/>
        </w:rPr>
        <w:t>planul anual de audit public intern/2018 nr.</w:t>
      </w:r>
      <w:r>
        <w:rPr>
          <w:spacing w:val="-6"/>
          <w:sz w:val="24"/>
        </w:rPr>
        <w:t> </w:t>
      </w:r>
      <w:r>
        <w:rPr>
          <w:sz w:val="24"/>
        </w:rPr>
        <w:t>23367/04.12.2017.</w:t>
      </w:r>
    </w:p>
    <w:p>
      <w:pPr>
        <w:pStyle w:val="ListParagraph"/>
        <w:numPr>
          <w:ilvl w:val="0"/>
          <w:numId w:val="12"/>
        </w:numPr>
        <w:tabs>
          <w:tab w:pos="926" w:val="left" w:leader="none"/>
        </w:tabs>
        <w:spacing w:line="240" w:lineRule="auto" w:before="0" w:after="0"/>
        <w:ind w:left="680" w:right="1029" w:firstLine="0"/>
        <w:jc w:val="left"/>
        <w:rPr>
          <w:sz w:val="24"/>
        </w:rPr>
      </w:pPr>
      <w:r>
        <w:rPr>
          <w:sz w:val="24"/>
        </w:rPr>
        <w:t>Realizarea altor activităti /documente aferente Compartimentului de audit public intern în termenul stabilit</w:t>
      </w:r>
    </w:p>
    <w:p>
      <w:pPr>
        <w:pStyle w:val="BodyText"/>
        <w:ind w:left="550" w:right="1023" w:firstLine="242"/>
        <w:jc w:val="both"/>
      </w:pPr>
      <w:r>
        <w:rPr/>
        <w:t>În conformitate cu Anexa 2 -Metodologie de elaborare a programului de asigurare şi îmbunătăţire a calităţii activităţii de audit intern din Normele metodologice specifice privind exercitarea auditului public intern în cadrul ministerului sănătăţii, aprobate prin O.M.S.683/2014 au fost elaborate/actualizate documentatiile aferente Programului de asigurare şi îmbunătăţire a calităţii activităţii de audit intern:</w:t>
      </w:r>
    </w:p>
    <w:p>
      <w:pPr>
        <w:pStyle w:val="ListParagraph"/>
        <w:numPr>
          <w:ilvl w:val="0"/>
          <w:numId w:val="10"/>
        </w:numPr>
        <w:tabs>
          <w:tab w:pos="820" w:val="left" w:leader="none"/>
        </w:tabs>
        <w:spacing w:line="240" w:lineRule="auto" w:before="1" w:after="0"/>
        <w:ind w:left="819" w:right="0" w:hanging="140"/>
        <w:jc w:val="both"/>
        <w:rPr>
          <w:sz w:val="24"/>
        </w:rPr>
      </w:pPr>
      <w:r>
        <w:rPr>
          <w:sz w:val="24"/>
        </w:rPr>
        <w:t>programul de asigurare şi îmbunătăţire a calităţii activităţii de audit intern nr. 487/13.01.2017</w:t>
      </w:r>
      <w:r>
        <w:rPr>
          <w:spacing w:val="-9"/>
          <w:sz w:val="24"/>
        </w:rPr>
        <w:t> </w:t>
      </w:r>
      <w:r>
        <w:rPr>
          <w:sz w:val="24"/>
        </w:rPr>
        <w:t>;</w:t>
      </w:r>
    </w:p>
    <w:p>
      <w:pPr>
        <w:pStyle w:val="ListParagraph"/>
        <w:numPr>
          <w:ilvl w:val="0"/>
          <w:numId w:val="10"/>
        </w:numPr>
        <w:tabs>
          <w:tab w:pos="827" w:val="left" w:leader="none"/>
        </w:tabs>
        <w:spacing w:line="240" w:lineRule="auto" w:before="0" w:after="0"/>
        <w:ind w:left="680" w:right="1144" w:firstLine="0"/>
        <w:jc w:val="both"/>
        <w:rPr>
          <w:sz w:val="24"/>
        </w:rPr>
      </w:pPr>
      <w:r>
        <w:rPr>
          <w:sz w:val="24"/>
        </w:rPr>
        <w:t>planul de acţiune privind asigurarea şi îmbunătăţirea calităţii activităţii de audit intern pentru 2017 nr.488/13.01.2017, cu actualizările</w:t>
      </w:r>
      <w:r>
        <w:rPr>
          <w:spacing w:val="-2"/>
          <w:sz w:val="24"/>
        </w:rPr>
        <w:t> </w:t>
      </w:r>
      <w:r>
        <w:rPr>
          <w:sz w:val="24"/>
        </w:rPr>
        <w:t>ulterioare;</w:t>
      </w:r>
    </w:p>
    <w:p>
      <w:pPr>
        <w:spacing w:after="0" w:line="240" w:lineRule="auto"/>
        <w:jc w:val="both"/>
        <w:rPr>
          <w:sz w:val="24"/>
        </w:rPr>
        <w:sectPr>
          <w:pgSz w:w="11910" w:h="16840"/>
          <w:pgMar w:header="0" w:footer="658" w:top="1360" w:bottom="920" w:left="400" w:right="0"/>
        </w:sectPr>
      </w:pPr>
    </w:p>
    <w:p>
      <w:pPr>
        <w:pStyle w:val="ListParagraph"/>
        <w:numPr>
          <w:ilvl w:val="0"/>
          <w:numId w:val="10"/>
        </w:numPr>
        <w:tabs>
          <w:tab w:pos="820" w:val="left" w:leader="none"/>
        </w:tabs>
        <w:spacing w:line="240" w:lineRule="auto" w:before="60" w:after="0"/>
        <w:ind w:left="819" w:right="0" w:hanging="140"/>
        <w:jc w:val="left"/>
        <w:rPr>
          <w:sz w:val="24"/>
        </w:rPr>
      </w:pPr>
      <w:r>
        <w:rPr>
          <w:sz w:val="24"/>
        </w:rPr>
        <w:t>raportul privind monitorizarea calitatii activitatii de audit public intern  nr.</w:t>
      </w:r>
      <w:r>
        <w:rPr>
          <w:spacing w:val="-16"/>
          <w:sz w:val="24"/>
        </w:rPr>
        <w:t> </w:t>
      </w:r>
      <w:r>
        <w:rPr>
          <w:sz w:val="24"/>
        </w:rPr>
        <w:t>12302/03.07.2017;</w:t>
      </w:r>
    </w:p>
    <w:p>
      <w:pPr>
        <w:pStyle w:val="ListParagraph"/>
        <w:numPr>
          <w:ilvl w:val="0"/>
          <w:numId w:val="10"/>
        </w:numPr>
        <w:tabs>
          <w:tab w:pos="820" w:val="left" w:leader="none"/>
        </w:tabs>
        <w:spacing w:line="240" w:lineRule="auto" w:before="1" w:after="0"/>
        <w:ind w:left="819" w:right="0" w:hanging="140"/>
        <w:jc w:val="left"/>
        <w:rPr>
          <w:sz w:val="24"/>
        </w:rPr>
      </w:pPr>
      <w:r>
        <w:rPr>
          <w:sz w:val="24"/>
        </w:rPr>
        <w:t>raportul privind monitorizarea calitatii activitatii de audit public intern  nr.</w:t>
      </w:r>
      <w:r>
        <w:rPr>
          <w:spacing w:val="-16"/>
          <w:sz w:val="24"/>
        </w:rPr>
        <w:t> </w:t>
      </w:r>
      <w:r>
        <w:rPr>
          <w:sz w:val="24"/>
        </w:rPr>
        <w:t>17480/02.10.2017;</w:t>
      </w:r>
    </w:p>
    <w:p>
      <w:pPr>
        <w:pStyle w:val="ListParagraph"/>
        <w:numPr>
          <w:ilvl w:val="0"/>
          <w:numId w:val="10"/>
        </w:numPr>
        <w:tabs>
          <w:tab w:pos="820" w:val="left" w:leader="none"/>
        </w:tabs>
        <w:spacing w:line="240" w:lineRule="auto" w:before="0" w:after="0"/>
        <w:ind w:left="819" w:right="0" w:hanging="140"/>
        <w:jc w:val="left"/>
        <w:rPr>
          <w:sz w:val="24"/>
        </w:rPr>
      </w:pPr>
      <w:r>
        <w:rPr>
          <w:sz w:val="24"/>
        </w:rPr>
        <w:t>raportul privind monitorizarea calitatii activitatii de audit public intern  nr.</w:t>
      </w:r>
      <w:r>
        <w:rPr>
          <w:spacing w:val="-14"/>
          <w:sz w:val="24"/>
        </w:rPr>
        <w:t> </w:t>
      </w:r>
      <w:r>
        <w:rPr>
          <w:sz w:val="24"/>
        </w:rPr>
        <w:t>23396/04.12.2017;</w:t>
      </w:r>
    </w:p>
    <w:p>
      <w:pPr>
        <w:pStyle w:val="BodyText"/>
        <w:ind w:right="1133" w:firstLine="180"/>
        <w:jc w:val="both"/>
      </w:pPr>
      <w:r>
        <w:rPr/>
        <w:t>Potrivit Ordinului Secretariatului General al Guvernului nr. 200 din 26 februarie 2016 privind modificarea şi completarea </w:t>
      </w:r>
      <w:hyperlink r:id="rId49">
        <w:r>
          <w:rPr>
            <w:color w:val="0000FF"/>
            <w:u w:val="single" w:color="0000FF"/>
          </w:rPr>
          <w:t>Ordinului secretarului general al Guvernului nr. 400/2015</w:t>
        </w:r>
      </w:hyperlink>
      <w:r>
        <w:rPr>
          <w:color w:val="0000FF"/>
        </w:rPr>
        <w:t> </w:t>
      </w:r>
      <w:r>
        <w:rPr/>
        <w:t>pentru aprobarea Codului controlului intern/managerial al entităţilor publice si urmare solicitărilor  Comisiei de</w:t>
      </w:r>
      <w:r>
        <w:rPr>
          <w:spacing w:val="-2"/>
        </w:rPr>
        <w:t> </w:t>
      </w:r>
      <w:r>
        <w:rPr/>
        <w:t>monitorizare:</w:t>
      </w:r>
    </w:p>
    <w:p>
      <w:pPr>
        <w:pStyle w:val="ListParagraph"/>
        <w:numPr>
          <w:ilvl w:val="0"/>
          <w:numId w:val="10"/>
        </w:numPr>
        <w:tabs>
          <w:tab w:pos="823" w:val="left" w:leader="none"/>
        </w:tabs>
        <w:spacing w:line="240" w:lineRule="auto" w:before="0" w:after="0"/>
        <w:ind w:left="680" w:right="1025" w:firstLine="0"/>
        <w:jc w:val="both"/>
        <w:rPr>
          <w:sz w:val="24"/>
        </w:rPr>
      </w:pPr>
      <w:r>
        <w:rPr>
          <w:sz w:val="24"/>
        </w:rPr>
        <w:t>au fost elaborate documentele de raportare privind sistemul de control intern managerial pentru anul 2017 ( ex.: Situatia centralizatoare privind stadiul implementării si dezvoltării sistemului de control intern managerial, Chestionar de autoevaluare a stadiului implementării si dezvoltării sistemului de control intern</w:t>
      </w:r>
      <w:r>
        <w:rPr>
          <w:spacing w:val="-1"/>
          <w:sz w:val="24"/>
        </w:rPr>
        <w:t> </w:t>
      </w:r>
      <w:r>
        <w:rPr>
          <w:sz w:val="24"/>
        </w:rPr>
        <w:t>managerial)</w:t>
      </w:r>
    </w:p>
    <w:p>
      <w:pPr>
        <w:pStyle w:val="ListParagraph"/>
        <w:numPr>
          <w:ilvl w:val="0"/>
          <w:numId w:val="10"/>
        </w:numPr>
        <w:tabs>
          <w:tab w:pos="895" w:val="left" w:leader="none"/>
        </w:tabs>
        <w:spacing w:line="240" w:lineRule="auto" w:before="0" w:after="0"/>
        <w:ind w:left="680" w:right="1133" w:firstLine="0"/>
        <w:jc w:val="both"/>
        <w:rPr>
          <w:sz w:val="24"/>
        </w:rPr>
      </w:pPr>
      <w:r>
        <w:rPr>
          <w:sz w:val="24"/>
        </w:rPr>
        <w:t>au fost revizuite documente privind sistemul de control intern managerial(lista obiectivelor generale şi specifice</w:t>
      </w:r>
      <w:r>
        <w:rPr>
          <w:color w:val="FF0000"/>
          <w:sz w:val="24"/>
        </w:rPr>
        <w:t>, </w:t>
      </w:r>
      <w:r>
        <w:rPr>
          <w:sz w:val="24"/>
        </w:rPr>
        <w:t>lista obiectivelor şi activităţilor, Lista obiectivelor, activităţilor şi riscurilor, registrul riscurilor</w:t>
      </w:r>
      <w:r>
        <w:rPr>
          <w:spacing w:val="-1"/>
          <w:sz w:val="24"/>
        </w:rPr>
        <w:t> </w:t>
      </w:r>
      <w:r>
        <w:rPr>
          <w:sz w:val="24"/>
        </w:rPr>
        <w:t>etc).</w:t>
      </w:r>
    </w:p>
    <w:p>
      <w:pPr>
        <w:pStyle w:val="BodyText"/>
        <w:spacing w:before="1"/>
        <w:ind w:right="1141" w:firstLine="60"/>
        <w:jc w:val="both"/>
      </w:pPr>
      <w:r>
        <w:rPr/>
        <w:t>Urmare dispozitiilor/solicitărilor managementului au fost elaborate documente/proiecte ale unor documente, din care exemplificăm:</w:t>
      </w:r>
    </w:p>
    <w:p>
      <w:pPr>
        <w:pStyle w:val="ListParagraph"/>
        <w:numPr>
          <w:ilvl w:val="0"/>
          <w:numId w:val="10"/>
        </w:numPr>
        <w:tabs>
          <w:tab w:pos="887" w:val="left" w:leader="none"/>
        </w:tabs>
        <w:spacing w:line="240" w:lineRule="auto" w:before="0" w:after="0"/>
        <w:ind w:left="680" w:right="1132" w:firstLine="60"/>
        <w:jc w:val="both"/>
        <w:rPr>
          <w:sz w:val="24"/>
        </w:rPr>
      </w:pPr>
      <w:r>
        <w:rPr>
          <w:sz w:val="24"/>
        </w:rPr>
        <w:t>documentele solicitate de conducerea entitătii publice prin Nota internă nr. 34/11.01.2017, adresa nr. 205/11.01.2017;</w:t>
      </w:r>
    </w:p>
    <w:p>
      <w:pPr>
        <w:pStyle w:val="ListParagraph"/>
        <w:numPr>
          <w:ilvl w:val="0"/>
          <w:numId w:val="10"/>
        </w:numPr>
        <w:tabs>
          <w:tab w:pos="904" w:val="left" w:leader="none"/>
        </w:tabs>
        <w:spacing w:line="240" w:lineRule="auto" w:before="0" w:after="0"/>
        <w:ind w:left="680" w:right="1141" w:firstLine="60"/>
        <w:jc w:val="both"/>
        <w:rPr>
          <w:sz w:val="24"/>
        </w:rPr>
      </w:pPr>
      <w:r>
        <w:rPr>
          <w:sz w:val="24"/>
        </w:rPr>
        <w:t>nota de justificare privind dimensionarea structurii de audit public intern ( nr. 1597/03.02.2017, nr.16534/14.09.2017);</w:t>
      </w:r>
    </w:p>
    <w:p>
      <w:pPr>
        <w:pStyle w:val="ListParagraph"/>
        <w:numPr>
          <w:ilvl w:val="0"/>
          <w:numId w:val="10"/>
        </w:numPr>
        <w:tabs>
          <w:tab w:pos="847" w:val="left" w:leader="none"/>
        </w:tabs>
        <w:spacing w:line="240" w:lineRule="auto" w:before="0" w:after="0"/>
        <w:ind w:left="680" w:right="1131" w:firstLine="0"/>
        <w:jc w:val="both"/>
        <w:rPr>
          <w:sz w:val="24"/>
        </w:rPr>
      </w:pPr>
      <w:r>
        <w:rPr>
          <w:sz w:val="24"/>
        </w:rPr>
        <w:t>raport privind solicitarea MS referitoare la activitatea CAPI pentru perioada 2015 semestrul I 2017.</w:t>
      </w:r>
    </w:p>
    <w:p>
      <w:pPr>
        <w:pStyle w:val="BodyText"/>
        <w:ind w:right="1133" w:firstLine="60"/>
        <w:jc w:val="both"/>
      </w:pPr>
      <w:r>
        <w:rPr/>
        <w:t>Referitor la procedura formalizată P-21-Urmărirea recomandărilor, auditorul intern a îndeplinit responsabilitătile si atributiile aferente activitătii de urmărire a implementarii recomandărilor din Planul de acţiune şi calendarul implementării recomandărilor, aprobat de conducerea entitătii publice, potrivit Fisei de urmărire a implementării recomandărilor.</w:t>
      </w:r>
    </w:p>
    <w:p>
      <w:pPr>
        <w:pStyle w:val="BodyText"/>
      </w:pPr>
      <w:r>
        <w:rPr/>
        <w:t>Rezultate:</w:t>
      </w:r>
    </w:p>
    <w:p>
      <w:pPr>
        <w:pStyle w:val="ListParagraph"/>
        <w:numPr>
          <w:ilvl w:val="0"/>
          <w:numId w:val="10"/>
        </w:numPr>
        <w:tabs>
          <w:tab w:pos="820" w:val="left" w:leader="none"/>
        </w:tabs>
        <w:spacing w:line="240" w:lineRule="auto" w:before="0" w:after="0"/>
        <w:ind w:left="819" w:right="0" w:hanging="140"/>
        <w:jc w:val="left"/>
        <w:rPr>
          <w:sz w:val="24"/>
        </w:rPr>
      </w:pPr>
      <w:r>
        <w:rPr>
          <w:sz w:val="24"/>
        </w:rPr>
        <w:t>plan de acţiune pentru implementarea recomandărilor (</w:t>
      </w:r>
      <w:r>
        <w:rPr>
          <w:spacing w:val="-5"/>
          <w:sz w:val="24"/>
        </w:rPr>
        <w:t> </w:t>
      </w:r>
      <w:r>
        <w:rPr>
          <w:sz w:val="24"/>
        </w:rPr>
        <w:t>verificare);</w:t>
      </w:r>
    </w:p>
    <w:p>
      <w:pPr>
        <w:pStyle w:val="ListParagraph"/>
        <w:numPr>
          <w:ilvl w:val="0"/>
          <w:numId w:val="10"/>
        </w:numPr>
        <w:tabs>
          <w:tab w:pos="820" w:val="left" w:leader="none"/>
        </w:tabs>
        <w:spacing w:line="240" w:lineRule="auto" w:before="0" w:after="0"/>
        <w:ind w:left="819" w:right="0" w:hanging="140"/>
        <w:jc w:val="left"/>
        <w:rPr>
          <w:sz w:val="24"/>
        </w:rPr>
      </w:pPr>
      <w:r>
        <w:rPr>
          <w:sz w:val="24"/>
        </w:rPr>
        <w:t>fisa de urmărire a implementării</w:t>
      </w:r>
      <w:r>
        <w:rPr>
          <w:spacing w:val="-3"/>
          <w:sz w:val="24"/>
        </w:rPr>
        <w:t> </w:t>
      </w:r>
      <w:r>
        <w:rPr>
          <w:sz w:val="24"/>
        </w:rPr>
        <w:t>recomandărilor.</w:t>
      </w:r>
    </w:p>
    <w:p>
      <w:pPr>
        <w:pStyle w:val="BodyText"/>
        <w:spacing w:before="1"/>
        <w:ind w:right="1133"/>
        <w:jc w:val="both"/>
      </w:pPr>
      <w:r>
        <w:rPr/>
        <w:t>Participarea la sedinte ale Comisiei cu atributii de monitorizare, coordonare şi îndrumare metodologică a implementării si/sau dezvoltării sistemului de control intern managerial; participarea la sedinte , grupuri de lucru, în baza dispozitiilor/solicitărilor conducerii entitătii. Probleme identificate in activitatea desfasurata: situatia care afectează activitatea de audit în administraţia publică, în spetă si în Directia de Sănătate Publică a Municipiului Bucuresti este reprezentată de subdimensionarea structurii de audit public intern prin organizarea Compartimentului de audit public intern cu un singur auditor, ceea ce conduce</w:t>
      </w:r>
      <w:r>
        <w:rPr>
          <w:spacing w:val="-3"/>
        </w:rPr>
        <w:t> </w:t>
      </w:r>
      <w:r>
        <w:rPr/>
        <w:t>la:</w:t>
      </w:r>
    </w:p>
    <w:p>
      <w:pPr>
        <w:pStyle w:val="BodyText"/>
        <w:ind w:right="1139"/>
        <w:jc w:val="both"/>
      </w:pPr>
      <w:r>
        <w:rPr>
          <w:b/>
        </w:rPr>
        <w:t>- </w:t>
      </w:r>
      <w:r>
        <w:rPr/>
        <w:t>neasigurarea realizării tuturor actiunilor, prevăzute de procedurile de audit public intern, aferente functiei de audit public intern, respectiv supervizorul, conducătorul compartimentului de audit public</w:t>
      </w:r>
      <w:r>
        <w:rPr>
          <w:spacing w:val="-1"/>
        </w:rPr>
        <w:t> </w:t>
      </w:r>
      <w:r>
        <w:rPr/>
        <w:t>intern;</w:t>
      </w:r>
    </w:p>
    <w:p>
      <w:pPr>
        <w:pStyle w:val="BodyText"/>
        <w:ind w:right="1135" w:firstLine="60"/>
        <w:jc w:val="both"/>
      </w:pPr>
      <w:r>
        <w:rPr/>
        <w:t>- neasigurarea auditarii, cel puţin o dată la 3 ani, a proceselor/activitatilor /sistemelor obligatorii, prevazute la pct.1.4.3.2. din normelor metodologice specifice privind exercitarea auditului public intern în cadrul Ministerului Sănătatii si în celălalte structuri aflate în subordinea, coordonarea sau sub autoritatea acestuia aprobate prin Ordinul Ministrului Sănătătii nr. 683/11.06.2014;</w:t>
      </w:r>
    </w:p>
    <w:p>
      <w:pPr>
        <w:pStyle w:val="ListParagraph"/>
        <w:numPr>
          <w:ilvl w:val="0"/>
          <w:numId w:val="14"/>
        </w:numPr>
        <w:tabs>
          <w:tab w:pos="832" w:val="left" w:leader="none"/>
        </w:tabs>
        <w:spacing w:line="240" w:lineRule="auto" w:before="0" w:after="0"/>
        <w:ind w:left="680" w:right="1138" w:firstLine="0"/>
        <w:jc w:val="both"/>
        <w:rPr>
          <w:sz w:val="24"/>
        </w:rPr>
      </w:pPr>
      <w:r>
        <w:rPr>
          <w:sz w:val="24"/>
        </w:rPr>
        <w:t>neasigurarea auditării, în termenul legal, a activităţilor derulate la nivelul D.S.P.M.B. care intră în sfera</w:t>
      </w:r>
      <w:r>
        <w:rPr>
          <w:spacing w:val="-1"/>
          <w:sz w:val="24"/>
        </w:rPr>
        <w:t> </w:t>
      </w:r>
      <w:r>
        <w:rPr>
          <w:sz w:val="24"/>
        </w:rPr>
        <w:t>auditabilă.</w:t>
      </w:r>
    </w:p>
    <w:p>
      <w:pPr>
        <w:pStyle w:val="BodyText"/>
        <w:jc w:val="both"/>
      </w:pPr>
      <w:r>
        <w:rPr/>
        <w:t>Propuneri pentru remedierea problemelor identificate:</w:t>
      </w:r>
    </w:p>
    <w:p>
      <w:pPr>
        <w:pStyle w:val="BodyText"/>
        <w:spacing w:before="1"/>
        <w:ind w:right="1137" w:firstLine="240"/>
        <w:jc w:val="both"/>
      </w:pPr>
      <w:r>
        <w:rPr/>
        <w:t>Având în vedere îmbunătăţirea cadrului legislativ şi procedural in domeniul auditului public intern, sunt necesare urmatoarele masuri organizatorice:</w:t>
      </w:r>
    </w:p>
    <w:p>
      <w:pPr>
        <w:spacing w:after="0"/>
        <w:jc w:val="both"/>
        <w:sectPr>
          <w:pgSz w:w="11910" w:h="16840"/>
          <w:pgMar w:header="0" w:footer="658" w:top="1360" w:bottom="920" w:left="400" w:right="0"/>
        </w:sectPr>
      </w:pPr>
    </w:p>
    <w:p>
      <w:pPr>
        <w:pStyle w:val="ListParagraph"/>
        <w:numPr>
          <w:ilvl w:val="0"/>
          <w:numId w:val="14"/>
        </w:numPr>
        <w:tabs>
          <w:tab w:pos="880" w:val="left" w:leader="none"/>
        </w:tabs>
        <w:spacing w:line="240" w:lineRule="auto" w:before="60" w:after="0"/>
        <w:ind w:left="680" w:right="1136" w:firstLine="0"/>
        <w:jc w:val="both"/>
        <w:rPr>
          <w:sz w:val="24"/>
        </w:rPr>
      </w:pPr>
      <w:r>
        <w:rPr>
          <w:sz w:val="24"/>
        </w:rPr>
        <w:t>adaptarea dimensiunii compartimentului de audit intern pe baza volumului de activitate şi a mărimii riscurilor asociate, astfel încât să asigure auditarea activităţilor cuprinse în sfera auditului public</w:t>
      </w:r>
      <w:r>
        <w:rPr>
          <w:spacing w:val="-1"/>
          <w:sz w:val="24"/>
        </w:rPr>
        <w:t> </w:t>
      </w:r>
      <w:r>
        <w:rPr>
          <w:sz w:val="24"/>
        </w:rPr>
        <w:t>intern.</w:t>
      </w:r>
    </w:p>
    <w:p>
      <w:pPr>
        <w:pStyle w:val="ListParagraph"/>
        <w:numPr>
          <w:ilvl w:val="0"/>
          <w:numId w:val="14"/>
        </w:numPr>
        <w:tabs>
          <w:tab w:pos="909" w:val="left" w:leader="none"/>
        </w:tabs>
        <w:spacing w:line="240" w:lineRule="auto" w:before="1" w:after="0"/>
        <w:ind w:left="680" w:right="1139" w:firstLine="60"/>
        <w:jc w:val="both"/>
        <w:rPr>
          <w:sz w:val="24"/>
        </w:rPr>
      </w:pPr>
      <w:r>
        <w:rPr>
          <w:sz w:val="24"/>
        </w:rPr>
        <w:t>suplimentarea numărului de personal necesar care să asigure îndeplinirea obiectivelor şi tuturor atribuţiilor compartimentului de audit intern, si, implicit exercitarea auditului intern in termenul legal asupra tuturor activitatilor din sfera auditului</w:t>
      </w:r>
      <w:r>
        <w:rPr>
          <w:spacing w:val="-4"/>
          <w:sz w:val="24"/>
        </w:rPr>
        <w:t> </w:t>
      </w:r>
      <w:r>
        <w:rPr>
          <w:sz w:val="24"/>
        </w:rPr>
        <w:t>intern.</w:t>
      </w:r>
    </w:p>
    <w:p>
      <w:pPr>
        <w:pStyle w:val="BodyText"/>
        <w:ind w:left="0"/>
      </w:pPr>
    </w:p>
    <w:p>
      <w:pPr>
        <w:pStyle w:val="Heading1"/>
        <w:ind w:left="680"/>
        <w:jc w:val="both"/>
        <w:rPr>
          <w:u w:val="none"/>
        </w:rPr>
      </w:pPr>
      <w:r>
        <w:rPr>
          <w:u w:val="thick"/>
        </w:rPr>
        <w:t>BIROUL AVIZE AUTORIZATII</w:t>
      </w:r>
    </w:p>
    <w:p>
      <w:pPr>
        <w:pStyle w:val="BodyText"/>
        <w:spacing w:before="2"/>
        <w:ind w:left="0"/>
        <w:rPr>
          <w:b/>
          <w:sz w:val="16"/>
        </w:rPr>
      </w:pPr>
    </w:p>
    <w:p>
      <w:pPr>
        <w:pStyle w:val="BodyText"/>
        <w:spacing w:before="90"/>
        <w:ind w:right="1962" w:firstLine="103"/>
      </w:pPr>
      <w:r>
        <w:rPr/>
        <w:t>În cursul anului 2017, în cadrul Biroului Avize Autorizări s-au primit un număr de 6796 de solicitări pe diverse domenii de activitate.</w:t>
      </w:r>
    </w:p>
    <w:p>
      <w:pPr>
        <w:pStyle w:val="BodyText"/>
        <w:ind w:right="1140" w:firstLine="60"/>
      </w:pPr>
      <w:r>
        <w:rPr/>
        <w:t>Conform O.M.S. nr. 1030/2009, modificat şi completat, au fost inregistrate, transmise personalului de specialitate pentru evaluare si eliberate:</w:t>
      </w:r>
    </w:p>
    <w:p>
      <w:pPr>
        <w:pStyle w:val="ListParagraph"/>
        <w:numPr>
          <w:ilvl w:val="0"/>
          <w:numId w:val="15"/>
        </w:numPr>
        <w:tabs>
          <w:tab w:pos="679" w:val="left" w:leader="none"/>
          <w:tab w:pos="680" w:val="left" w:leader="none"/>
        </w:tabs>
        <w:spacing w:line="240" w:lineRule="auto" w:before="1" w:after="0"/>
        <w:ind w:left="680" w:right="0" w:hanging="360"/>
        <w:jc w:val="left"/>
        <w:rPr>
          <w:sz w:val="24"/>
        </w:rPr>
      </w:pPr>
      <w:r>
        <w:rPr>
          <w:sz w:val="24"/>
        </w:rPr>
        <w:t>1597 notificări - asistenţă de specialitate de sănătate publică</w:t>
      </w:r>
      <w:r>
        <w:rPr>
          <w:spacing w:val="-6"/>
          <w:sz w:val="24"/>
        </w:rPr>
        <w:t> </w:t>
      </w:r>
      <w:r>
        <w:rPr>
          <w:sz w:val="24"/>
        </w:rPr>
        <w:t>;</w:t>
      </w:r>
    </w:p>
    <w:p>
      <w:pPr>
        <w:pStyle w:val="ListParagraph"/>
        <w:numPr>
          <w:ilvl w:val="0"/>
          <w:numId w:val="15"/>
        </w:numPr>
        <w:tabs>
          <w:tab w:pos="679" w:val="left" w:leader="none"/>
          <w:tab w:pos="680" w:val="left" w:leader="none"/>
        </w:tabs>
        <w:spacing w:line="240" w:lineRule="auto" w:before="0" w:after="0"/>
        <w:ind w:left="680" w:right="0" w:hanging="360"/>
        <w:jc w:val="left"/>
        <w:rPr>
          <w:sz w:val="24"/>
        </w:rPr>
      </w:pPr>
      <w:r>
        <w:rPr>
          <w:sz w:val="24"/>
        </w:rPr>
        <w:t>1845 notificări de certificarea conformităţii cu normele de igienă şi sănătate</w:t>
      </w:r>
      <w:r>
        <w:rPr>
          <w:spacing w:val="-8"/>
          <w:sz w:val="24"/>
        </w:rPr>
        <w:t> </w:t>
      </w:r>
      <w:r>
        <w:rPr>
          <w:sz w:val="24"/>
        </w:rPr>
        <w:t>publică;</w:t>
      </w:r>
    </w:p>
    <w:p>
      <w:pPr>
        <w:pStyle w:val="ListParagraph"/>
        <w:numPr>
          <w:ilvl w:val="0"/>
          <w:numId w:val="15"/>
        </w:numPr>
        <w:tabs>
          <w:tab w:pos="679" w:val="left" w:leader="none"/>
          <w:tab w:pos="680" w:val="left" w:leader="none"/>
        </w:tabs>
        <w:spacing w:line="240" w:lineRule="auto" w:before="0" w:after="0"/>
        <w:ind w:left="680" w:right="1174" w:hanging="360"/>
        <w:jc w:val="left"/>
        <w:rPr>
          <w:sz w:val="24"/>
        </w:rPr>
      </w:pPr>
      <w:r>
        <w:rPr>
          <w:sz w:val="24"/>
        </w:rPr>
        <w:t>1021 autorizaţii sanitare de funcţionare în baza referatului de evaluare primit de la medicii specialişti pentru: activităţi de asistenţă medicală spitalicească; activităţi de asistenţă medicală generală; activităţi de asistenţă medicală specializată; activităţi de asistenţă medicală stomatologică; activităţi ale centrelor de îngrijire medicală; activităţi ale centrelor de recuperare psihică şi de dezintoxicare, exclusiv spitale; activităţi ale căminelor de bătrâni şi ale căminelor pentru persoane aflate în incapacitate de a se îngriji singure; tratarea şi distribuţia apei</w:t>
      </w:r>
      <w:r>
        <w:rPr>
          <w:spacing w:val="-9"/>
          <w:sz w:val="24"/>
        </w:rPr>
        <w:t> </w:t>
      </w:r>
      <w:r>
        <w:rPr>
          <w:sz w:val="24"/>
        </w:rPr>
        <w:t>potabile;</w:t>
      </w:r>
    </w:p>
    <w:p>
      <w:pPr>
        <w:pStyle w:val="ListParagraph"/>
        <w:numPr>
          <w:ilvl w:val="0"/>
          <w:numId w:val="15"/>
        </w:numPr>
        <w:tabs>
          <w:tab w:pos="740" w:val="left" w:leader="none"/>
          <w:tab w:pos="741" w:val="left" w:leader="none"/>
        </w:tabs>
        <w:spacing w:line="240" w:lineRule="auto" w:before="0" w:after="0"/>
        <w:ind w:left="680" w:right="1397" w:hanging="360"/>
        <w:jc w:val="left"/>
        <w:rPr>
          <w:sz w:val="24"/>
        </w:rPr>
      </w:pPr>
      <w:r>
        <w:rPr/>
        <w:tab/>
      </w:r>
      <w:r>
        <w:rPr>
          <w:sz w:val="24"/>
        </w:rPr>
        <w:t>51 vize autorizaţii sanitare de funcţionare în baza referatului de evaluare, primite de la medicii specialişti pentru: activităţi de asistenţă medicală spitalicească/ tratarea şi distribuţia apei</w:t>
      </w:r>
      <w:r>
        <w:rPr>
          <w:spacing w:val="-27"/>
          <w:sz w:val="24"/>
        </w:rPr>
        <w:t> </w:t>
      </w:r>
      <w:r>
        <w:rPr>
          <w:sz w:val="24"/>
        </w:rPr>
        <w:t>potabile;</w:t>
      </w:r>
    </w:p>
    <w:p>
      <w:pPr>
        <w:pStyle w:val="ListParagraph"/>
        <w:numPr>
          <w:ilvl w:val="0"/>
          <w:numId w:val="15"/>
        </w:numPr>
        <w:tabs>
          <w:tab w:pos="679" w:val="left" w:leader="none"/>
          <w:tab w:pos="680" w:val="left" w:leader="none"/>
        </w:tabs>
        <w:spacing w:line="240" w:lineRule="auto" w:before="0" w:after="0"/>
        <w:ind w:left="680" w:right="1289" w:hanging="284"/>
        <w:jc w:val="left"/>
        <w:rPr>
          <w:sz w:val="24"/>
        </w:rPr>
      </w:pPr>
      <w:r>
        <w:rPr>
          <w:sz w:val="24"/>
        </w:rPr>
        <w:t>224 autorizaţii sanitare de funcţionare în baza declaraţiei pe proprie răspundere, în baza documentaţiilor primite (proceselor verbale efectuate de personalul de specialitate din cadrul serviciului de control în sănătate publică) pentru unitati medico-sociale cu personalitate juridică, unităţi de învăţământ, centre care desfăşoară activităţi de asistenţă socială fără cazare, alte activităţi prevăzute de legislaţia în</w:t>
      </w:r>
      <w:r>
        <w:rPr>
          <w:spacing w:val="-2"/>
          <w:sz w:val="24"/>
        </w:rPr>
        <w:t> </w:t>
      </w:r>
      <w:r>
        <w:rPr>
          <w:sz w:val="24"/>
        </w:rPr>
        <w:t>vigoare;</w:t>
      </w:r>
    </w:p>
    <w:p>
      <w:pPr>
        <w:pStyle w:val="BodyText"/>
        <w:ind w:right="1139" w:firstLine="120"/>
      </w:pPr>
      <w:r>
        <w:rPr/>
        <w:t>Conform O.M.S nr. 607/2013 au fost finalizate 6 autorizaţii sanitare de funcţionare, pentru unităţile de transfuzii sangvine.</w:t>
      </w:r>
    </w:p>
    <w:p>
      <w:pPr>
        <w:pStyle w:val="BodyText"/>
        <w:spacing w:before="1"/>
        <w:ind w:right="1140"/>
      </w:pPr>
      <w:r>
        <w:rPr/>
        <w:t>Potrivit O.U.G nr 124/1998 revizuită şi completată, au fost preluate, verificate, înregistrate şi finalizate 895 cereri şi documentaţii pentru înregistrarea în Registrul Unic al Cabinetelor Medicale, din care:</w:t>
      </w:r>
    </w:p>
    <w:p>
      <w:pPr>
        <w:pStyle w:val="ListParagraph"/>
        <w:numPr>
          <w:ilvl w:val="1"/>
          <w:numId w:val="15"/>
        </w:numPr>
        <w:tabs>
          <w:tab w:pos="820" w:val="left" w:leader="none"/>
        </w:tabs>
        <w:spacing w:line="240" w:lineRule="auto" w:before="0" w:after="0"/>
        <w:ind w:left="680" w:right="1324" w:firstLine="0"/>
        <w:jc w:val="left"/>
        <w:rPr>
          <w:sz w:val="24"/>
        </w:rPr>
      </w:pPr>
      <w:r>
        <w:rPr>
          <w:sz w:val="24"/>
        </w:rPr>
        <w:t>415 solicitări de înregistrare în registrul unic al cabinetelor medicale şi eliberarea certificatului de înregistrare pentru cabinete medicale individuale</w:t>
      </w:r>
      <w:r>
        <w:rPr>
          <w:spacing w:val="-3"/>
          <w:sz w:val="24"/>
        </w:rPr>
        <w:t> </w:t>
      </w:r>
      <w:r>
        <w:rPr>
          <w:sz w:val="24"/>
        </w:rPr>
        <w:t>;</w:t>
      </w:r>
    </w:p>
    <w:p>
      <w:pPr>
        <w:pStyle w:val="BodyText"/>
        <w:ind w:right="1487"/>
      </w:pPr>
      <w:r>
        <w:rPr/>
        <w:t>-10 solicitări de înregistrare în registrul unic al cabinetelor medicale şi eliberarea certificatului de înregistrare pentru cabinete medicale grupate, cabinete medicale asociate, asociaţii, fundaţii ;</w:t>
      </w:r>
    </w:p>
    <w:p>
      <w:pPr>
        <w:pStyle w:val="ListParagraph"/>
        <w:numPr>
          <w:ilvl w:val="1"/>
          <w:numId w:val="15"/>
        </w:numPr>
        <w:tabs>
          <w:tab w:pos="880" w:val="left" w:leader="none"/>
        </w:tabs>
        <w:spacing w:line="240" w:lineRule="auto" w:before="0" w:after="0"/>
        <w:ind w:left="680" w:right="1264" w:firstLine="60"/>
        <w:jc w:val="left"/>
        <w:rPr>
          <w:sz w:val="24"/>
        </w:rPr>
      </w:pPr>
      <w:r>
        <w:rPr>
          <w:sz w:val="24"/>
        </w:rPr>
        <w:t>445 solicitări de înregistrare în registrul unic al cabinetelor medicale şi eliberarea certificatului de înregistrare pentru societăţi civile medicale; unităţi medico-sociale cu personalitate juridică înfiinţate potrivit legii nr. 31/1990</w:t>
      </w:r>
      <w:r>
        <w:rPr>
          <w:spacing w:val="1"/>
          <w:sz w:val="24"/>
        </w:rPr>
        <w:t> </w:t>
      </w:r>
      <w:r>
        <w:rPr>
          <w:sz w:val="24"/>
        </w:rPr>
        <w:t>;</w:t>
      </w:r>
    </w:p>
    <w:p>
      <w:pPr>
        <w:pStyle w:val="ListParagraph"/>
        <w:numPr>
          <w:ilvl w:val="1"/>
          <w:numId w:val="15"/>
        </w:numPr>
        <w:tabs>
          <w:tab w:pos="820" w:val="left" w:leader="none"/>
        </w:tabs>
        <w:spacing w:line="240" w:lineRule="auto" w:before="0" w:after="0"/>
        <w:ind w:left="680" w:right="1565" w:firstLine="0"/>
        <w:jc w:val="left"/>
        <w:rPr>
          <w:sz w:val="24"/>
        </w:rPr>
      </w:pPr>
      <w:r>
        <w:rPr>
          <w:sz w:val="24"/>
        </w:rPr>
        <w:t>5 solicitări de înregistrare în registrul unic al cabinetelor medicale şi eliberarea certificatului de înregistrare pentru cabinete de liberă practică pentru servicii publice conexe actului medical</w:t>
      </w:r>
      <w:r>
        <w:rPr>
          <w:spacing w:val="-17"/>
          <w:sz w:val="24"/>
        </w:rPr>
        <w:t> </w:t>
      </w:r>
      <w:r>
        <w:rPr>
          <w:sz w:val="24"/>
        </w:rPr>
        <w:t>;</w:t>
      </w:r>
    </w:p>
    <w:p>
      <w:pPr>
        <w:pStyle w:val="ListParagraph"/>
        <w:numPr>
          <w:ilvl w:val="1"/>
          <w:numId w:val="15"/>
        </w:numPr>
        <w:tabs>
          <w:tab w:pos="878" w:val="left" w:leader="none"/>
          <w:tab w:pos="6109" w:val="left" w:leader="none"/>
        </w:tabs>
        <w:spacing w:line="240" w:lineRule="auto" w:before="0" w:after="0"/>
        <w:ind w:left="680" w:right="1129" w:firstLine="0"/>
        <w:jc w:val="left"/>
        <w:rPr>
          <w:sz w:val="24"/>
        </w:rPr>
      </w:pPr>
      <w:r>
        <w:rPr>
          <w:sz w:val="24"/>
        </w:rPr>
        <w:t>135  solicitări  de  radierea  cabinetelor</w:t>
      </w:r>
      <w:r>
        <w:rPr>
          <w:spacing w:val="40"/>
          <w:sz w:val="24"/>
        </w:rPr>
        <w:t> </w:t>
      </w:r>
      <w:r>
        <w:rPr>
          <w:sz w:val="24"/>
        </w:rPr>
        <w:t>medicale</w:t>
      </w:r>
      <w:r>
        <w:rPr>
          <w:spacing w:val="55"/>
          <w:sz w:val="24"/>
        </w:rPr>
        <w:t> </w:t>
      </w:r>
      <w:r>
        <w:rPr>
          <w:sz w:val="24"/>
        </w:rPr>
        <w:t>şi</w:t>
        <w:tab/>
        <w:t>anularea certificatelor de înregistrare din registrul unic al cabinetelor medicale</w:t>
      </w:r>
      <w:r>
        <w:rPr>
          <w:spacing w:val="-1"/>
          <w:sz w:val="24"/>
        </w:rPr>
        <w:t> </w:t>
      </w:r>
      <w:r>
        <w:rPr>
          <w:sz w:val="24"/>
        </w:rPr>
        <w:t>;</w:t>
      </w:r>
    </w:p>
    <w:p>
      <w:pPr>
        <w:pStyle w:val="ListParagraph"/>
        <w:numPr>
          <w:ilvl w:val="1"/>
          <w:numId w:val="15"/>
        </w:numPr>
        <w:tabs>
          <w:tab w:pos="820" w:val="left" w:leader="none"/>
        </w:tabs>
        <w:spacing w:line="240" w:lineRule="auto" w:before="0" w:after="0"/>
        <w:ind w:left="819" w:right="0" w:hanging="140"/>
        <w:jc w:val="left"/>
        <w:rPr>
          <w:sz w:val="24"/>
        </w:rPr>
      </w:pPr>
      <w:r>
        <w:rPr>
          <w:sz w:val="24"/>
        </w:rPr>
        <w:t>5 solicitări reluare activitate pentru cabinetele medicale a căror activitate a fost</w:t>
      </w:r>
      <w:r>
        <w:rPr>
          <w:spacing w:val="-12"/>
          <w:sz w:val="24"/>
        </w:rPr>
        <w:t> </w:t>
      </w:r>
      <w:r>
        <w:rPr>
          <w:sz w:val="24"/>
        </w:rPr>
        <w:t>suspendată;</w:t>
      </w:r>
    </w:p>
    <w:p>
      <w:pPr>
        <w:pStyle w:val="ListParagraph"/>
        <w:numPr>
          <w:ilvl w:val="1"/>
          <w:numId w:val="15"/>
        </w:numPr>
        <w:tabs>
          <w:tab w:pos="820" w:val="left" w:leader="none"/>
        </w:tabs>
        <w:spacing w:line="240" w:lineRule="auto" w:before="0" w:after="0"/>
        <w:ind w:left="819" w:right="0" w:hanging="140"/>
        <w:jc w:val="left"/>
        <w:rPr>
          <w:sz w:val="24"/>
        </w:rPr>
      </w:pPr>
      <w:r>
        <w:rPr>
          <w:sz w:val="24"/>
        </w:rPr>
        <w:t>5 solicitări de emitere cod U.S.;</w:t>
      </w:r>
    </w:p>
    <w:p>
      <w:pPr>
        <w:pStyle w:val="BodyText"/>
        <w:spacing w:before="1"/>
        <w:ind w:right="1132" w:firstLine="120"/>
        <w:jc w:val="both"/>
      </w:pPr>
      <w:r>
        <w:rPr/>
        <w:t>Au fost emise 248 autorizaţii de liberă practică pentru angajaţii din unităţile sanitare, publice şi private, indiferent de subordonarea acestor unităţi, care desfăşoară activităţi  conexe  actului  medical : biologi, biochimişti, chimişti, kinetoterapeuţi, fiziokinetoterapeuţi, profesori cfm,</w:t>
      </w:r>
      <w:r>
        <w:rPr>
          <w:spacing w:val="-24"/>
        </w:rPr>
        <w:t> </w:t>
      </w:r>
      <w:r>
        <w:rPr/>
        <w:t>fizicieni;</w:t>
      </w:r>
    </w:p>
    <w:p>
      <w:pPr>
        <w:spacing w:after="0"/>
        <w:jc w:val="both"/>
        <w:sectPr>
          <w:pgSz w:w="11910" w:h="16840"/>
          <w:pgMar w:header="0" w:footer="658" w:top="1360" w:bottom="920" w:left="400" w:right="0"/>
        </w:sectPr>
      </w:pPr>
    </w:p>
    <w:p>
      <w:pPr>
        <w:pStyle w:val="BodyText"/>
        <w:tabs>
          <w:tab w:pos="1282" w:val="left" w:leader="none"/>
          <w:tab w:pos="2617" w:val="left" w:leader="none"/>
          <w:tab w:pos="3980" w:val="left" w:leader="none"/>
          <w:tab w:pos="5129" w:val="left" w:leader="none"/>
          <w:tab w:pos="5947" w:val="left" w:leader="none"/>
          <w:tab w:pos="7041" w:val="left" w:leader="none"/>
          <w:tab w:pos="8274" w:val="left" w:leader="none"/>
          <w:tab w:pos="8703" w:val="left" w:leader="none"/>
          <w:tab w:pos="9891" w:val="left" w:leader="none"/>
          <w:tab w:pos="10258" w:val="left" w:leader="none"/>
        </w:tabs>
        <w:spacing w:before="60"/>
        <w:ind w:right="1139" w:firstLine="180"/>
      </w:pPr>
      <w:r>
        <w:rPr/>
        <w:t>Au fost emise 6 avize, de completare formulare care atestă eliberarea autorizaţiei de liberă practică pentru personalul medical ( asistenţi medicali, kineteterapeut, fiziokinetoterapeut, profesor CFM) care desfaşoară activităţi conexe actului medical sau urmează să le desfăşoare într-o altă ţară; Conform O.M.S nr. 1159/2010 au fost emise 10 autorizaţii de funcţionare pentru unităţile sanitare care</w:t>
        <w:tab/>
        <w:t>examinează</w:t>
        <w:tab/>
        <w:t>ambulatoriu</w:t>
        <w:tab/>
        <w:t>candidaţii</w:t>
        <w:tab/>
        <w:t>pentru</w:t>
        <w:tab/>
        <w:t>obţinerea</w:t>
        <w:tab/>
        <w:t>permisului</w:t>
        <w:tab/>
        <w:t>de</w:t>
        <w:tab/>
        <w:t>conducere</w:t>
        <w:tab/>
        <w:t>şi</w:t>
        <w:tab/>
      </w:r>
      <w:r>
        <w:rPr>
          <w:spacing w:val="-18"/>
        </w:rPr>
        <w:t>a </w:t>
      </w:r>
      <w:r>
        <w:rPr/>
        <w:t>conducătorilor de autovehicule sau tramvaie şi vizate 53 de autorizaţii de funcţionare pentru unităţile sanitare care examinează ambulatoriu candidaţii pentru obţinerea permisului de conducere şi a conducătorilor de autovehicule sau tramvaie emise în anii</w:t>
      </w:r>
      <w:r>
        <w:rPr>
          <w:spacing w:val="-6"/>
        </w:rPr>
        <w:t> </w:t>
      </w:r>
      <w:r>
        <w:rPr/>
        <w:t>anteriori.</w:t>
      </w:r>
    </w:p>
    <w:p>
      <w:pPr>
        <w:pStyle w:val="BodyText"/>
        <w:spacing w:before="1"/>
        <w:ind w:right="1136" w:firstLine="180"/>
        <w:jc w:val="both"/>
      </w:pPr>
      <w:r>
        <w:rPr/>
        <w:t>Au fost efectuate comisiile pentru 8 servicii de ambulanţă de pe teritoriul municipiului Bucureşti, conform O.M.S nr. 64/2010, pentru aprobarea listei naţionale de medici cu specialitatea medicină de urgenţă sau anestezie terapie intensivă care activează inclusiv într-o structură prespitalicească şi a listei naţionale de ingineri auto, care pot face parte din comisiile de autorizare a furnizorilor privaţi de servicii de asistenţă medicală de urgenţă prespitalicească şi de transport medical asistat şi transport medical neasistat, a serviciilor de ambulanţă a Municipiului Bucureşti şi a serviciilor mobile de urgenţă, reanimare şi descarcerare (SMURD); au fost redactate şi eliberate 9 autorizaţii pentru servicii de ambulanţă private.</w:t>
      </w:r>
    </w:p>
    <w:p>
      <w:pPr>
        <w:pStyle w:val="BodyText"/>
        <w:spacing w:before="1"/>
        <w:ind w:right="1134" w:firstLine="120"/>
        <w:jc w:val="both"/>
      </w:pPr>
      <w:r>
        <w:rPr/>
        <w:t>Au fost vizate 289 documente emise de unităţile sanitare din Bucureşti, în vederea aplicării apostilei de la</w:t>
      </w:r>
      <w:r>
        <w:rPr>
          <w:spacing w:val="-2"/>
        </w:rPr>
        <w:t> </w:t>
      </w:r>
      <w:r>
        <w:rPr/>
        <w:t>Haga.</w:t>
      </w:r>
    </w:p>
    <w:p>
      <w:pPr>
        <w:pStyle w:val="BodyText"/>
        <w:ind w:left="860"/>
        <w:jc w:val="both"/>
      </w:pPr>
      <w:r>
        <w:rPr/>
        <w:t>Au fost vizate:</w:t>
      </w:r>
    </w:p>
    <w:p>
      <w:pPr>
        <w:pStyle w:val="BodyText"/>
        <w:ind w:right="1130"/>
        <w:jc w:val="both"/>
      </w:pPr>
      <w:r>
        <w:rPr/>
        <w:t>-14 declaraţii program de lucru al fiecărui medic din comisia medicală care elibereză avize pentru personalul din transporturi cu atribuţii în siguranţa transporturilor, conform Ordin 1260/10.10.2013 şi a normelor privind procedura de control la unităţile medicale şi/ sau psihologice agreate să efectueze examinarea personalului cu atribuţii în siguranţa transporturilor, precum şi persoanele desemnate să efectueze</w:t>
      </w:r>
      <w:r>
        <w:rPr>
          <w:spacing w:val="-2"/>
        </w:rPr>
        <w:t> </w:t>
      </w:r>
      <w:r>
        <w:rPr/>
        <w:t>controlul.</w:t>
      </w:r>
    </w:p>
    <w:p>
      <w:pPr>
        <w:pStyle w:val="BodyText"/>
        <w:ind w:right="1133" w:firstLine="180"/>
        <w:jc w:val="both"/>
      </w:pPr>
      <w:r>
        <w:rPr/>
        <w:t>Au fost verificate, înregistrate şi arhivate 305 de solicitări pentru arhivare avize pentru siguranţa circulaţiei, conform Ordinului 1260/10.10.2013:</w:t>
      </w:r>
    </w:p>
    <w:p>
      <w:pPr>
        <w:pStyle w:val="ListParagraph"/>
        <w:numPr>
          <w:ilvl w:val="1"/>
          <w:numId w:val="15"/>
        </w:numPr>
        <w:tabs>
          <w:tab w:pos="820" w:val="left" w:leader="none"/>
        </w:tabs>
        <w:spacing w:line="240" w:lineRule="auto" w:before="0" w:after="0"/>
        <w:ind w:left="819" w:right="0" w:hanging="140"/>
        <w:jc w:val="both"/>
        <w:rPr>
          <w:sz w:val="24"/>
        </w:rPr>
      </w:pPr>
      <w:r>
        <w:rPr>
          <w:sz w:val="24"/>
        </w:rPr>
        <w:t>diverse solicitări primite (prin:- e-mail= 408; fax, poştă, registratură- repartizate =</w:t>
      </w:r>
      <w:r>
        <w:rPr>
          <w:spacing w:val="-9"/>
          <w:sz w:val="24"/>
        </w:rPr>
        <w:t> </w:t>
      </w:r>
      <w:r>
        <w:rPr>
          <w:sz w:val="24"/>
        </w:rPr>
        <w:t>216).</w:t>
      </w:r>
    </w:p>
    <w:p>
      <w:pPr>
        <w:pStyle w:val="ListParagraph"/>
        <w:numPr>
          <w:ilvl w:val="1"/>
          <w:numId w:val="15"/>
        </w:numPr>
        <w:tabs>
          <w:tab w:pos="830" w:val="left" w:leader="none"/>
        </w:tabs>
        <w:spacing w:line="240" w:lineRule="auto" w:before="0" w:after="0"/>
        <w:ind w:left="680" w:right="1132" w:firstLine="0"/>
        <w:jc w:val="both"/>
        <w:rPr>
          <w:sz w:val="24"/>
        </w:rPr>
      </w:pPr>
      <w:r>
        <w:rPr>
          <w:sz w:val="24"/>
        </w:rPr>
        <w:t>diverse solicitări, raportări trimise catre MS, Colegiul Medicilor, Primăria Municipiului Bucureşti, INSP, C.A.S.M.B., A.N.I., C.N.S.,</w:t>
      </w:r>
      <w:r>
        <w:rPr>
          <w:spacing w:val="-1"/>
          <w:sz w:val="24"/>
        </w:rPr>
        <w:t> </w:t>
      </w:r>
      <w:r>
        <w:rPr>
          <w:sz w:val="24"/>
        </w:rPr>
        <w:t>etc.;</w:t>
      </w:r>
    </w:p>
    <w:p>
      <w:pPr>
        <w:pStyle w:val="BodyText"/>
        <w:spacing w:before="1"/>
        <w:ind w:left="740"/>
        <w:jc w:val="both"/>
      </w:pPr>
      <w:r>
        <w:rPr/>
        <w:t>Personalul din cadrul Biroului Avize-Autorizări Sanitare:</w:t>
      </w:r>
    </w:p>
    <w:p>
      <w:pPr>
        <w:pStyle w:val="ListParagraph"/>
        <w:numPr>
          <w:ilvl w:val="1"/>
          <w:numId w:val="15"/>
        </w:numPr>
        <w:tabs>
          <w:tab w:pos="844" w:val="left" w:leader="none"/>
        </w:tabs>
        <w:spacing w:line="240" w:lineRule="auto" w:before="0" w:after="0"/>
        <w:ind w:left="680" w:right="1136" w:firstLine="0"/>
        <w:jc w:val="both"/>
        <w:rPr>
          <w:sz w:val="24"/>
        </w:rPr>
      </w:pPr>
      <w:r>
        <w:rPr>
          <w:sz w:val="24"/>
        </w:rPr>
        <w:t>gestionează şi actualizează baza de date privind avizarea/autorizarea sanitară din programul Pro Management şi răspunde de datele</w:t>
      </w:r>
      <w:r>
        <w:rPr>
          <w:spacing w:val="-4"/>
          <w:sz w:val="24"/>
        </w:rPr>
        <w:t> </w:t>
      </w:r>
      <w:r>
        <w:rPr>
          <w:sz w:val="24"/>
        </w:rPr>
        <w:t>introduse;</w:t>
      </w:r>
    </w:p>
    <w:p>
      <w:pPr>
        <w:pStyle w:val="ListParagraph"/>
        <w:numPr>
          <w:ilvl w:val="1"/>
          <w:numId w:val="15"/>
        </w:numPr>
        <w:tabs>
          <w:tab w:pos="880" w:val="left" w:leader="none"/>
        </w:tabs>
        <w:spacing w:line="240" w:lineRule="auto" w:before="0" w:after="0"/>
        <w:ind w:left="879" w:right="0" w:hanging="200"/>
        <w:jc w:val="both"/>
        <w:rPr>
          <w:sz w:val="24"/>
        </w:rPr>
      </w:pPr>
      <w:r>
        <w:rPr>
          <w:sz w:val="24"/>
        </w:rPr>
        <w:t>gestionează baza de date ale Serviciilor de Ambulanţă de pe teritoriul municipiului</w:t>
      </w:r>
      <w:r>
        <w:rPr>
          <w:spacing w:val="-13"/>
          <w:sz w:val="24"/>
        </w:rPr>
        <w:t> </w:t>
      </w:r>
      <w:r>
        <w:rPr>
          <w:sz w:val="24"/>
        </w:rPr>
        <w:t>Bucureşti;</w:t>
      </w:r>
    </w:p>
    <w:p>
      <w:pPr>
        <w:pStyle w:val="ListParagraph"/>
        <w:numPr>
          <w:ilvl w:val="1"/>
          <w:numId w:val="15"/>
        </w:numPr>
        <w:tabs>
          <w:tab w:pos="878" w:val="left" w:leader="none"/>
        </w:tabs>
        <w:spacing w:line="240" w:lineRule="auto" w:before="0" w:after="0"/>
        <w:ind w:left="680" w:right="1135" w:firstLine="0"/>
        <w:jc w:val="both"/>
        <w:rPr>
          <w:sz w:val="24"/>
        </w:rPr>
      </w:pPr>
      <w:r>
        <w:rPr>
          <w:sz w:val="24"/>
        </w:rPr>
        <w:t>gestionează şi actualizează lista unităţilor de asistenţă medicală autorizate pentru examinarea ambulatorie a candidaţilor la obţinerea permisului de conducere şi a conducătorilor de autovehicule sau tramvaie, conform Ordinului M.S. nr.</w:t>
      </w:r>
      <w:r>
        <w:rPr>
          <w:spacing w:val="1"/>
          <w:sz w:val="24"/>
        </w:rPr>
        <w:t> </w:t>
      </w:r>
      <w:r>
        <w:rPr>
          <w:sz w:val="24"/>
        </w:rPr>
        <w:t>1159/2010;</w:t>
      </w:r>
    </w:p>
    <w:p>
      <w:pPr>
        <w:pStyle w:val="ListParagraph"/>
        <w:numPr>
          <w:ilvl w:val="1"/>
          <w:numId w:val="15"/>
        </w:numPr>
        <w:tabs>
          <w:tab w:pos="916" w:val="left" w:leader="none"/>
        </w:tabs>
        <w:spacing w:line="240" w:lineRule="auto" w:before="0" w:after="0"/>
        <w:ind w:left="680" w:right="1134" w:firstLine="0"/>
        <w:jc w:val="both"/>
        <w:rPr>
          <w:sz w:val="24"/>
        </w:rPr>
      </w:pPr>
      <w:r>
        <w:rPr>
          <w:sz w:val="24"/>
        </w:rPr>
        <w:t>gestionează şi actualizează lista unităţilor de asistenţă medicală avizate pentru eliberarea certificatelor medicale tip</w:t>
      </w:r>
      <w:r>
        <w:rPr>
          <w:spacing w:val="-2"/>
          <w:sz w:val="24"/>
        </w:rPr>
        <w:t> </w:t>
      </w:r>
      <w:r>
        <w:rPr>
          <w:sz w:val="24"/>
        </w:rPr>
        <w:t>A5;</w:t>
      </w:r>
    </w:p>
    <w:p>
      <w:pPr>
        <w:pStyle w:val="ListParagraph"/>
        <w:numPr>
          <w:ilvl w:val="1"/>
          <w:numId w:val="15"/>
        </w:numPr>
        <w:tabs>
          <w:tab w:pos="943" w:val="left" w:leader="none"/>
        </w:tabs>
        <w:spacing w:line="240" w:lineRule="auto" w:before="0" w:after="0"/>
        <w:ind w:left="680" w:right="1138" w:firstLine="0"/>
        <w:jc w:val="left"/>
        <w:rPr>
          <w:sz w:val="24"/>
        </w:rPr>
      </w:pPr>
      <w:r>
        <w:rPr>
          <w:sz w:val="24"/>
        </w:rPr>
        <w:t>înregistrează şi arhivează avizele medicale de aptitudini pentru funcţiile din siguranţa transporturilor, conform Ordinului nr.</w:t>
      </w:r>
      <w:r>
        <w:rPr>
          <w:spacing w:val="-1"/>
          <w:sz w:val="24"/>
        </w:rPr>
        <w:t> </w:t>
      </w:r>
      <w:r>
        <w:rPr>
          <w:sz w:val="24"/>
        </w:rPr>
        <w:t>1392/2013;</w:t>
      </w:r>
    </w:p>
    <w:p>
      <w:pPr>
        <w:pStyle w:val="ListParagraph"/>
        <w:numPr>
          <w:ilvl w:val="1"/>
          <w:numId w:val="15"/>
        </w:numPr>
        <w:tabs>
          <w:tab w:pos="820" w:val="left" w:leader="none"/>
        </w:tabs>
        <w:spacing w:line="240" w:lineRule="auto" w:before="0" w:after="0"/>
        <w:ind w:left="819" w:right="0" w:hanging="140"/>
        <w:jc w:val="left"/>
        <w:rPr>
          <w:sz w:val="24"/>
        </w:rPr>
      </w:pPr>
      <w:r>
        <w:rPr>
          <w:sz w:val="24"/>
        </w:rPr>
        <w:t>arhivează dosarele rezolvate în cadrul</w:t>
      </w:r>
      <w:r>
        <w:rPr>
          <w:spacing w:val="-4"/>
          <w:sz w:val="24"/>
        </w:rPr>
        <w:t> </w:t>
      </w:r>
      <w:r>
        <w:rPr>
          <w:sz w:val="24"/>
        </w:rPr>
        <w:t>biroului;</w:t>
      </w:r>
    </w:p>
    <w:p>
      <w:pPr>
        <w:pStyle w:val="ListParagraph"/>
        <w:numPr>
          <w:ilvl w:val="1"/>
          <w:numId w:val="15"/>
        </w:numPr>
        <w:tabs>
          <w:tab w:pos="820" w:val="left" w:leader="none"/>
        </w:tabs>
        <w:spacing w:line="240" w:lineRule="auto" w:before="0" w:after="0"/>
        <w:ind w:left="819" w:right="0" w:hanging="140"/>
        <w:jc w:val="left"/>
        <w:rPr>
          <w:sz w:val="24"/>
        </w:rPr>
      </w:pPr>
      <w:r>
        <w:rPr>
          <w:sz w:val="24"/>
        </w:rPr>
        <w:t>raportări către Serviciul de Statistică, Ministerul Sănătăţii.</w:t>
      </w:r>
    </w:p>
    <w:p>
      <w:pPr>
        <w:pStyle w:val="BodyText"/>
      </w:pPr>
      <w:r>
        <w:rPr/>
        <w:t>Evidenţa tuturor documentaţiilor primite şi eliberate în cadrul biroului se face în format electronic.</w:t>
      </w:r>
    </w:p>
    <w:p>
      <w:pPr>
        <w:pStyle w:val="BodyText"/>
        <w:ind w:left="0"/>
      </w:pPr>
    </w:p>
    <w:p>
      <w:pPr>
        <w:pStyle w:val="Heading1"/>
        <w:ind w:left="680"/>
        <w:rPr>
          <w:u w:val="none"/>
        </w:rPr>
      </w:pPr>
      <w:r>
        <w:rPr>
          <w:u w:val="thick"/>
        </w:rPr>
        <w:t>SERVICIUL ADMINISTRATIV-MENTENANTA</w:t>
      </w:r>
    </w:p>
    <w:p>
      <w:pPr>
        <w:pStyle w:val="BodyText"/>
        <w:spacing w:before="10"/>
        <w:ind w:left="0"/>
        <w:rPr>
          <w:b/>
          <w:sz w:val="23"/>
        </w:rPr>
      </w:pPr>
    </w:p>
    <w:p>
      <w:pPr>
        <w:pStyle w:val="BodyText"/>
        <w:ind w:right="1293"/>
      </w:pPr>
      <w:r>
        <w:rPr>
          <w:b/>
        </w:rPr>
        <w:t>Obiectivul general</w:t>
      </w:r>
      <w:r>
        <w:rPr/>
        <w:t>: de a asigura </w:t>
      </w:r>
      <w:r>
        <w:rPr>
          <w:rFonts w:ascii="Tahoma" w:hAnsi="Tahoma"/>
        </w:rPr>
        <w:t>ș</w:t>
      </w:r>
      <w:r>
        <w:rPr/>
        <w:t>i îmbunătă</w:t>
      </w:r>
      <w:r>
        <w:rPr>
          <w:rFonts w:ascii="Tahoma" w:hAnsi="Tahoma"/>
        </w:rPr>
        <w:t>ț</w:t>
      </w:r>
      <w:r>
        <w:rPr/>
        <w:t>i managementul administrativ al DSPMB, urmărind optimizarea permanentă a activita</w:t>
      </w:r>
      <w:r>
        <w:rPr>
          <w:rFonts w:ascii="Tahoma" w:hAnsi="Tahoma"/>
        </w:rPr>
        <w:t>ț</w:t>
      </w:r>
      <w:r>
        <w:rPr/>
        <w:t>ilor administrative ale institu</w:t>
      </w:r>
      <w:r>
        <w:rPr>
          <w:rFonts w:ascii="Tahoma" w:hAnsi="Tahoma"/>
        </w:rPr>
        <w:t>ț</w:t>
      </w:r>
      <w:r>
        <w:rPr/>
        <w:t>iei, cre</w:t>
      </w:r>
      <w:r>
        <w:rPr>
          <w:rFonts w:ascii="Tahoma" w:hAnsi="Tahoma"/>
        </w:rPr>
        <w:t>ș</w:t>
      </w:r>
      <w:r>
        <w:rPr/>
        <w:t>terea eficien</w:t>
      </w:r>
      <w:r>
        <w:rPr>
          <w:rFonts w:ascii="Tahoma" w:hAnsi="Tahoma"/>
        </w:rPr>
        <w:t>ț</w:t>
      </w:r>
      <w:r>
        <w:rPr/>
        <w:t>ei acestora, în condi</w:t>
      </w:r>
      <w:r>
        <w:rPr>
          <w:rFonts w:ascii="Tahoma" w:hAnsi="Tahoma"/>
        </w:rPr>
        <w:t>ț</w:t>
      </w:r>
      <w:r>
        <w:rPr/>
        <w:t>iile respectării reglementarilor legale, precum </w:t>
      </w:r>
      <w:r>
        <w:rPr>
          <w:rFonts w:ascii="Tahoma" w:hAnsi="Tahoma"/>
        </w:rPr>
        <w:t>ș</w:t>
      </w:r>
      <w:r>
        <w:rPr/>
        <w:t>i gestionarea patrimoniului în condi</w:t>
      </w:r>
      <w:r>
        <w:rPr>
          <w:rFonts w:ascii="Tahoma" w:hAnsi="Tahoma"/>
        </w:rPr>
        <w:t>ț</w:t>
      </w:r>
      <w:r>
        <w:rPr/>
        <w:t>ii de eficacitate </w:t>
      </w:r>
      <w:r>
        <w:rPr>
          <w:rFonts w:ascii="Tahoma" w:hAnsi="Tahoma"/>
        </w:rPr>
        <w:t>ș</w:t>
      </w:r>
      <w:r>
        <w:rPr/>
        <w:t>i eficien</w:t>
      </w:r>
      <w:r>
        <w:rPr>
          <w:rFonts w:ascii="Tahoma" w:hAnsi="Tahoma"/>
        </w:rPr>
        <w:t>ț</w:t>
      </w:r>
      <w:r>
        <w:rPr/>
        <w:t>a.</w:t>
      </w:r>
    </w:p>
    <w:p>
      <w:pPr>
        <w:spacing w:after="0"/>
        <w:sectPr>
          <w:pgSz w:w="11910" w:h="16840"/>
          <w:pgMar w:header="0" w:footer="658" w:top="1360" w:bottom="920" w:left="400" w:right="0"/>
        </w:sectPr>
      </w:pPr>
    </w:p>
    <w:p>
      <w:pPr>
        <w:pStyle w:val="Heading1"/>
        <w:spacing w:before="60"/>
        <w:ind w:left="740"/>
        <w:rPr>
          <w:u w:val="none"/>
        </w:rPr>
      </w:pPr>
      <w:r>
        <w:rPr>
          <w:u w:val="none"/>
        </w:rPr>
        <w:t>Activitati:</w:t>
      </w:r>
    </w:p>
    <w:p>
      <w:pPr>
        <w:pStyle w:val="ListParagraph"/>
        <w:numPr>
          <w:ilvl w:val="1"/>
          <w:numId w:val="15"/>
        </w:numPr>
        <w:tabs>
          <w:tab w:pos="820" w:val="left" w:leader="none"/>
        </w:tabs>
        <w:spacing w:line="240" w:lineRule="auto" w:before="2" w:after="0"/>
        <w:ind w:left="680" w:right="1324" w:firstLine="0"/>
        <w:jc w:val="both"/>
        <w:rPr>
          <w:sz w:val="24"/>
        </w:rPr>
      </w:pPr>
      <w:r>
        <w:rPr>
          <w:sz w:val="24"/>
        </w:rPr>
        <w:t>s-au întocmit 10 specifica</w:t>
      </w:r>
      <w:r>
        <w:rPr>
          <w:rFonts w:ascii="Tahoma" w:hAnsi="Tahoma"/>
          <w:sz w:val="24"/>
        </w:rPr>
        <w:t>ț</w:t>
      </w:r>
      <w:r>
        <w:rPr>
          <w:sz w:val="24"/>
        </w:rPr>
        <w:t>ii tehnice necesare completării, de către Biroul Achizi</w:t>
      </w:r>
      <w:r>
        <w:rPr>
          <w:rFonts w:ascii="Tahoma" w:hAnsi="Tahoma"/>
          <w:sz w:val="24"/>
        </w:rPr>
        <w:t>ț</w:t>
      </w:r>
      <w:r>
        <w:rPr>
          <w:sz w:val="24"/>
        </w:rPr>
        <w:t>ii, a caietelor de sarcini, în vederea demarării procedurilor de achizi</w:t>
      </w:r>
      <w:r>
        <w:rPr>
          <w:rFonts w:ascii="Tahoma" w:hAnsi="Tahoma"/>
          <w:sz w:val="24"/>
        </w:rPr>
        <w:t>ț</w:t>
      </w:r>
      <w:r>
        <w:rPr>
          <w:sz w:val="24"/>
        </w:rPr>
        <w:t>ie a serviciilor cuprinse în planul de achizi</w:t>
      </w:r>
      <w:r>
        <w:rPr>
          <w:rFonts w:ascii="Tahoma" w:hAnsi="Tahoma"/>
          <w:sz w:val="24"/>
        </w:rPr>
        <w:t>ț</w:t>
      </w:r>
      <w:r>
        <w:rPr>
          <w:sz w:val="24"/>
        </w:rPr>
        <w:t>ii; a fost urmărită derularea contractelor pe parcursul</w:t>
      </w:r>
      <w:r>
        <w:rPr>
          <w:spacing w:val="-4"/>
          <w:sz w:val="24"/>
        </w:rPr>
        <w:t> </w:t>
      </w:r>
      <w:r>
        <w:rPr>
          <w:sz w:val="24"/>
        </w:rPr>
        <w:t>anului;</w:t>
      </w:r>
    </w:p>
    <w:p>
      <w:pPr>
        <w:pStyle w:val="ListParagraph"/>
        <w:numPr>
          <w:ilvl w:val="1"/>
          <w:numId w:val="15"/>
        </w:numPr>
        <w:tabs>
          <w:tab w:pos="820" w:val="left" w:leader="none"/>
        </w:tabs>
        <w:spacing w:line="240" w:lineRule="auto" w:before="0" w:after="0"/>
        <w:ind w:left="680" w:right="1152" w:firstLine="0"/>
        <w:jc w:val="left"/>
        <w:rPr>
          <w:sz w:val="24"/>
        </w:rPr>
      </w:pPr>
      <w:r>
        <w:rPr>
          <w:sz w:val="24"/>
        </w:rPr>
        <w:t>s-au urmărit contractele de prestări servicii (servicii mentenan</w:t>
      </w:r>
      <w:r>
        <w:rPr>
          <w:rFonts w:ascii="Tahoma" w:hAnsi="Tahoma"/>
          <w:sz w:val="24"/>
        </w:rPr>
        <w:t>ț</w:t>
      </w:r>
      <w:r>
        <w:rPr>
          <w:sz w:val="24"/>
        </w:rPr>
        <w:t>ă construc</w:t>
      </w:r>
      <w:r>
        <w:rPr>
          <w:rFonts w:ascii="Tahoma" w:hAnsi="Tahoma"/>
          <w:sz w:val="24"/>
        </w:rPr>
        <w:t>ț</w:t>
      </w:r>
      <w:r>
        <w:rPr>
          <w:sz w:val="24"/>
        </w:rPr>
        <w:t>ii </w:t>
      </w:r>
      <w:r>
        <w:rPr>
          <w:rFonts w:ascii="Tahoma" w:hAnsi="Tahoma"/>
          <w:sz w:val="24"/>
        </w:rPr>
        <w:t>ș</w:t>
      </w:r>
      <w:r>
        <w:rPr>
          <w:sz w:val="24"/>
        </w:rPr>
        <w:t>i instala</w:t>
      </w:r>
      <w:r>
        <w:rPr>
          <w:rFonts w:ascii="Tahoma" w:hAnsi="Tahoma"/>
          <w:sz w:val="24"/>
        </w:rPr>
        <w:t>ț</w:t>
      </w:r>
      <w:r>
        <w:rPr>
          <w:sz w:val="24"/>
        </w:rPr>
        <w:t>ii, servicii de cură</w:t>
      </w:r>
      <w:r>
        <w:rPr>
          <w:rFonts w:ascii="Tahoma" w:hAnsi="Tahoma"/>
          <w:sz w:val="24"/>
        </w:rPr>
        <w:t>ț</w:t>
      </w:r>
      <w:r>
        <w:rPr>
          <w:sz w:val="24"/>
        </w:rPr>
        <w:t>enie, servicii de pază, servicii de PSI, servicii de între</w:t>
      </w:r>
      <w:r>
        <w:rPr>
          <w:rFonts w:ascii="Tahoma" w:hAnsi="Tahoma"/>
          <w:sz w:val="24"/>
        </w:rPr>
        <w:t>ț</w:t>
      </w:r>
      <w:r>
        <w:rPr>
          <w:sz w:val="24"/>
        </w:rPr>
        <w:t>inere si repara</w:t>
      </w:r>
      <w:r>
        <w:rPr>
          <w:rFonts w:ascii="Tahoma" w:hAnsi="Tahoma"/>
          <w:sz w:val="24"/>
        </w:rPr>
        <w:t>ț</w:t>
      </w:r>
      <w:r>
        <w:rPr>
          <w:sz w:val="24"/>
        </w:rPr>
        <w:t>ii centrale termice, servicii de colectare de</w:t>
      </w:r>
      <w:r>
        <w:rPr>
          <w:rFonts w:ascii="Tahoma" w:hAnsi="Tahoma"/>
          <w:sz w:val="24"/>
        </w:rPr>
        <w:t>ș</w:t>
      </w:r>
      <w:r>
        <w:rPr>
          <w:sz w:val="24"/>
        </w:rPr>
        <w:t>euri menajere </w:t>
      </w:r>
      <w:r>
        <w:rPr>
          <w:rFonts w:ascii="Tahoma" w:hAnsi="Tahoma"/>
          <w:sz w:val="24"/>
        </w:rPr>
        <w:t>ș</w:t>
      </w:r>
      <w:r>
        <w:rPr>
          <w:sz w:val="24"/>
        </w:rPr>
        <w:t>i reciclabile, servicii de arhivare documente, de între</w:t>
      </w:r>
      <w:r>
        <w:rPr>
          <w:rFonts w:ascii="Tahoma" w:hAnsi="Tahoma"/>
          <w:sz w:val="24"/>
        </w:rPr>
        <w:t>ț</w:t>
      </w:r>
      <w:r>
        <w:rPr>
          <w:sz w:val="24"/>
        </w:rPr>
        <w:t>inere </w:t>
      </w:r>
      <w:r>
        <w:rPr>
          <w:rFonts w:ascii="Tahoma" w:hAnsi="Tahoma"/>
          <w:sz w:val="24"/>
        </w:rPr>
        <w:t>ș</w:t>
      </w:r>
      <w:r>
        <w:rPr>
          <w:sz w:val="24"/>
        </w:rPr>
        <w:t>i repara</w:t>
      </w:r>
      <w:r>
        <w:rPr>
          <w:rFonts w:ascii="Tahoma" w:hAnsi="Tahoma"/>
          <w:sz w:val="24"/>
        </w:rPr>
        <w:t>ț</w:t>
      </w:r>
      <w:r>
        <w:rPr>
          <w:sz w:val="24"/>
        </w:rPr>
        <w:t>ii auto, servicii de între</w:t>
      </w:r>
      <w:r>
        <w:rPr>
          <w:rFonts w:ascii="Tahoma" w:hAnsi="Tahoma"/>
          <w:sz w:val="24"/>
        </w:rPr>
        <w:t>ț</w:t>
      </w:r>
      <w:r>
        <w:rPr>
          <w:sz w:val="24"/>
        </w:rPr>
        <w:t>inere si reparare ascensoare), pe lângă documentele întocmite lunar, a necesitat convorbiri telefonice nenumarate (aprox. 480) si deplasări în</w:t>
      </w:r>
      <w:r>
        <w:rPr>
          <w:spacing w:val="-5"/>
          <w:sz w:val="24"/>
        </w:rPr>
        <w:t> </w:t>
      </w:r>
      <w:r>
        <w:rPr>
          <w:sz w:val="24"/>
        </w:rPr>
        <w:t>teritoriu.</w:t>
      </w:r>
    </w:p>
    <w:p>
      <w:pPr>
        <w:pStyle w:val="ListParagraph"/>
        <w:numPr>
          <w:ilvl w:val="1"/>
          <w:numId w:val="15"/>
        </w:numPr>
        <w:tabs>
          <w:tab w:pos="820" w:val="left" w:leader="none"/>
        </w:tabs>
        <w:spacing w:line="240" w:lineRule="auto" w:before="0" w:after="0"/>
        <w:ind w:left="680" w:right="1169" w:firstLine="0"/>
        <w:jc w:val="left"/>
        <w:rPr>
          <w:sz w:val="24"/>
        </w:rPr>
      </w:pPr>
      <w:r>
        <w:rPr>
          <w:sz w:val="24"/>
        </w:rPr>
        <w:t>au fost întocmite 84 procese verbale de recep</w:t>
      </w:r>
      <w:r>
        <w:rPr>
          <w:rFonts w:ascii="Tahoma" w:hAnsi="Tahoma"/>
          <w:sz w:val="24"/>
        </w:rPr>
        <w:t>ț</w:t>
      </w:r>
      <w:r>
        <w:rPr>
          <w:sz w:val="24"/>
        </w:rPr>
        <w:t>ie privind asigurarea pazei clădirilor </w:t>
      </w:r>
      <w:r>
        <w:rPr>
          <w:rFonts w:ascii="Tahoma" w:hAnsi="Tahoma"/>
          <w:sz w:val="24"/>
        </w:rPr>
        <w:t>ș</w:t>
      </w:r>
      <w:r>
        <w:rPr>
          <w:sz w:val="24"/>
        </w:rPr>
        <w:t>i bunurilor din patrimoniul institu</w:t>
      </w:r>
      <w:r>
        <w:rPr>
          <w:rFonts w:ascii="Tahoma" w:hAnsi="Tahoma"/>
          <w:sz w:val="24"/>
        </w:rPr>
        <w:t>ț</w:t>
      </w:r>
      <w:r>
        <w:rPr>
          <w:sz w:val="24"/>
        </w:rPr>
        <w:t>iei, 28 procese verbale pentru verificarea centralelor iar pentru asigurarea cura</w:t>
      </w:r>
      <w:r>
        <w:rPr>
          <w:rFonts w:ascii="Tahoma" w:hAnsi="Tahoma"/>
          <w:sz w:val="24"/>
        </w:rPr>
        <w:t>ț</w:t>
      </w:r>
      <w:r>
        <w:rPr>
          <w:sz w:val="24"/>
        </w:rPr>
        <w:t>eniei un număr de 60 de procese</w:t>
      </w:r>
      <w:r>
        <w:rPr>
          <w:spacing w:val="-6"/>
          <w:sz w:val="24"/>
        </w:rPr>
        <w:t> </w:t>
      </w:r>
      <w:r>
        <w:rPr>
          <w:sz w:val="24"/>
        </w:rPr>
        <w:t>verbale.</w:t>
      </w:r>
    </w:p>
    <w:p>
      <w:pPr>
        <w:pStyle w:val="ListParagraph"/>
        <w:numPr>
          <w:ilvl w:val="1"/>
          <w:numId w:val="15"/>
        </w:numPr>
        <w:tabs>
          <w:tab w:pos="820" w:val="left" w:leader="none"/>
        </w:tabs>
        <w:spacing w:line="240" w:lineRule="auto" w:before="0" w:after="0"/>
        <w:ind w:left="680" w:right="1183" w:firstLine="0"/>
        <w:jc w:val="both"/>
        <w:rPr>
          <w:sz w:val="24"/>
        </w:rPr>
      </w:pPr>
      <w:r>
        <w:rPr>
          <w:sz w:val="24"/>
        </w:rPr>
        <w:t>pentru certifcarea conformită</w:t>
      </w:r>
      <w:r>
        <w:rPr>
          <w:rFonts w:ascii="Tahoma" w:hAnsi="Tahoma"/>
          <w:sz w:val="24"/>
        </w:rPr>
        <w:t>ț</w:t>
      </w:r>
      <w:r>
        <w:rPr>
          <w:sz w:val="24"/>
        </w:rPr>
        <w:t>ii, fiecarei facturi fiscale i-a fost întocmit un raport (60 buc) în care se specifica calitatea derulării contractului pe luna respectivă precum </w:t>
      </w:r>
      <w:r>
        <w:rPr>
          <w:rFonts w:ascii="Tahoma" w:hAnsi="Tahoma"/>
          <w:sz w:val="24"/>
        </w:rPr>
        <w:t>ș</w:t>
      </w:r>
      <w:r>
        <w:rPr>
          <w:sz w:val="24"/>
        </w:rPr>
        <w:t>i date cum ar fi suma de plată </w:t>
      </w:r>
      <w:r>
        <w:rPr>
          <w:rFonts w:ascii="Tahoma" w:hAnsi="Tahoma"/>
          <w:sz w:val="24"/>
        </w:rPr>
        <w:t>ș</w:t>
      </w:r>
      <w:r>
        <w:rPr>
          <w:sz w:val="24"/>
        </w:rPr>
        <w:t>i data scadentă a facturii</w:t>
      </w:r>
      <w:r>
        <w:rPr>
          <w:spacing w:val="-2"/>
          <w:sz w:val="24"/>
        </w:rPr>
        <w:t> </w:t>
      </w:r>
      <w:r>
        <w:rPr>
          <w:sz w:val="24"/>
        </w:rPr>
        <w:t>fiscale.</w:t>
      </w:r>
    </w:p>
    <w:p>
      <w:pPr>
        <w:pStyle w:val="ListParagraph"/>
        <w:numPr>
          <w:ilvl w:val="1"/>
          <w:numId w:val="15"/>
        </w:numPr>
        <w:tabs>
          <w:tab w:pos="880" w:val="left" w:leader="none"/>
        </w:tabs>
        <w:spacing w:line="240" w:lineRule="auto" w:before="0" w:after="0"/>
        <w:ind w:left="680" w:right="1150" w:firstLine="60"/>
        <w:jc w:val="both"/>
        <w:rPr>
          <w:sz w:val="24"/>
        </w:rPr>
      </w:pPr>
      <w:r>
        <w:rPr>
          <w:sz w:val="24"/>
        </w:rPr>
        <w:t>au fost verificate în medie15 note de interven</w:t>
      </w:r>
      <w:r>
        <w:rPr>
          <w:rFonts w:ascii="Tahoma" w:hAnsi="Tahoma"/>
          <w:sz w:val="24"/>
        </w:rPr>
        <w:t>ț</w:t>
      </w:r>
      <w:r>
        <w:rPr>
          <w:sz w:val="24"/>
        </w:rPr>
        <w:t>ii pe lună (180 note de interven</w:t>
      </w:r>
      <w:r>
        <w:rPr>
          <w:rFonts w:ascii="Tahoma" w:hAnsi="Tahoma"/>
          <w:sz w:val="24"/>
        </w:rPr>
        <w:t>ț</w:t>
      </w:r>
      <w:r>
        <w:rPr>
          <w:sz w:val="24"/>
        </w:rPr>
        <w:t>ii pe tot anul)pentru asigurarea mentenan</w:t>
      </w:r>
      <w:r>
        <w:rPr>
          <w:rFonts w:ascii="Tahoma" w:hAnsi="Tahoma"/>
          <w:sz w:val="24"/>
        </w:rPr>
        <w:t>ț</w:t>
      </w:r>
      <w:r>
        <w:rPr>
          <w:sz w:val="24"/>
        </w:rPr>
        <w:t>ei clădirilor </w:t>
      </w:r>
      <w:r>
        <w:rPr>
          <w:rFonts w:ascii="Tahoma" w:hAnsi="Tahoma"/>
          <w:sz w:val="24"/>
        </w:rPr>
        <w:t>ș</w:t>
      </w:r>
      <w:r>
        <w:rPr>
          <w:sz w:val="24"/>
        </w:rPr>
        <w:t>i instalatiilor</w:t>
      </w:r>
    </w:p>
    <w:p>
      <w:pPr>
        <w:pStyle w:val="ListParagraph"/>
        <w:numPr>
          <w:ilvl w:val="1"/>
          <w:numId w:val="15"/>
        </w:numPr>
        <w:tabs>
          <w:tab w:pos="880" w:val="left" w:leader="none"/>
        </w:tabs>
        <w:spacing w:line="240" w:lineRule="auto" w:before="0" w:after="0"/>
        <w:ind w:left="680" w:right="1145" w:firstLine="0"/>
        <w:jc w:val="left"/>
        <w:rPr>
          <w:sz w:val="24"/>
        </w:rPr>
      </w:pPr>
      <w:r>
        <w:rPr>
          <w:sz w:val="24"/>
        </w:rPr>
        <w:t>a fost întocmit un număr de 12 procese verbale de recep</w:t>
      </w:r>
      <w:r>
        <w:rPr>
          <w:rFonts w:ascii="Tahoma" w:hAnsi="Tahoma"/>
          <w:sz w:val="24"/>
        </w:rPr>
        <w:t>ț</w:t>
      </w:r>
      <w:r>
        <w:rPr>
          <w:sz w:val="24"/>
        </w:rPr>
        <w:t>ie, verificate 12 devize cu manoperă zero (procese verbale de interven</w:t>
      </w:r>
      <w:r>
        <w:rPr>
          <w:rFonts w:ascii="Tahoma" w:hAnsi="Tahoma"/>
          <w:sz w:val="24"/>
        </w:rPr>
        <w:t>ț</w:t>
      </w:r>
      <w:r>
        <w:rPr>
          <w:sz w:val="24"/>
        </w:rPr>
        <w:t>ie, facturi de materiale/aprox. 10buc/lună) </w:t>
      </w:r>
      <w:r>
        <w:rPr>
          <w:rFonts w:ascii="Tahoma" w:hAnsi="Tahoma"/>
          <w:sz w:val="24"/>
        </w:rPr>
        <w:t>ș</w:t>
      </w:r>
      <w:r>
        <w:rPr>
          <w:sz w:val="24"/>
        </w:rPr>
        <w:t>i au fost certificate pentru conformitate 24 de facturi fiscale. Pentru fiecare factură fiscală a fost întocmit un proces verbal de recep</w:t>
      </w:r>
      <w:r>
        <w:rPr>
          <w:rFonts w:ascii="Tahoma" w:hAnsi="Tahoma"/>
          <w:sz w:val="24"/>
        </w:rPr>
        <w:t>ț</w:t>
      </w:r>
      <w:r>
        <w:rPr>
          <w:sz w:val="24"/>
        </w:rPr>
        <w:t>ie (12 buc), precum </w:t>
      </w:r>
      <w:r>
        <w:rPr>
          <w:rFonts w:ascii="Tahoma" w:hAnsi="Tahoma"/>
          <w:sz w:val="24"/>
        </w:rPr>
        <w:t>ș</w:t>
      </w:r>
      <w:r>
        <w:rPr>
          <w:sz w:val="24"/>
        </w:rPr>
        <w:t>i un referat de înaintare la plată a devizului de materiale cu manoperă zero ( 12</w:t>
      </w:r>
      <w:r>
        <w:rPr>
          <w:spacing w:val="-3"/>
          <w:sz w:val="24"/>
        </w:rPr>
        <w:t> </w:t>
      </w:r>
      <w:r>
        <w:rPr>
          <w:sz w:val="24"/>
        </w:rPr>
        <w:t>buc).</w:t>
      </w:r>
    </w:p>
    <w:p>
      <w:pPr>
        <w:pStyle w:val="ListParagraph"/>
        <w:numPr>
          <w:ilvl w:val="1"/>
          <w:numId w:val="15"/>
        </w:numPr>
        <w:tabs>
          <w:tab w:pos="820" w:val="left" w:leader="none"/>
        </w:tabs>
        <w:spacing w:line="240" w:lineRule="auto" w:before="0" w:after="0"/>
        <w:ind w:left="680" w:right="1312" w:firstLine="0"/>
        <w:jc w:val="left"/>
        <w:rPr>
          <w:sz w:val="24"/>
        </w:rPr>
      </w:pPr>
      <w:r>
        <w:rPr>
          <w:sz w:val="24"/>
        </w:rPr>
        <w:t>a fost asigurată efectuarea verificărilor PRAM (verificarea împământărilor la prizele de energie electrică), a verificării tehnice a instala</w:t>
      </w:r>
      <w:r>
        <w:rPr>
          <w:rFonts w:ascii="Tahoma" w:hAnsi="Tahoma"/>
          <w:sz w:val="24"/>
        </w:rPr>
        <w:t>ț</w:t>
      </w:r>
      <w:r>
        <w:rPr>
          <w:sz w:val="24"/>
        </w:rPr>
        <w:t>iilor transportatoare </w:t>
      </w:r>
      <w:r>
        <w:rPr>
          <w:rFonts w:ascii="Tahoma" w:hAnsi="Tahoma"/>
          <w:sz w:val="24"/>
        </w:rPr>
        <w:t>ș</w:t>
      </w:r>
      <w:r>
        <w:rPr>
          <w:sz w:val="24"/>
        </w:rPr>
        <w:t>i utilizatoare de gaze naturale, a între</w:t>
      </w:r>
      <w:r>
        <w:rPr>
          <w:rFonts w:ascii="Tahoma" w:hAnsi="Tahoma"/>
          <w:sz w:val="24"/>
        </w:rPr>
        <w:t>ț</w:t>
      </w:r>
      <w:r>
        <w:rPr>
          <w:sz w:val="24"/>
        </w:rPr>
        <w:t>inerii </w:t>
      </w:r>
      <w:r>
        <w:rPr>
          <w:rFonts w:ascii="Tahoma" w:hAnsi="Tahoma"/>
          <w:sz w:val="24"/>
        </w:rPr>
        <w:t>ș</w:t>
      </w:r>
      <w:r>
        <w:rPr>
          <w:sz w:val="24"/>
        </w:rPr>
        <w:t>i reparării centralelor termice din dotarea DSPMB , a verificării ascensoarelor, a grupului electrogen </w:t>
      </w:r>
      <w:r>
        <w:rPr>
          <w:rFonts w:ascii="Tahoma" w:hAnsi="Tahoma"/>
          <w:sz w:val="24"/>
        </w:rPr>
        <w:t>ș</w:t>
      </w:r>
      <w:r>
        <w:rPr>
          <w:sz w:val="24"/>
        </w:rPr>
        <w:t>i extinctoarelor, în toate clădirile în care ne desfăsurăm activitatea, fiecare dintre aceste activită</w:t>
      </w:r>
      <w:r>
        <w:rPr>
          <w:rFonts w:ascii="Tahoma" w:hAnsi="Tahoma"/>
          <w:sz w:val="24"/>
        </w:rPr>
        <w:t>ț</w:t>
      </w:r>
      <w:r>
        <w:rPr>
          <w:sz w:val="24"/>
        </w:rPr>
        <w:t>i finalizânu-se cu întocmirea unui proces verbal de recep</w:t>
      </w:r>
      <w:r>
        <w:rPr>
          <w:rFonts w:ascii="Tahoma" w:hAnsi="Tahoma"/>
          <w:sz w:val="24"/>
        </w:rPr>
        <w:t>ț</w:t>
      </w:r>
      <w:r>
        <w:rPr>
          <w:sz w:val="24"/>
        </w:rPr>
        <w:t>ie, </w:t>
      </w:r>
      <w:r>
        <w:rPr>
          <w:rFonts w:ascii="Tahoma" w:hAnsi="Tahoma"/>
          <w:sz w:val="24"/>
        </w:rPr>
        <w:t>ș</w:t>
      </w:r>
      <w:r>
        <w:rPr>
          <w:sz w:val="24"/>
        </w:rPr>
        <w:t>i ulterior cu verificarea si certificarea facturii înaintată la plata, reprezentând contravaloarea serviciilor</w:t>
      </w:r>
      <w:r>
        <w:rPr>
          <w:spacing w:val="-20"/>
          <w:sz w:val="24"/>
        </w:rPr>
        <w:t> </w:t>
      </w:r>
      <w:r>
        <w:rPr>
          <w:sz w:val="24"/>
        </w:rPr>
        <w:t>prestate.</w:t>
      </w:r>
    </w:p>
    <w:p>
      <w:pPr>
        <w:pStyle w:val="ListParagraph"/>
        <w:numPr>
          <w:ilvl w:val="1"/>
          <w:numId w:val="15"/>
        </w:numPr>
        <w:tabs>
          <w:tab w:pos="820" w:val="left" w:leader="none"/>
        </w:tabs>
        <w:spacing w:line="240" w:lineRule="auto" w:before="0" w:after="0"/>
        <w:ind w:left="680" w:right="1582" w:firstLine="0"/>
        <w:jc w:val="left"/>
        <w:rPr>
          <w:sz w:val="24"/>
        </w:rPr>
      </w:pPr>
      <w:r>
        <w:rPr>
          <w:sz w:val="24"/>
        </w:rPr>
        <w:t>au fost recep</w:t>
      </w:r>
      <w:r>
        <w:rPr>
          <w:rFonts w:ascii="Tahoma" w:hAnsi="Tahoma"/>
          <w:sz w:val="24"/>
        </w:rPr>
        <w:t>ț</w:t>
      </w:r>
      <w:r>
        <w:rPr>
          <w:sz w:val="24"/>
        </w:rPr>
        <w:t>ionate lucrarile de repara</w:t>
      </w:r>
      <w:r>
        <w:rPr>
          <w:rFonts w:ascii="Tahoma" w:hAnsi="Tahoma"/>
          <w:sz w:val="24"/>
        </w:rPr>
        <w:t>ț</w:t>
      </w:r>
      <w:r>
        <w:rPr>
          <w:sz w:val="24"/>
        </w:rPr>
        <w:t>ii curente executate în anii trecu</w:t>
      </w:r>
      <w:r>
        <w:rPr>
          <w:rFonts w:ascii="Tahoma" w:hAnsi="Tahoma"/>
          <w:sz w:val="24"/>
        </w:rPr>
        <w:t>ț</w:t>
      </w:r>
      <w:r>
        <w:rPr>
          <w:sz w:val="24"/>
        </w:rPr>
        <w:t>i (2015-2016), al căror “termen de garan</w:t>
      </w:r>
      <w:r>
        <w:rPr>
          <w:rFonts w:ascii="Tahoma" w:hAnsi="Tahoma"/>
          <w:sz w:val="24"/>
        </w:rPr>
        <w:t>ț</w:t>
      </w:r>
      <w:r>
        <w:rPr>
          <w:sz w:val="24"/>
        </w:rPr>
        <w:t>ie la terminarea lucrărilor” a expirat, întocmindu-se astfel procese verbale de recep</w:t>
      </w:r>
      <w:r>
        <w:rPr>
          <w:rFonts w:ascii="Tahoma" w:hAnsi="Tahoma"/>
          <w:sz w:val="24"/>
        </w:rPr>
        <w:t>ț</w:t>
      </w:r>
      <w:r>
        <w:rPr>
          <w:sz w:val="24"/>
        </w:rPr>
        <w:t>ie finală (6 contracte /6 procese verbale de recep</w:t>
      </w:r>
      <w:r>
        <w:rPr>
          <w:rFonts w:ascii="Tahoma" w:hAnsi="Tahoma"/>
          <w:sz w:val="24"/>
        </w:rPr>
        <w:t>ț</w:t>
      </w:r>
      <w:r>
        <w:rPr>
          <w:sz w:val="24"/>
        </w:rPr>
        <w:t>ie</w:t>
      </w:r>
      <w:r>
        <w:rPr>
          <w:spacing w:val="-5"/>
          <w:sz w:val="24"/>
        </w:rPr>
        <w:t> </w:t>
      </w:r>
      <w:r>
        <w:rPr>
          <w:sz w:val="24"/>
        </w:rPr>
        <w:t>finală).</w:t>
      </w:r>
    </w:p>
    <w:p>
      <w:pPr>
        <w:pStyle w:val="ListParagraph"/>
        <w:numPr>
          <w:ilvl w:val="1"/>
          <w:numId w:val="15"/>
        </w:numPr>
        <w:tabs>
          <w:tab w:pos="880" w:val="left" w:leader="none"/>
        </w:tabs>
        <w:spacing w:line="240" w:lineRule="auto" w:before="0" w:after="0"/>
        <w:ind w:left="680" w:right="1214" w:firstLine="60"/>
        <w:jc w:val="left"/>
        <w:rPr>
          <w:sz w:val="24"/>
        </w:rPr>
      </w:pPr>
      <w:r>
        <w:rPr>
          <w:sz w:val="24"/>
        </w:rPr>
        <w:t>a fost asigurată prin firma de între</w:t>
      </w:r>
      <w:r>
        <w:rPr>
          <w:rFonts w:ascii="Tahoma" w:hAnsi="Tahoma"/>
          <w:sz w:val="24"/>
        </w:rPr>
        <w:t>ț</w:t>
      </w:r>
      <w:r>
        <w:rPr>
          <w:sz w:val="24"/>
        </w:rPr>
        <w:t>inere </w:t>
      </w:r>
      <w:r>
        <w:rPr>
          <w:rFonts w:ascii="Tahoma" w:hAnsi="Tahoma"/>
          <w:sz w:val="24"/>
        </w:rPr>
        <w:t>ș</w:t>
      </w:r>
      <w:r>
        <w:rPr>
          <w:sz w:val="24"/>
        </w:rPr>
        <w:t>i repara</w:t>
      </w:r>
      <w:r>
        <w:rPr>
          <w:rFonts w:ascii="Tahoma" w:hAnsi="Tahoma"/>
          <w:sz w:val="24"/>
        </w:rPr>
        <w:t>ț</w:t>
      </w:r>
      <w:r>
        <w:rPr>
          <w:sz w:val="24"/>
        </w:rPr>
        <w:t>ii auto functionarea celor 13 autoturisme ale parcului auto DSPMB; s-a urmărit termenul de valabilitate, s-au organizat </w:t>
      </w:r>
      <w:r>
        <w:rPr>
          <w:rFonts w:ascii="Tahoma" w:hAnsi="Tahoma"/>
          <w:sz w:val="24"/>
        </w:rPr>
        <w:t>ș</w:t>
      </w:r>
      <w:r>
        <w:rPr>
          <w:sz w:val="24"/>
        </w:rPr>
        <w:t>i întocmit documentele necesare efectuării reviziilor tehnice periodice </w:t>
      </w:r>
      <w:r>
        <w:rPr>
          <w:rFonts w:ascii="Tahoma" w:hAnsi="Tahoma"/>
          <w:sz w:val="24"/>
        </w:rPr>
        <w:t>ș</w:t>
      </w:r>
      <w:r>
        <w:rPr>
          <w:sz w:val="24"/>
        </w:rPr>
        <w:t>i executarea la timp a repara</w:t>
      </w:r>
      <w:r>
        <w:rPr>
          <w:rFonts w:ascii="Tahoma" w:hAnsi="Tahoma"/>
          <w:sz w:val="24"/>
        </w:rPr>
        <w:t>ț</w:t>
      </w:r>
      <w:r>
        <w:rPr>
          <w:sz w:val="24"/>
        </w:rPr>
        <w:t>iilor curente necesare men</w:t>
      </w:r>
      <w:r>
        <w:rPr>
          <w:rFonts w:ascii="Tahoma" w:hAnsi="Tahoma"/>
          <w:sz w:val="24"/>
        </w:rPr>
        <w:t>ț</w:t>
      </w:r>
      <w:r>
        <w:rPr>
          <w:sz w:val="24"/>
        </w:rPr>
        <w:t>inerii în stare de func</w:t>
      </w:r>
      <w:r>
        <w:rPr>
          <w:rFonts w:ascii="Tahoma" w:hAnsi="Tahoma"/>
          <w:sz w:val="24"/>
        </w:rPr>
        <w:t>ț</w:t>
      </w:r>
      <w:r>
        <w:rPr>
          <w:sz w:val="24"/>
        </w:rPr>
        <w:t>ionare a acestora </w:t>
      </w:r>
      <w:r>
        <w:rPr>
          <w:rFonts w:ascii="Tahoma" w:hAnsi="Tahoma"/>
          <w:sz w:val="24"/>
        </w:rPr>
        <w:t>ș</w:t>
      </w:r>
      <w:r>
        <w:rPr>
          <w:sz w:val="24"/>
        </w:rPr>
        <w:t>i a men</w:t>
      </w:r>
      <w:r>
        <w:rPr>
          <w:rFonts w:ascii="Tahoma" w:hAnsi="Tahoma"/>
          <w:sz w:val="24"/>
        </w:rPr>
        <w:t>ț</w:t>
      </w:r>
      <w:r>
        <w:rPr>
          <w:sz w:val="24"/>
        </w:rPr>
        <w:t>inerii continuită</w:t>
      </w:r>
      <w:r>
        <w:rPr>
          <w:rFonts w:ascii="Tahoma" w:hAnsi="Tahoma"/>
          <w:sz w:val="24"/>
        </w:rPr>
        <w:t>ț</w:t>
      </w:r>
      <w:r>
        <w:rPr>
          <w:sz w:val="24"/>
        </w:rPr>
        <w:t>ii asigurării autoturismelor din dotarea institu</w:t>
      </w:r>
      <w:r>
        <w:rPr>
          <w:rFonts w:ascii="Tahoma" w:hAnsi="Tahoma"/>
          <w:sz w:val="24"/>
        </w:rPr>
        <w:t>ț</w:t>
      </w:r>
      <w:r>
        <w:rPr>
          <w:sz w:val="24"/>
        </w:rPr>
        <w:t>iei ( CASCO,</w:t>
      </w:r>
      <w:r>
        <w:rPr>
          <w:spacing w:val="-2"/>
          <w:sz w:val="24"/>
        </w:rPr>
        <w:t> </w:t>
      </w:r>
      <w:r>
        <w:rPr>
          <w:sz w:val="24"/>
        </w:rPr>
        <w:t>RCA).</w:t>
      </w:r>
    </w:p>
    <w:p>
      <w:pPr>
        <w:pStyle w:val="ListParagraph"/>
        <w:numPr>
          <w:ilvl w:val="1"/>
          <w:numId w:val="15"/>
        </w:numPr>
        <w:tabs>
          <w:tab w:pos="820" w:val="left" w:leader="none"/>
        </w:tabs>
        <w:spacing w:line="240" w:lineRule="auto" w:before="1" w:after="0"/>
        <w:ind w:left="680" w:right="1320" w:firstLine="0"/>
        <w:jc w:val="left"/>
        <w:rPr>
          <w:sz w:val="24"/>
        </w:rPr>
      </w:pPr>
      <w:r>
        <w:rPr>
          <w:sz w:val="24"/>
        </w:rPr>
        <w:t>a fost organizată lunar, activitatea de transport necesară la trezorerie, sau pentru colectarea probelor de apa, pentru ridicarea </w:t>
      </w:r>
      <w:r>
        <w:rPr>
          <w:rFonts w:ascii="Tahoma" w:hAnsi="Tahoma"/>
          <w:sz w:val="24"/>
        </w:rPr>
        <w:t>ș</w:t>
      </w:r>
      <w:r>
        <w:rPr>
          <w:sz w:val="24"/>
        </w:rPr>
        <w:t>i transportul vaccinurilor </w:t>
      </w:r>
      <w:r>
        <w:rPr>
          <w:rFonts w:ascii="Tahoma" w:hAnsi="Tahoma"/>
          <w:sz w:val="24"/>
        </w:rPr>
        <w:t>ș</w:t>
      </w:r>
      <w:r>
        <w:rPr>
          <w:sz w:val="24"/>
        </w:rPr>
        <w:t>i medicamentelor, transportul la imprimerie, la institu</w:t>
      </w:r>
      <w:r>
        <w:rPr>
          <w:rFonts w:ascii="Tahoma" w:hAnsi="Tahoma"/>
          <w:sz w:val="24"/>
        </w:rPr>
        <w:t>ț</w:t>
      </w:r>
      <w:r>
        <w:rPr>
          <w:sz w:val="24"/>
        </w:rPr>
        <w:t>ii sanitare </w:t>
      </w:r>
      <w:r>
        <w:rPr>
          <w:rFonts w:ascii="Tahoma" w:hAnsi="Tahoma"/>
          <w:sz w:val="24"/>
        </w:rPr>
        <w:t>ș</w:t>
      </w:r>
      <w:r>
        <w:rPr>
          <w:sz w:val="24"/>
        </w:rPr>
        <w:t>i nu numai, cu care DSPMB colaborează. S-au întocmit lunar graficelor de lucru pentru activitatea de gardă (sediul din Spiru Haret nr.14) </w:t>
      </w:r>
      <w:r>
        <w:rPr>
          <w:rFonts w:ascii="Tahoma" w:hAnsi="Tahoma"/>
          <w:sz w:val="24"/>
        </w:rPr>
        <w:t>ș</w:t>
      </w:r>
      <w:r>
        <w:rPr>
          <w:sz w:val="24"/>
        </w:rPr>
        <w:t>i pentru deplasările la trezorerie (23 grafice). Au fost întocmite 3 grafice pe perioada verii, grafice de lucru pentru colectarea probelor de apă din</w:t>
      </w:r>
      <w:r>
        <w:rPr>
          <w:spacing w:val="-3"/>
          <w:sz w:val="24"/>
        </w:rPr>
        <w:t> </w:t>
      </w:r>
      <w:r>
        <w:rPr>
          <w:sz w:val="24"/>
        </w:rPr>
        <w:t>piscine.</w:t>
      </w:r>
    </w:p>
    <w:p>
      <w:pPr>
        <w:pStyle w:val="ListParagraph"/>
        <w:numPr>
          <w:ilvl w:val="1"/>
          <w:numId w:val="15"/>
        </w:numPr>
        <w:tabs>
          <w:tab w:pos="823" w:val="left" w:leader="none"/>
        </w:tabs>
        <w:spacing w:line="240" w:lineRule="auto" w:before="0" w:after="0"/>
        <w:ind w:left="680" w:right="1133" w:firstLine="0"/>
        <w:jc w:val="left"/>
        <w:rPr>
          <w:sz w:val="24"/>
        </w:rPr>
      </w:pPr>
      <w:r>
        <w:rPr>
          <w:sz w:val="24"/>
        </w:rPr>
        <w:t>au fost întocmite 18 referate de intrare în service auto pentru efectuarea constatării defec</w:t>
      </w:r>
      <w:r>
        <w:rPr>
          <w:rFonts w:ascii="Tahoma" w:hAnsi="Tahoma"/>
          <w:sz w:val="24"/>
        </w:rPr>
        <w:t>ț</w:t>
      </w:r>
      <w:r>
        <w:rPr>
          <w:sz w:val="24"/>
        </w:rPr>
        <w:t>iunilor </w:t>
      </w:r>
      <w:r>
        <w:rPr>
          <w:rFonts w:ascii="Tahoma" w:hAnsi="Tahoma"/>
          <w:sz w:val="24"/>
        </w:rPr>
        <w:t>ș</w:t>
      </w:r>
      <w:r>
        <w:rPr>
          <w:sz w:val="24"/>
        </w:rPr>
        <w:t>i repara</w:t>
      </w:r>
      <w:r>
        <w:rPr>
          <w:rFonts w:ascii="Tahoma" w:hAnsi="Tahoma"/>
          <w:sz w:val="24"/>
        </w:rPr>
        <w:t>ț</w:t>
      </w:r>
      <w:r>
        <w:rPr>
          <w:sz w:val="24"/>
        </w:rPr>
        <w:t>iilor auto necesare, pentru achizi</w:t>
      </w:r>
      <w:r>
        <w:rPr>
          <w:rFonts w:ascii="Tahoma" w:hAnsi="Tahoma"/>
          <w:sz w:val="24"/>
        </w:rPr>
        <w:t>ț</w:t>
      </w:r>
      <w:r>
        <w:rPr>
          <w:sz w:val="24"/>
        </w:rPr>
        <w:t>ia de rovinete pentru autoturismele din dotarea</w:t>
      </w:r>
      <w:r>
        <w:rPr>
          <w:spacing w:val="-13"/>
          <w:sz w:val="24"/>
        </w:rPr>
        <w:t> </w:t>
      </w:r>
      <w:r>
        <w:rPr>
          <w:sz w:val="24"/>
        </w:rPr>
        <w:t>institutiei.</w:t>
      </w:r>
    </w:p>
    <w:p>
      <w:pPr>
        <w:pStyle w:val="BodyText"/>
        <w:spacing w:line="291" w:lineRule="exact"/>
      </w:pPr>
      <w:r>
        <w:rPr/>
        <w:t>Au fost verificate 14 devize de repara</w:t>
      </w:r>
      <w:r>
        <w:rPr>
          <w:rFonts w:ascii="Tahoma" w:hAnsi="Tahoma"/>
        </w:rPr>
        <w:t>ț</w:t>
      </w:r>
      <w:r>
        <w:rPr/>
        <w:t>ii auto.</w:t>
      </w:r>
    </w:p>
    <w:p>
      <w:pPr>
        <w:pStyle w:val="ListParagraph"/>
        <w:numPr>
          <w:ilvl w:val="1"/>
          <w:numId w:val="15"/>
        </w:numPr>
        <w:tabs>
          <w:tab w:pos="835" w:val="left" w:leader="none"/>
        </w:tabs>
        <w:spacing w:line="240" w:lineRule="auto" w:before="0" w:after="0"/>
        <w:ind w:left="680" w:right="1133" w:firstLine="0"/>
        <w:jc w:val="left"/>
        <w:rPr>
          <w:sz w:val="24"/>
        </w:rPr>
      </w:pPr>
      <w:r>
        <w:rPr>
          <w:sz w:val="24"/>
        </w:rPr>
        <w:t>au fost eliberate </w:t>
      </w:r>
      <w:r>
        <w:rPr>
          <w:rFonts w:ascii="Tahoma" w:hAnsi="Tahoma"/>
          <w:sz w:val="24"/>
        </w:rPr>
        <w:t>ș</w:t>
      </w:r>
      <w:r>
        <w:rPr>
          <w:sz w:val="24"/>
        </w:rPr>
        <w:t>i apoi verificate, un număr de 1920 foi de parcurs, întocmite 96 foi de activita</w:t>
      </w:r>
      <w:r>
        <w:rPr>
          <w:rFonts w:ascii="Tahoma" w:hAnsi="Tahoma"/>
          <w:sz w:val="24"/>
        </w:rPr>
        <w:t>ț</w:t>
      </w:r>
      <w:r>
        <w:rPr>
          <w:sz w:val="24"/>
        </w:rPr>
        <w:t>i zilnice (FAZ), pentru autoturismele aflate în</w:t>
      </w:r>
      <w:r>
        <w:rPr>
          <w:spacing w:val="-3"/>
          <w:sz w:val="24"/>
        </w:rPr>
        <w:t> </w:t>
      </w:r>
      <w:r>
        <w:rPr>
          <w:sz w:val="24"/>
        </w:rPr>
        <w:t>circula</w:t>
      </w:r>
      <w:r>
        <w:rPr>
          <w:rFonts w:ascii="Tahoma" w:hAnsi="Tahoma"/>
          <w:sz w:val="24"/>
        </w:rPr>
        <w:t>ț</w:t>
      </w:r>
      <w:r>
        <w:rPr>
          <w:sz w:val="24"/>
        </w:rPr>
        <w:t>ie.</w:t>
      </w:r>
    </w:p>
    <w:p>
      <w:pPr>
        <w:spacing w:after="0" w:line="240" w:lineRule="auto"/>
        <w:jc w:val="left"/>
        <w:rPr>
          <w:sz w:val="24"/>
        </w:rPr>
        <w:sectPr>
          <w:pgSz w:w="11910" w:h="16840"/>
          <w:pgMar w:header="0" w:footer="658" w:top="1360" w:bottom="920" w:left="400" w:right="0"/>
        </w:sectPr>
      </w:pPr>
    </w:p>
    <w:p>
      <w:pPr>
        <w:pStyle w:val="ListParagraph"/>
        <w:numPr>
          <w:ilvl w:val="1"/>
          <w:numId w:val="15"/>
        </w:numPr>
        <w:tabs>
          <w:tab w:pos="866" w:val="left" w:leader="none"/>
        </w:tabs>
        <w:spacing w:line="240" w:lineRule="auto" w:before="81" w:after="0"/>
        <w:ind w:left="680" w:right="1136" w:firstLine="0"/>
        <w:jc w:val="both"/>
        <w:rPr>
          <w:sz w:val="24"/>
        </w:rPr>
      </w:pPr>
      <w:r>
        <w:rPr>
          <w:sz w:val="24"/>
        </w:rPr>
        <w:t>au fost întocmite raportări precum proiectul de buget investi</w:t>
      </w:r>
      <w:r>
        <w:rPr>
          <w:rFonts w:ascii="Tahoma" w:hAnsi="Tahoma"/>
          <w:sz w:val="24"/>
        </w:rPr>
        <w:t>ț</w:t>
      </w:r>
      <w:r>
        <w:rPr>
          <w:sz w:val="24"/>
        </w:rPr>
        <w:t>ii pentru anul 2017 (10 anexe), solicitate de Ministerul Sănătă</w:t>
      </w:r>
      <w:r>
        <w:rPr>
          <w:rFonts w:ascii="Tahoma" w:hAnsi="Tahoma"/>
          <w:sz w:val="24"/>
        </w:rPr>
        <w:t>ț</w:t>
      </w:r>
      <w:r>
        <w:rPr>
          <w:sz w:val="24"/>
        </w:rPr>
        <w:t>ii, </w:t>
      </w:r>
      <w:r>
        <w:rPr>
          <w:rFonts w:ascii="Tahoma" w:hAnsi="Tahoma"/>
          <w:sz w:val="24"/>
        </w:rPr>
        <w:t>ș</w:t>
      </w:r>
      <w:r>
        <w:rPr>
          <w:sz w:val="24"/>
        </w:rPr>
        <w:t>i Prefectură, toate fiind înso</w:t>
      </w:r>
      <w:r>
        <w:rPr>
          <w:rFonts w:ascii="Tahoma" w:hAnsi="Tahoma"/>
          <w:sz w:val="24"/>
        </w:rPr>
        <w:t>ț</w:t>
      </w:r>
      <w:r>
        <w:rPr>
          <w:sz w:val="24"/>
        </w:rPr>
        <w:t>ite de note de fundamentare ale investi</w:t>
      </w:r>
      <w:r>
        <w:rPr>
          <w:rFonts w:ascii="Tahoma" w:hAnsi="Tahoma"/>
          <w:sz w:val="24"/>
        </w:rPr>
        <w:t>ț</w:t>
      </w:r>
      <w:r>
        <w:rPr>
          <w:sz w:val="24"/>
        </w:rPr>
        <w:t>iilor necesare DSPMB (4</w:t>
      </w:r>
      <w:r>
        <w:rPr>
          <w:spacing w:val="-5"/>
          <w:sz w:val="24"/>
        </w:rPr>
        <w:t> </w:t>
      </w:r>
      <w:r>
        <w:rPr>
          <w:sz w:val="24"/>
        </w:rPr>
        <w:t>note).</w:t>
      </w:r>
    </w:p>
    <w:p>
      <w:pPr>
        <w:pStyle w:val="ListParagraph"/>
        <w:numPr>
          <w:ilvl w:val="1"/>
          <w:numId w:val="15"/>
        </w:numPr>
        <w:tabs>
          <w:tab w:pos="895" w:val="left" w:leader="none"/>
        </w:tabs>
        <w:spacing w:line="240" w:lineRule="auto" w:before="0" w:after="0"/>
        <w:ind w:left="680" w:right="1135" w:firstLine="0"/>
        <w:jc w:val="both"/>
        <w:rPr>
          <w:sz w:val="24"/>
        </w:rPr>
      </w:pPr>
      <w:r>
        <w:rPr>
          <w:sz w:val="24"/>
        </w:rPr>
        <w:t>s-a întocmit, în colaborare cu laboratoarele DSPMB </w:t>
      </w:r>
      <w:r>
        <w:rPr>
          <w:rFonts w:ascii="Tahoma" w:hAnsi="Tahoma"/>
          <w:sz w:val="24"/>
        </w:rPr>
        <w:t>ș</w:t>
      </w:r>
      <w:r>
        <w:rPr>
          <w:sz w:val="24"/>
        </w:rPr>
        <w:t>i s-a transmis Ministerului Sănătă</w:t>
      </w:r>
      <w:r>
        <w:rPr>
          <w:rFonts w:ascii="Tahoma" w:hAnsi="Tahoma"/>
          <w:sz w:val="24"/>
        </w:rPr>
        <w:t>ț</w:t>
      </w:r>
      <w:r>
        <w:rPr>
          <w:sz w:val="24"/>
        </w:rPr>
        <w:t>ii, programul de investi</w:t>
      </w:r>
      <w:r>
        <w:rPr>
          <w:rFonts w:ascii="Tahoma" w:hAnsi="Tahoma"/>
          <w:sz w:val="24"/>
        </w:rPr>
        <w:t>ț</w:t>
      </w:r>
      <w:r>
        <w:rPr>
          <w:sz w:val="24"/>
        </w:rPr>
        <w:t>ii pentru categoria Cheltuieli de capital pe anul</w:t>
      </w:r>
      <w:r>
        <w:rPr>
          <w:spacing w:val="-5"/>
          <w:sz w:val="24"/>
        </w:rPr>
        <w:t> </w:t>
      </w:r>
      <w:r>
        <w:rPr>
          <w:sz w:val="24"/>
        </w:rPr>
        <w:t>2017.</w:t>
      </w:r>
    </w:p>
    <w:p>
      <w:pPr>
        <w:pStyle w:val="ListParagraph"/>
        <w:numPr>
          <w:ilvl w:val="1"/>
          <w:numId w:val="15"/>
        </w:numPr>
        <w:tabs>
          <w:tab w:pos="887" w:val="left" w:leader="none"/>
        </w:tabs>
        <w:spacing w:line="240" w:lineRule="auto" w:before="0" w:after="0"/>
        <w:ind w:left="680" w:right="1135" w:firstLine="0"/>
        <w:jc w:val="both"/>
        <w:rPr>
          <w:sz w:val="24"/>
        </w:rPr>
      </w:pPr>
      <w:r>
        <w:rPr>
          <w:sz w:val="24"/>
        </w:rPr>
        <w:t>s-au transmis Ministerului Sănăta</w:t>
      </w:r>
      <w:r>
        <w:rPr>
          <w:rFonts w:ascii="Tahoma" w:hAnsi="Tahoma"/>
          <w:sz w:val="24"/>
        </w:rPr>
        <w:t>ț</w:t>
      </w:r>
      <w:r>
        <w:rPr>
          <w:sz w:val="24"/>
        </w:rPr>
        <w:t>ii propunerile unita</w:t>
      </w:r>
      <w:r>
        <w:rPr>
          <w:rFonts w:ascii="Tahoma" w:hAnsi="Tahoma"/>
          <w:sz w:val="24"/>
        </w:rPr>
        <w:t>ț</w:t>
      </w:r>
      <w:r>
        <w:rPr>
          <w:sz w:val="24"/>
        </w:rPr>
        <w:t>ilor sanitare din re</w:t>
      </w:r>
      <w:r>
        <w:rPr>
          <w:rFonts w:ascii="Tahoma" w:hAnsi="Tahoma"/>
          <w:sz w:val="24"/>
        </w:rPr>
        <w:t>ț</w:t>
      </w:r>
      <w:r>
        <w:rPr>
          <w:sz w:val="24"/>
        </w:rPr>
        <w:t>eaua administra</w:t>
      </w:r>
      <w:r>
        <w:rPr>
          <w:rFonts w:ascii="Tahoma" w:hAnsi="Tahoma"/>
          <w:sz w:val="24"/>
        </w:rPr>
        <w:t>ț</w:t>
      </w:r>
      <w:r>
        <w:rPr>
          <w:sz w:val="24"/>
        </w:rPr>
        <w:t>iei publice locale (19 spitale), pentru Transferuri de capital, propuneri aferente anului</w:t>
      </w:r>
      <w:r>
        <w:rPr>
          <w:spacing w:val="-4"/>
          <w:sz w:val="24"/>
        </w:rPr>
        <w:t> </w:t>
      </w:r>
      <w:r>
        <w:rPr>
          <w:sz w:val="24"/>
        </w:rPr>
        <w:t>2017.</w:t>
      </w:r>
    </w:p>
    <w:p>
      <w:pPr>
        <w:pStyle w:val="ListParagraph"/>
        <w:numPr>
          <w:ilvl w:val="1"/>
          <w:numId w:val="15"/>
        </w:numPr>
        <w:tabs>
          <w:tab w:pos="854" w:val="left" w:leader="none"/>
        </w:tabs>
        <w:spacing w:line="240" w:lineRule="auto" w:before="0" w:after="0"/>
        <w:ind w:left="680" w:right="1131" w:firstLine="0"/>
        <w:jc w:val="both"/>
        <w:rPr>
          <w:sz w:val="24"/>
        </w:rPr>
      </w:pPr>
      <w:r>
        <w:rPr>
          <w:sz w:val="24"/>
        </w:rPr>
        <w:t>a fost asigurată derularea procesului investi</w:t>
      </w:r>
      <w:r>
        <w:rPr>
          <w:rFonts w:ascii="Tahoma" w:hAnsi="Tahoma"/>
          <w:sz w:val="24"/>
        </w:rPr>
        <w:t>ț</w:t>
      </w:r>
      <w:r>
        <w:rPr>
          <w:sz w:val="24"/>
        </w:rPr>
        <w:t>ional pentru spitalele din re</w:t>
      </w:r>
      <w:r>
        <w:rPr>
          <w:rFonts w:ascii="Tahoma" w:hAnsi="Tahoma"/>
          <w:sz w:val="24"/>
        </w:rPr>
        <w:t>ț</w:t>
      </w:r>
      <w:r>
        <w:rPr>
          <w:sz w:val="24"/>
        </w:rPr>
        <w:t>eaua publică locală. În acest sens au fost încheiate doua contracte cu Primăria Municipiului Bucure</w:t>
      </w:r>
      <w:r>
        <w:rPr>
          <w:rFonts w:ascii="Tahoma" w:hAnsi="Tahoma"/>
          <w:sz w:val="24"/>
        </w:rPr>
        <w:t>ș</w:t>
      </w:r>
      <w:r>
        <w:rPr>
          <w:sz w:val="24"/>
        </w:rPr>
        <w:t>ti. Au fost întocmite către Ministerul Sănătă</w:t>
      </w:r>
      <w:r>
        <w:rPr>
          <w:rFonts w:ascii="Tahoma" w:hAnsi="Tahoma"/>
          <w:sz w:val="24"/>
        </w:rPr>
        <w:t>ț</w:t>
      </w:r>
      <w:r>
        <w:rPr>
          <w:sz w:val="24"/>
        </w:rPr>
        <w:t>ii două cereri de deschidere de finan</w:t>
      </w:r>
      <w:r>
        <w:rPr>
          <w:rFonts w:ascii="Tahoma" w:hAnsi="Tahoma"/>
          <w:sz w:val="24"/>
        </w:rPr>
        <w:t>ț</w:t>
      </w:r>
      <w:r>
        <w:rPr>
          <w:sz w:val="24"/>
        </w:rPr>
        <w:t>are, la solicitarea Administra</w:t>
      </w:r>
      <w:r>
        <w:rPr>
          <w:rFonts w:ascii="Tahoma" w:hAnsi="Tahoma"/>
          <w:sz w:val="24"/>
        </w:rPr>
        <w:t>ț</w:t>
      </w:r>
      <w:r>
        <w:rPr>
          <w:sz w:val="24"/>
        </w:rPr>
        <w:t>iei Spitalelor </w:t>
      </w:r>
      <w:r>
        <w:rPr>
          <w:rFonts w:ascii="Tahoma" w:hAnsi="Tahoma"/>
          <w:sz w:val="24"/>
        </w:rPr>
        <w:t>ș</w:t>
      </w:r>
      <w:r>
        <w:rPr>
          <w:sz w:val="24"/>
        </w:rPr>
        <w:t>i Serviciilor Medicale Bucure</w:t>
      </w:r>
      <w:r>
        <w:rPr>
          <w:rFonts w:ascii="Tahoma" w:hAnsi="Tahoma"/>
          <w:sz w:val="24"/>
        </w:rPr>
        <w:t>ș</w:t>
      </w:r>
      <w:r>
        <w:rPr>
          <w:sz w:val="24"/>
        </w:rPr>
        <w:t>ti, verificandu-se documentele depuse pentru fiecare aparat/echipament medical în parte, de unitatea</w:t>
      </w:r>
      <w:r>
        <w:rPr>
          <w:spacing w:val="-4"/>
          <w:sz w:val="24"/>
        </w:rPr>
        <w:t> </w:t>
      </w:r>
      <w:r>
        <w:rPr>
          <w:sz w:val="24"/>
        </w:rPr>
        <w:t>sanitară.</w:t>
      </w:r>
    </w:p>
    <w:p>
      <w:pPr>
        <w:pStyle w:val="ListParagraph"/>
        <w:numPr>
          <w:ilvl w:val="1"/>
          <w:numId w:val="15"/>
        </w:numPr>
        <w:tabs>
          <w:tab w:pos="839" w:val="left" w:leader="none"/>
        </w:tabs>
        <w:spacing w:line="240" w:lineRule="auto" w:before="0" w:after="0"/>
        <w:ind w:left="680" w:right="1133" w:firstLine="0"/>
        <w:jc w:val="both"/>
        <w:rPr>
          <w:sz w:val="24"/>
        </w:rPr>
      </w:pPr>
      <w:r>
        <w:rPr>
          <w:sz w:val="24"/>
        </w:rPr>
        <w:t>a fost asigurată derularea procesului investi</w:t>
      </w:r>
      <w:r>
        <w:rPr>
          <w:rFonts w:ascii="Tahoma" w:hAnsi="Tahoma"/>
          <w:sz w:val="24"/>
        </w:rPr>
        <w:t>ț</w:t>
      </w:r>
      <w:r>
        <w:rPr>
          <w:sz w:val="24"/>
        </w:rPr>
        <w:t>ional pentru DSPMB, aceasta constând în întocmirea </w:t>
      </w:r>
      <w:r>
        <w:rPr>
          <w:rFonts w:ascii="Tahoma" w:hAnsi="Tahoma"/>
          <w:sz w:val="24"/>
        </w:rPr>
        <w:t>ș</w:t>
      </w:r>
      <w:r>
        <w:rPr>
          <w:sz w:val="24"/>
        </w:rPr>
        <w:t>i transmiterea către Ministerul Sanata</w:t>
      </w:r>
      <w:r>
        <w:rPr>
          <w:rFonts w:ascii="Tahoma" w:hAnsi="Tahoma"/>
          <w:sz w:val="24"/>
        </w:rPr>
        <w:t>ț</w:t>
      </w:r>
      <w:r>
        <w:rPr>
          <w:sz w:val="24"/>
        </w:rPr>
        <w:t>ii, a documentelor necesare cuprinderii în programul de investi</w:t>
      </w:r>
      <w:r>
        <w:rPr>
          <w:rFonts w:ascii="Tahoma" w:hAnsi="Tahoma"/>
          <w:sz w:val="24"/>
        </w:rPr>
        <w:t>ț</w:t>
      </w:r>
      <w:r>
        <w:rPr>
          <w:sz w:val="24"/>
        </w:rPr>
        <w:t>ii al MS, cu finan</w:t>
      </w:r>
      <w:r>
        <w:rPr>
          <w:rFonts w:ascii="Tahoma" w:hAnsi="Tahoma"/>
          <w:sz w:val="24"/>
        </w:rPr>
        <w:t>ț</w:t>
      </w:r>
      <w:r>
        <w:rPr>
          <w:sz w:val="24"/>
        </w:rPr>
        <w:t>are din bugetul de stat </w:t>
      </w:r>
      <w:r>
        <w:rPr>
          <w:rFonts w:ascii="Tahoma" w:hAnsi="Tahoma"/>
          <w:sz w:val="24"/>
        </w:rPr>
        <w:t>ș</w:t>
      </w:r>
      <w:r>
        <w:rPr>
          <w:sz w:val="24"/>
        </w:rPr>
        <w:t>i asigurarii fondurilor necesare achizi</w:t>
      </w:r>
      <w:r>
        <w:rPr>
          <w:rFonts w:ascii="Tahoma" w:hAnsi="Tahoma"/>
          <w:sz w:val="24"/>
        </w:rPr>
        <w:t>ț</w:t>
      </w:r>
      <w:r>
        <w:rPr>
          <w:sz w:val="24"/>
        </w:rPr>
        <w:t>ionarii echipamentelor medicale, în vederea dotării laboratorului de igienă a radia</w:t>
      </w:r>
      <w:r>
        <w:rPr>
          <w:rFonts w:ascii="Tahoma" w:hAnsi="Tahoma"/>
          <w:sz w:val="24"/>
        </w:rPr>
        <w:t>ț</w:t>
      </w:r>
      <w:r>
        <w:rPr>
          <w:sz w:val="24"/>
        </w:rPr>
        <w:t>iilor ionizate </w:t>
      </w:r>
      <w:r>
        <w:rPr>
          <w:rFonts w:ascii="Tahoma" w:hAnsi="Tahoma"/>
          <w:sz w:val="24"/>
        </w:rPr>
        <w:t>ș</w:t>
      </w:r>
      <w:r>
        <w:rPr>
          <w:sz w:val="24"/>
        </w:rPr>
        <w:t>i cat si a celorlaltor laboratoare ale DSPMB, dar cu finan</w:t>
      </w:r>
      <w:r>
        <w:rPr>
          <w:rFonts w:ascii="Tahoma" w:hAnsi="Tahoma"/>
          <w:sz w:val="24"/>
        </w:rPr>
        <w:t>ț</w:t>
      </w:r>
      <w:r>
        <w:rPr>
          <w:sz w:val="24"/>
        </w:rPr>
        <w:t>are din veniturile proprii ale</w:t>
      </w:r>
      <w:r>
        <w:rPr>
          <w:spacing w:val="-6"/>
          <w:sz w:val="24"/>
        </w:rPr>
        <w:t> </w:t>
      </w:r>
      <w:r>
        <w:rPr>
          <w:sz w:val="24"/>
        </w:rPr>
        <w:t>institu</w:t>
      </w:r>
      <w:r>
        <w:rPr>
          <w:rFonts w:ascii="Tahoma" w:hAnsi="Tahoma"/>
          <w:sz w:val="24"/>
        </w:rPr>
        <w:t>ț</w:t>
      </w:r>
      <w:r>
        <w:rPr>
          <w:sz w:val="24"/>
        </w:rPr>
        <w:t>iei.</w:t>
      </w:r>
    </w:p>
    <w:p>
      <w:pPr>
        <w:pStyle w:val="ListParagraph"/>
        <w:numPr>
          <w:ilvl w:val="1"/>
          <w:numId w:val="15"/>
        </w:numPr>
        <w:tabs>
          <w:tab w:pos="823" w:val="left" w:leader="none"/>
        </w:tabs>
        <w:spacing w:line="240" w:lineRule="auto" w:before="1" w:after="0"/>
        <w:ind w:left="680" w:right="1133" w:firstLine="0"/>
        <w:jc w:val="both"/>
        <w:rPr>
          <w:sz w:val="24"/>
        </w:rPr>
      </w:pPr>
      <w:r>
        <w:rPr>
          <w:sz w:val="24"/>
        </w:rPr>
        <w:t>au fost întocmite lunar raportări privind monitorizarea derulării procesului investi</w:t>
      </w:r>
      <w:r>
        <w:rPr>
          <w:rFonts w:ascii="Tahoma" w:hAnsi="Tahoma"/>
          <w:sz w:val="24"/>
        </w:rPr>
        <w:t>ț</w:t>
      </w:r>
      <w:r>
        <w:rPr>
          <w:sz w:val="24"/>
        </w:rPr>
        <w:t>ional (36 anexe), atât pentru DSPMB cât </w:t>
      </w:r>
      <w:r>
        <w:rPr>
          <w:rFonts w:ascii="Tahoma" w:hAnsi="Tahoma"/>
          <w:sz w:val="24"/>
        </w:rPr>
        <w:t>ș</w:t>
      </w:r>
      <w:r>
        <w:rPr>
          <w:sz w:val="24"/>
        </w:rPr>
        <w:t>i pentru spitalele din re</w:t>
      </w:r>
      <w:r>
        <w:rPr>
          <w:rFonts w:ascii="Tahoma" w:hAnsi="Tahoma"/>
          <w:sz w:val="24"/>
        </w:rPr>
        <w:t>ț</w:t>
      </w:r>
      <w:r>
        <w:rPr>
          <w:sz w:val="24"/>
        </w:rPr>
        <w:t>eaua publică</w:t>
      </w:r>
      <w:r>
        <w:rPr>
          <w:spacing w:val="-5"/>
          <w:sz w:val="24"/>
        </w:rPr>
        <w:t> </w:t>
      </w:r>
      <w:r>
        <w:rPr>
          <w:sz w:val="24"/>
        </w:rPr>
        <w:t>locală.</w:t>
      </w:r>
    </w:p>
    <w:p>
      <w:pPr>
        <w:pStyle w:val="ListParagraph"/>
        <w:numPr>
          <w:ilvl w:val="1"/>
          <w:numId w:val="15"/>
        </w:numPr>
        <w:tabs>
          <w:tab w:pos="835" w:val="left" w:leader="none"/>
        </w:tabs>
        <w:spacing w:line="240" w:lineRule="auto" w:before="0" w:after="0"/>
        <w:ind w:left="680" w:right="1131" w:firstLine="0"/>
        <w:jc w:val="both"/>
        <w:rPr>
          <w:sz w:val="24"/>
        </w:rPr>
      </w:pPr>
      <w:r>
        <w:rPr>
          <w:sz w:val="24"/>
        </w:rPr>
        <w:t>au fost întocmite </w:t>
      </w:r>
      <w:r>
        <w:rPr>
          <w:rFonts w:ascii="Tahoma" w:hAnsi="Tahoma"/>
          <w:sz w:val="24"/>
        </w:rPr>
        <w:t>ș</w:t>
      </w:r>
      <w:r>
        <w:rPr>
          <w:sz w:val="24"/>
        </w:rPr>
        <w:t>i transmise, situa</w:t>
      </w:r>
      <w:r>
        <w:rPr>
          <w:rFonts w:ascii="Tahoma" w:hAnsi="Tahoma"/>
          <w:sz w:val="24"/>
        </w:rPr>
        <w:t>ț</w:t>
      </w:r>
      <w:r>
        <w:rPr>
          <w:sz w:val="24"/>
        </w:rPr>
        <w:t>ii solicitate de către diferite direc</w:t>
      </w:r>
      <w:r>
        <w:rPr>
          <w:rFonts w:ascii="Tahoma" w:hAnsi="Tahoma"/>
          <w:sz w:val="24"/>
        </w:rPr>
        <w:t>ț</w:t>
      </w:r>
      <w:r>
        <w:rPr>
          <w:sz w:val="24"/>
        </w:rPr>
        <w:t>ii ale Ministerului Sănătă</w:t>
      </w:r>
      <w:r>
        <w:rPr>
          <w:rFonts w:ascii="Tahoma" w:hAnsi="Tahoma"/>
          <w:sz w:val="24"/>
        </w:rPr>
        <w:t>ț</w:t>
      </w:r>
      <w:r>
        <w:rPr>
          <w:sz w:val="24"/>
        </w:rPr>
        <w:t>ii (Direc</w:t>
      </w:r>
      <w:r>
        <w:rPr>
          <w:rFonts w:ascii="Tahoma" w:hAnsi="Tahoma"/>
          <w:sz w:val="24"/>
        </w:rPr>
        <w:t>ț</w:t>
      </w:r>
      <w:r>
        <w:rPr>
          <w:sz w:val="24"/>
        </w:rPr>
        <w:t>ia Patrimoniu, Direc</w:t>
      </w:r>
      <w:r>
        <w:rPr>
          <w:rFonts w:ascii="Tahoma" w:hAnsi="Tahoma"/>
          <w:sz w:val="24"/>
        </w:rPr>
        <w:t>ț</w:t>
      </w:r>
      <w:r>
        <w:rPr>
          <w:sz w:val="24"/>
        </w:rPr>
        <w:t>ia Generală Economică)</w:t>
      </w:r>
    </w:p>
    <w:p>
      <w:pPr>
        <w:pStyle w:val="ListParagraph"/>
        <w:numPr>
          <w:ilvl w:val="1"/>
          <w:numId w:val="15"/>
        </w:numPr>
        <w:tabs>
          <w:tab w:pos="871" w:val="left" w:leader="none"/>
        </w:tabs>
        <w:spacing w:line="240" w:lineRule="auto" w:before="0" w:after="0"/>
        <w:ind w:left="680" w:right="1132" w:firstLine="0"/>
        <w:jc w:val="both"/>
        <w:rPr>
          <w:sz w:val="24"/>
        </w:rPr>
      </w:pPr>
      <w:r>
        <w:rPr>
          <w:sz w:val="24"/>
        </w:rPr>
        <w:t>pentru achizi</w:t>
      </w:r>
      <w:r>
        <w:rPr>
          <w:rFonts w:ascii="Tahoma" w:hAnsi="Tahoma"/>
          <w:sz w:val="24"/>
        </w:rPr>
        <w:t>ț</w:t>
      </w:r>
      <w:r>
        <w:rPr>
          <w:sz w:val="24"/>
        </w:rPr>
        <w:t>ionărea unui autoturism prin programul RABLA, s-au ob</w:t>
      </w:r>
      <w:r>
        <w:rPr>
          <w:rFonts w:ascii="Tahoma" w:hAnsi="Tahoma"/>
          <w:sz w:val="24"/>
        </w:rPr>
        <w:t>ț</w:t>
      </w:r>
      <w:r>
        <w:rPr>
          <w:sz w:val="24"/>
        </w:rPr>
        <w:t>inut de la institu</w:t>
      </w:r>
      <w:r>
        <w:rPr>
          <w:rFonts w:ascii="Tahoma" w:hAnsi="Tahoma"/>
          <w:sz w:val="24"/>
        </w:rPr>
        <w:t>ț</w:t>
      </w:r>
      <w:r>
        <w:rPr>
          <w:sz w:val="24"/>
        </w:rPr>
        <w:t>iile statului (Administra</w:t>
      </w:r>
      <w:r>
        <w:rPr>
          <w:rFonts w:ascii="Tahoma" w:hAnsi="Tahoma"/>
          <w:sz w:val="24"/>
        </w:rPr>
        <w:t>ț</w:t>
      </w:r>
      <w:r>
        <w:rPr>
          <w:sz w:val="24"/>
        </w:rPr>
        <w:t>ia Fondului pentru Mediu, Direc</w:t>
      </w:r>
      <w:r>
        <w:rPr>
          <w:rFonts w:ascii="Tahoma" w:hAnsi="Tahoma"/>
          <w:sz w:val="24"/>
        </w:rPr>
        <w:t>ț</w:t>
      </w:r>
      <w:r>
        <w:rPr>
          <w:sz w:val="24"/>
        </w:rPr>
        <w:t>ia Venituri Buget Local sector 2, Agen</w:t>
      </w:r>
      <w:r>
        <w:rPr>
          <w:rFonts w:ascii="Tahoma" w:hAnsi="Tahoma"/>
          <w:sz w:val="24"/>
        </w:rPr>
        <w:t>ț</w:t>
      </w:r>
      <w:r>
        <w:rPr>
          <w:sz w:val="24"/>
        </w:rPr>
        <w:t>ia Na</w:t>
      </w:r>
      <w:r>
        <w:rPr>
          <w:rFonts w:ascii="Tahoma" w:hAnsi="Tahoma"/>
          <w:sz w:val="24"/>
        </w:rPr>
        <w:t>ț</w:t>
      </w:r>
      <w:r>
        <w:rPr>
          <w:sz w:val="24"/>
        </w:rPr>
        <w:t>ionala de Administrare Fiscală) implicate in acest program, documentele necesare întocmirii dosarului de acceptare </w:t>
      </w:r>
      <w:r>
        <w:rPr>
          <w:rFonts w:ascii="Tahoma" w:hAnsi="Tahoma"/>
          <w:sz w:val="24"/>
        </w:rPr>
        <w:t>ș</w:t>
      </w:r>
      <w:r>
        <w:rPr>
          <w:sz w:val="24"/>
        </w:rPr>
        <w:t>i înscriere în acest</w:t>
      </w:r>
      <w:r>
        <w:rPr>
          <w:spacing w:val="-6"/>
          <w:sz w:val="24"/>
        </w:rPr>
        <w:t> </w:t>
      </w:r>
      <w:r>
        <w:rPr>
          <w:sz w:val="24"/>
        </w:rPr>
        <w:t>program.</w:t>
      </w:r>
    </w:p>
    <w:p>
      <w:pPr>
        <w:pStyle w:val="ListParagraph"/>
        <w:numPr>
          <w:ilvl w:val="1"/>
          <w:numId w:val="15"/>
        </w:numPr>
        <w:tabs>
          <w:tab w:pos="830" w:val="left" w:leader="none"/>
        </w:tabs>
        <w:spacing w:line="240" w:lineRule="auto" w:before="0" w:after="0"/>
        <w:ind w:left="680" w:right="1136" w:firstLine="0"/>
        <w:jc w:val="both"/>
        <w:rPr>
          <w:sz w:val="24"/>
        </w:rPr>
      </w:pPr>
      <w:r>
        <w:rPr>
          <w:sz w:val="24"/>
        </w:rPr>
        <w:t>au fost întocmite 6 referate de necesitate privind achizi</w:t>
      </w:r>
      <w:r>
        <w:rPr>
          <w:rFonts w:ascii="Tahoma" w:hAnsi="Tahoma"/>
          <w:sz w:val="24"/>
        </w:rPr>
        <w:t>ț</w:t>
      </w:r>
      <w:r>
        <w:rPr>
          <w:sz w:val="24"/>
        </w:rPr>
        <w:t>ia de materiale de birotică </w:t>
      </w:r>
      <w:r>
        <w:rPr>
          <w:rFonts w:ascii="Tahoma" w:hAnsi="Tahoma"/>
          <w:sz w:val="24"/>
        </w:rPr>
        <w:t>ș</w:t>
      </w:r>
      <w:r>
        <w:rPr>
          <w:sz w:val="24"/>
        </w:rPr>
        <w:t>i cura</w:t>
      </w:r>
      <w:r>
        <w:rPr>
          <w:rFonts w:ascii="Tahoma" w:hAnsi="Tahoma"/>
          <w:sz w:val="24"/>
        </w:rPr>
        <w:t>ț</w:t>
      </w:r>
      <w:r>
        <w:rPr>
          <w:sz w:val="24"/>
        </w:rPr>
        <w:t>enie, 12 procese-verbale de predare-primire materiale igienico-sanitare către firma de cura</w:t>
      </w:r>
      <w:r>
        <w:rPr>
          <w:rFonts w:ascii="Tahoma" w:hAnsi="Tahoma"/>
          <w:sz w:val="24"/>
        </w:rPr>
        <w:t>ț</w:t>
      </w:r>
      <w:r>
        <w:rPr>
          <w:sz w:val="24"/>
        </w:rPr>
        <w:t>enie, precum si  10 procese verbale de predare primire materiale către</w:t>
      </w:r>
      <w:r>
        <w:rPr>
          <w:spacing w:val="-5"/>
          <w:sz w:val="24"/>
        </w:rPr>
        <w:t> </w:t>
      </w:r>
      <w:r>
        <w:rPr>
          <w:rFonts w:ascii="Tahoma" w:hAnsi="Tahoma"/>
          <w:sz w:val="24"/>
        </w:rPr>
        <w:t>ș</w:t>
      </w:r>
      <w:r>
        <w:rPr>
          <w:sz w:val="24"/>
        </w:rPr>
        <w:t>oferi.</w:t>
      </w:r>
    </w:p>
    <w:p>
      <w:pPr>
        <w:pStyle w:val="ListParagraph"/>
        <w:numPr>
          <w:ilvl w:val="1"/>
          <w:numId w:val="15"/>
        </w:numPr>
        <w:tabs>
          <w:tab w:pos="820" w:val="left" w:leader="none"/>
        </w:tabs>
        <w:spacing w:line="240" w:lineRule="auto" w:before="1" w:after="0"/>
        <w:ind w:left="819" w:right="0" w:hanging="140"/>
        <w:jc w:val="both"/>
        <w:rPr>
          <w:sz w:val="24"/>
        </w:rPr>
      </w:pPr>
      <w:r>
        <w:rPr>
          <w:sz w:val="24"/>
        </w:rPr>
        <w:t>s-au intocmit 331 bonuri de consum.</w:t>
      </w:r>
    </w:p>
    <w:p>
      <w:pPr>
        <w:pStyle w:val="ListParagraph"/>
        <w:numPr>
          <w:ilvl w:val="1"/>
          <w:numId w:val="15"/>
        </w:numPr>
        <w:tabs>
          <w:tab w:pos="835" w:val="left" w:leader="none"/>
        </w:tabs>
        <w:spacing w:line="240" w:lineRule="auto" w:before="0" w:after="0"/>
        <w:ind w:left="680" w:right="1134" w:firstLine="0"/>
        <w:jc w:val="both"/>
        <w:rPr>
          <w:sz w:val="24"/>
        </w:rPr>
      </w:pPr>
      <w:r>
        <w:rPr>
          <w:sz w:val="24"/>
        </w:rPr>
        <w:t>au fost întocmite 15 procese verbale de transfer bunuri între compartimentele/ birourile/ serviciile DSPMB, func</w:t>
      </w:r>
      <w:r>
        <w:rPr>
          <w:rFonts w:ascii="Tahoma" w:hAnsi="Tahoma"/>
          <w:sz w:val="24"/>
        </w:rPr>
        <w:t>ț</w:t>
      </w:r>
      <w:r>
        <w:rPr>
          <w:sz w:val="24"/>
        </w:rPr>
        <w:t>ie de necesită</w:t>
      </w:r>
      <w:r>
        <w:rPr>
          <w:rFonts w:ascii="Tahoma" w:hAnsi="Tahoma"/>
          <w:sz w:val="24"/>
        </w:rPr>
        <w:t>ț</w:t>
      </w:r>
      <w:r>
        <w:rPr>
          <w:sz w:val="24"/>
        </w:rPr>
        <w:t>i </w:t>
      </w:r>
      <w:r>
        <w:rPr>
          <w:rFonts w:ascii="Tahoma" w:hAnsi="Tahoma"/>
          <w:sz w:val="24"/>
        </w:rPr>
        <w:t>ș</w:t>
      </w:r>
      <w:r>
        <w:rPr>
          <w:sz w:val="24"/>
        </w:rPr>
        <w:t>i</w:t>
      </w:r>
      <w:r>
        <w:rPr>
          <w:spacing w:val="-2"/>
          <w:sz w:val="24"/>
        </w:rPr>
        <w:t> </w:t>
      </w:r>
      <w:r>
        <w:rPr>
          <w:sz w:val="24"/>
        </w:rPr>
        <w:t>disponibilitate.</w:t>
      </w:r>
    </w:p>
    <w:p>
      <w:pPr>
        <w:pStyle w:val="ListParagraph"/>
        <w:numPr>
          <w:ilvl w:val="1"/>
          <w:numId w:val="15"/>
        </w:numPr>
        <w:tabs>
          <w:tab w:pos="820" w:val="left" w:leader="none"/>
        </w:tabs>
        <w:spacing w:line="291" w:lineRule="exact" w:before="0" w:after="0"/>
        <w:ind w:left="819" w:right="0" w:hanging="140"/>
        <w:jc w:val="both"/>
        <w:rPr>
          <w:sz w:val="24"/>
        </w:rPr>
      </w:pPr>
      <w:r>
        <w:rPr>
          <w:sz w:val="24"/>
        </w:rPr>
        <w:t>au fost certificate 360 de facturi de</w:t>
      </w:r>
      <w:r>
        <w:rPr>
          <w:spacing w:val="-4"/>
          <w:sz w:val="24"/>
        </w:rPr>
        <w:t> </w:t>
      </w:r>
      <w:r>
        <w:rPr>
          <w:sz w:val="24"/>
        </w:rPr>
        <w:t>utilită</w:t>
      </w:r>
      <w:r>
        <w:rPr>
          <w:rFonts w:ascii="Tahoma" w:hAnsi="Tahoma"/>
          <w:sz w:val="24"/>
        </w:rPr>
        <w:t>ț</w:t>
      </w:r>
      <w:r>
        <w:rPr>
          <w:sz w:val="24"/>
        </w:rPr>
        <w:t>i</w:t>
      </w:r>
    </w:p>
    <w:p>
      <w:pPr>
        <w:pStyle w:val="BodyText"/>
        <w:spacing w:line="291" w:lineRule="exact"/>
        <w:jc w:val="both"/>
      </w:pPr>
      <w:r>
        <w:rPr>
          <w:rFonts w:ascii="Tahoma" w:hAnsi="Tahoma"/>
        </w:rPr>
        <w:t>- </w:t>
      </w:r>
      <w:r>
        <w:rPr/>
        <w:t>au fost întocmite 360 de rapoarte </w:t>
      </w:r>
      <w:r>
        <w:rPr>
          <w:rFonts w:ascii="Tahoma" w:hAnsi="Tahoma"/>
        </w:rPr>
        <w:t>ș</w:t>
      </w:r>
      <w:r>
        <w:rPr/>
        <w:t>i au fost certificate tot atâtea propuneri </w:t>
      </w:r>
      <w:r>
        <w:rPr>
          <w:rFonts w:ascii="Tahoma" w:hAnsi="Tahoma"/>
        </w:rPr>
        <w:t>ș</w:t>
      </w:r>
      <w:r>
        <w:rPr/>
        <w:t>i ordonan</w:t>
      </w:r>
      <w:r>
        <w:rPr>
          <w:rFonts w:ascii="Tahoma" w:hAnsi="Tahoma"/>
        </w:rPr>
        <w:t>ț</w:t>
      </w:r>
      <w:r>
        <w:rPr/>
        <w:t>ari.</w:t>
      </w:r>
    </w:p>
    <w:p>
      <w:pPr>
        <w:pStyle w:val="ListParagraph"/>
        <w:numPr>
          <w:ilvl w:val="0"/>
          <w:numId w:val="16"/>
        </w:numPr>
        <w:tabs>
          <w:tab w:pos="866" w:val="left" w:leader="none"/>
        </w:tabs>
        <w:spacing w:line="240" w:lineRule="auto" w:before="0" w:after="0"/>
        <w:ind w:left="680" w:right="1133" w:firstLine="0"/>
        <w:jc w:val="both"/>
        <w:rPr>
          <w:sz w:val="24"/>
        </w:rPr>
      </w:pPr>
      <w:r>
        <w:rPr>
          <w:sz w:val="24"/>
        </w:rPr>
        <w:t>lunar au fost calculate utilita</w:t>
      </w:r>
      <w:r>
        <w:rPr>
          <w:rFonts w:ascii="Tahoma" w:hAnsi="Tahoma"/>
          <w:sz w:val="24"/>
        </w:rPr>
        <w:t>ț</w:t>
      </w:r>
      <w:r>
        <w:rPr>
          <w:sz w:val="24"/>
        </w:rPr>
        <w:t>ile pentru cabinetele medicale grupate (107) si pentru un chiri</w:t>
      </w:r>
      <w:r>
        <w:rPr>
          <w:rFonts w:ascii="Tahoma" w:hAnsi="Tahoma"/>
          <w:sz w:val="24"/>
        </w:rPr>
        <w:t>ș</w:t>
      </w:r>
      <w:r>
        <w:rPr>
          <w:sz w:val="24"/>
        </w:rPr>
        <w:t>, ace</w:t>
      </w:r>
      <w:r>
        <w:rPr>
          <w:rFonts w:ascii="Tahoma" w:hAnsi="Tahoma"/>
          <w:sz w:val="24"/>
        </w:rPr>
        <w:t>ș</w:t>
      </w:r>
      <w:r>
        <w:rPr>
          <w:sz w:val="24"/>
        </w:rPr>
        <w:t>tia desfă</w:t>
      </w:r>
      <w:r>
        <w:rPr>
          <w:rFonts w:ascii="Tahoma" w:hAnsi="Tahoma"/>
          <w:sz w:val="24"/>
        </w:rPr>
        <w:t>ș</w:t>
      </w:r>
      <w:r>
        <w:rPr>
          <w:sz w:val="24"/>
        </w:rPr>
        <w:t>urându-</w:t>
      </w:r>
      <w:r>
        <w:rPr>
          <w:rFonts w:ascii="Tahoma" w:hAnsi="Tahoma"/>
          <w:sz w:val="24"/>
        </w:rPr>
        <w:t>ș</w:t>
      </w:r>
      <w:r>
        <w:rPr>
          <w:sz w:val="24"/>
        </w:rPr>
        <w:t>i activitatea în imobilul din Calea Dude</w:t>
      </w:r>
      <w:r>
        <w:rPr>
          <w:rFonts w:ascii="Tahoma" w:hAnsi="Tahoma"/>
          <w:sz w:val="24"/>
        </w:rPr>
        <w:t>ș</w:t>
      </w:r>
      <w:r>
        <w:rPr>
          <w:sz w:val="24"/>
        </w:rPr>
        <w:t>ti 104 -122 (1284 de pozi</w:t>
      </w:r>
      <w:r>
        <w:rPr>
          <w:rFonts w:ascii="Tahoma" w:hAnsi="Tahoma"/>
          <w:sz w:val="24"/>
        </w:rPr>
        <w:t>ț</w:t>
      </w:r>
      <w:r>
        <w:rPr>
          <w:sz w:val="24"/>
        </w:rPr>
        <w:t>ii) </w:t>
      </w:r>
      <w:r>
        <w:rPr>
          <w:rFonts w:ascii="Tahoma" w:hAnsi="Tahoma"/>
          <w:sz w:val="24"/>
        </w:rPr>
        <w:t>ș</w:t>
      </w:r>
      <w:r>
        <w:rPr>
          <w:sz w:val="24"/>
        </w:rPr>
        <w:t>i au fost distribuite 3600 de facturi, reprezentând contravaloarea consumurile aferente spa</w:t>
      </w:r>
      <w:r>
        <w:rPr>
          <w:rFonts w:ascii="Tahoma" w:hAnsi="Tahoma"/>
          <w:sz w:val="24"/>
        </w:rPr>
        <w:t>ț</w:t>
      </w:r>
      <w:r>
        <w:rPr>
          <w:sz w:val="24"/>
        </w:rPr>
        <w:t>iilor</w:t>
      </w:r>
      <w:r>
        <w:rPr>
          <w:spacing w:val="-14"/>
          <w:sz w:val="24"/>
        </w:rPr>
        <w:t> </w:t>
      </w:r>
      <w:r>
        <w:rPr>
          <w:sz w:val="24"/>
        </w:rPr>
        <w:t>de</w:t>
      </w:r>
      <w:r>
        <w:rPr>
          <w:rFonts w:ascii="Tahoma" w:hAnsi="Tahoma"/>
          <w:sz w:val="24"/>
        </w:rPr>
        <w:t>ț</w:t>
      </w:r>
      <w:r>
        <w:rPr>
          <w:sz w:val="24"/>
        </w:rPr>
        <w:t>inute</w:t>
      </w:r>
    </w:p>
    <w:p>
      <w:pPr>
        <w:pStyle w:val="ListParagraph"/>
        <w:numPr>
          <w:ilvl w:val="0"/>
          <w:numId w:val="16"/>
        </w:numPr>
        <w:tabs>
          <w:tab w:pos="854" w:val="left" w:leader="none"/>
        </w:tabs>
        <w:spacing w:line="240" w:lineRule="auto" w:before="0" w:after="0"/>
        <w:ind w:left="680" w:right="1135" w:firstLine="0"/>
        <w:jc w:val="both"/>
        <w:rPr>
          <w:sz w:val="24"/>
        </w:rPr>
      </w:pPr>
      <w:r>
        <w:rPr>
          <w:sz w:val="24"/>
        </w:rPr>
        <w:t>a fost efectuată coresponden</w:t>
      </w:r>
      <w:r>
        <w:rPr>
          <w:rFonts w:ascii="Tahoma" w:hAnsi="Tahoma"/>
          <w:sz w:val="24"/>
        </w:rPr>
        <w:t>ț</w:t>
      </w:r>
      <w:r>
        <w:rPr>
          <w:sz w:val="24"/>
        </w:rPr>
        <w:t>a cu Primăria Municipiului Bucure</w:t>
      </w:r>
      <w:r>
        <w:rPr>
          <w:rFonts w:ascii="Tahoma" w:hAnsi="Tahoma"/>
          <w:sz w:val="24"/>
        </w:rPr>
        <w:t>ș</w:t>
      </w:r>
      <w:r>
        <w:rPr>
          <w:sz w:val="24"/>
        </w:rPr>
        <w:t>ti </w:t>
      </w:r>
      <w:r>
        <w:rPr>
          <w:rFonts w:ascii="Tahoma" w:hAnsi="Tahoma"/>
          <w:sz w:val="24"/>
        </w:rPr>
        <w:t>ș</w:t>
      </w:r>
      <w:r>
        <w:rPr>
          <w:sz w:val="24"/>
        </w:rPr>
        <w:t>i Consiliul Local Sector 3 privind asigurarea fondurilor pentru repara</w:t>
      </w:r>
      <w:r>
        <w:rPr>
          <w:rFonts w:ascii="Tahoma" w:hAnsi="Tahoma"/>
          <w:sz w:val="24"/>
        </w:rPr>
        <w:t>ț</w:t>
      </w:r>
      <w:r>
        <w:rPr>
          <w:sz w:val="24"/>
        </w:rPr>
        <w:t>ii în imobilul din Calea Dudesti 104-122 (6 materiale, răspuns primind numai la 2 dintre</w:t>
      </w:r>
      <w:r>
        <w:rPr>
          <w:spacing w:val="-5"/>
          <w:sz w:val="24"/>
        </w:rPr>
        <w:t> </w:t>
      </w:r>
      <w:r>
        <w:rPr>
          <w:sz w:val="24"/>
        </w:rPr>
        <w:t>ele).</w:t>
      </w:r>
    </w:p>
    <w:p>
      <w:pPr>
        <w:pStyle w:val="ListParagraph"/>
        <w:numPr>
          <w:ilvl w:val="0"/>
          <w:numId w:val="16"/>
        </w:numPr>
        <w:tabs>
          <w:tab w:pos="902" w:val="left" w:leader="none"/>
        </w:tabs>
        <w:spacing w:line="240" w:lineRule="auto" w:before="2" w:after="0"/>
        <w:ind w:left="680" w:right="1132" w:firstLine="0"/>
        <w:jc w:val="both"/>
        <w:rPr>
          <w:sz w:val="24"/>
        </w:rPr>
      </w:pPr>
      <w:r>
        <w:rPr>
          <w:sz w:val="24"/>
        </w:rPr>
        <w:t>s-a participat la întocmirea planurilor de pază, în vederea depunerii acestora </w:t>
      </w:r>
      <w:r>
        <w:rPr>
          <w:rFonts w:ascii="Tahoma" w:hAnsi="Tahoma"/>
          <w:sz w:val="24"/>
        </w:rPr>
        <w:t>ș</w:t>
      </w:r>
      <w:r>
        <w:rPr>
          <w:sz w:val="24"/>
        </w:rPr>
        <w:t>i ob</w:t>
      </w:r>
      <w:r>
        <w:rPr>
          <w:rFonts w:ascii="Tahoma" w:hAnsi="Tahoma"/>
          <w:sz w:val="24"/>
        </w:rPr>
        <w:t>ț</w:t>
      </w:r>
      <w:r>
        <w:rPr>
          <w:sz w:val="24"/>
        </w:rPr>
        <w:t>inerea aprobărilor, la sec</w:t>
      </w:r>
      <w:r>
        <w:rPr>
          <w:rFonts w:ascii="Tahoma" w:hAnsi="Tahoma"/>
          <w:sz w:val="24"/>
        </w:rPr>
        <w:t>ț</w:t>
      </w:r>
      <w:r>
        <w:rPr>
          <w:sz w:val="24"/>
        </w:rPr>
        <w:t>iile de Poli</w:t>
      </w:r>
      <w:r>
        <w:rPr>
          <w:rFonts w:ascii="Tahoma" w:hAnsi="Tahoma"/>
          <w:sz w:val="24"/>
        </w:rPr>
        <w:t>ț</w:t>
      </w:r>
      <w:r>
        <w:rPr>
          <w:sz w:val="24"/>
        </w:rPr>
        <w:t>ie pe raza cărora se află imobilele DSPMB, precum si la întocmirea proiectelor pentru montarea sistemelor de supraveghere video </w:t>
      </w:r>
      <w:r>
        <w:rPr>
          <w:rFonts w:ascii="Tahoma" w:hAnsi="Tahoma"/>
          <w:sz w:val="24"/>
        </w:rPr>
        <w:t>ș</w:t>
      </w:r>
      <w:r>
        <w:rPr>
          <w:sz w:val="24"/>
        </w:rPr>
        <w:t>i antiefrac</w:t>
      </w:r>
      <w:r>
        <w:rPr>
          <w:rFonts w:ascii="Tahoma" w:hAnsi="Tahoma"/>
          <w:sz w:val="24"/>
        </w:rPr>
        <w:t>ț</w:t>
      </w:r>
      <w:r>
        <w:rPr>
          <w:sz w:val="24"/>
        </w:rPr>
        <w:t>ie care au fost inaintate Poli</w:t>
      </w:r>
      <w:r>
        <w:rPr>
          <w:rFonts w:ascii="Tahoma" w:hAnsi="Tahoma"/>
          <w:sz w:val="24"/>
        </w:rPr>
        <w:t>ț</w:t>
      </w:r>
      <w:r>
        <w:rPr>
          <w:sz w:val="24"/>
        </w:rPr>
        <w:t>iei Capitalei spre</w:t>
      </w:r>
      <w:r>
        <w:rPr>
          <w:spacing w:val="-3"/>
          <w:sz w:val="24"/>
        </w:rPr>
        <w:t> </w:t>
      </w:r>
      <w:r>
        <w:rPr>
          <w:sz w:val="24"/>
        </w:rPr>
        <w:t>aprobare.</w:t>
      </w:r>
    </w:p>
    <w:p>
      <w:pPr>
        <w:pStyle w:val="BodyText"/>
        <w:ind w:right="1221"/>
        <w:jc w:val="both"/>
      </w:pPr>
      <w:r>
        <w:rPr/>
        <w:t>-au fost puse în func</w:t>
      </w:r>
      <w:r>
        <w:rPr>
          <w:rFonts w:ascii="Tahoma" w:hAnsi="Tahoma"/>
        </w:rPr>
        <w:t>ț</w:t>
      </w:r>
      <w:r>
        <w:rPr/>
        <w:t>iune sistemele antiefrac</w:t>
      </w:r>
      <w:r>
        <w:rPr>
          <w:rFonts w:ascii="Tahoma" w:hAnsi="Tahoma"/>
        </w:rPr>
        <w:t>ț</w:t>
      </w:r>
      <w:r>
        <w:rPr/>
        <w:t>ie </w:t>
      </w:r>
      <w:r>
        <w:rPr>
          <w:rFonts w:ascii="Tahoma" w:hAnsi="Tahoma"/>
        </w:rPr>
        <w:t>ș</w:t>
      </w:r>
      <w:r>
        <w:rPr/>
        <w:t>i supraveghere video, în sediul din strada Avrig nr. 72-74,.</w:t>
      </w:r>
    </w:p>
    <w:p>
      <w:pPr>
        <w:pStyle w:val="ListParagraph"/>
        <w:numPr>
          <w:ilvl w:val="0"/>
          <w:numId w:val="16"/>
        </w:numPr>
        <w:tabs>
          <w:tab w:pos="820" w:val="left" w:leader="none"/>
        </w:tabs>
        <w:spacing w:line="240" w:lineRule="auto" w:before="0" w:after="0"/>
        <w:ind w:left="680" w:right="1847" w:firstLine="0"/>
        <w:jc w:val="both"/>
        <w:rPr>
          <w:sz w:val="24"/>
        </w:rPr>
      </w:pPr>
      <w:r>
        <w:rPr>
          <w:sz w:val="24"/>
        </w:rPr>
        <w:t>a fost montat un sistem video de supraveghere </w:t>
      </w:r>
      <w:r>
        <w:rPr>
          <w:rFonts w:ascii="Tahoma" w:hAnsi="Tahoma"/>
          <w:sz w:val="24"/>
        </w:rPr>
        <w:t>ș</w:t>
      </w:r>
      <w:r>
        <w:rPr>
          <w:sz w:val="24"/>
        </w:rPr>
        <w:t>i un sistem alarmă in caz de incendiu pentru imobilul din strada Precupetii Vechi nr.1, la solicitarea</w:t>
      </w:r>
      <w:r>
        <w:rPr>
          <w:spacing w:val="-5"/>
          <w:sz w:val="24"/>
        </w:rPr>
        <w:t> </w:t>
      </w:r>
      <w:r>
        <w:rPr>
          <w:sz w:val="24"/>
        </w:rPr>
        <w:t>SRI.</w:t>
      </w:r>
    </w:p>
    <w:p>
      <w:pPr>
        <w:spacing w:after="0" w:line="240" w:lineRule="auto"/>
        <w:jc w:val="both"/>
        <w:rPr>
          <w:sz w:val="24"/>
        </w:rPr>
        <w:sectPr>
          <w:pgSz w:w="11910" w:h="16840"/>
          <w:pgMar w:header="0" w:footer="658" w:top="1340" w:bottom="920" w:left="400" w:right="0"/>
        </w:sectPr>
      </w:pPr>
    </w:p>
    <w:p>
      <w:pPr>
        <w:pStyle w:val="ListParagraph"/>
        <w:numPr>
          <w:ilvl w:val="0"/>
          <w:numId w:val="16"/>
        </w:numPr>
        <w:tabs>
          <w:tab w:pos="880" w:val="left" w:leader="none"/>
        </w:tabs>
        <w:spacing w:line="240" w:lineRule="auto" w:before="81" w:after="0"/>
        <w:ind w:left="680" w:right="1332" w:firstLine="60"/>
        <w:jc w:val="left"/>
        <w:rPr>
          <w:sz w:val="24"/>
        </w:rPr>
      </w:pPr>
      <w:r>
        <w:rPr>
          <w:sz w:val="24"/>
        </w:rPr>
        <w:t>impreună cu firma prestatoare de servicii privind prevenirea </w:t>
      </w:r>
      <w:r>
        <w:rPr>
          <w:rFonts w:ascii="Tahoma" w:hAnsi="Tahoma"/>
          <w:sz w:val="24"/>
        </w:rPr>
        <w:t>ș</w:t>
      </w:r>
      <w:r>
        <w:rPr>
          <w:sz w:val="24"/>
        </w:rPr>
        <w:t>i stingerea incendiilor, au fost organizate instructaje periodice de PSI atât pentru </w:t>
      </w:r>
      <w:r>
        <w:rPr>
          <w:rFonts w:ascii="Tahoma" w:hAnsi="Tahoma"/>
          <w:sz w:val="24"/>
        </w:rPr>
        <w:t>ș</w:t>
      </w:r>
      <w:r>
        <w:rPr>
          <w:sz w:val="24"/>
        </w:rPr>
        <w:t>oferi cât </w:t>
      </w:r>
      <w:r>
        <w:rPr>
          <w:rFonts w:ascii="Tahoma" w:hAnsi="Tahoma"/>
          <w:sz w:val="24"/>
        </w:rPr>
        <w:t>ș</w:t>
      </w:r>
      <w:r>
        <w:rPr>
          <w:sz w:val="24"/>
        </w:rPr>
        <w:t>i pentru personalul TESA </w:t>
      </w:r>
      <w:r>
        <w:rPr>
          <w:rFonts w:ascii="Tahoma" w:hAnsi="Tahoma"/>
          <w:sz w:val="24"/>
        </w:rPr>
        <w:t>ș</w:t>
      </w:r>
      <w:r>
        <w:rPr>
          <w:sz w:val="24"/>
        </w:rPr>
        <w:t>i a fost întocmit planul de interven</w:t>
      </w:r>
      <w:r>
        <w:rPr>
          <w:rFonts w:ascii="Tahoma" w:hAnsi="Tahoma"/>
          <w:sz w:val="24"/>
        </w:rPr>
        <w:t>ț</w:t>
      </w:r>
      <w:r>
        <w:rPr>
          <w:sz w:val="24"/>
        </w:rPr>
        <w:t>ii în caz de incendiu pentru clădirea din strada Reconstruc</w:t>
      </w:r>
      <w:r>
        <w:rPr>
          <w:rFonts w:ascii="Tahoma" w:hAnsi="Tahoma"/>
          <w:sz w:val="24"/>
        </w:rPr>
        <w:t>ț</w:t>
      </w:r>
      <w:r>
        <w:rPr>
          <w:sz w:val="24"/>
        </w:rPr>
        <w:t>iei nr.3, inaintat Inspectoratului Situa</w:t>
      </w:r>
      <w:r>
        <w:rPr>
          <w:rFonts w:ascii="Tahoma" w:hAnsi="Tahoma"/>
          <w:sz w:val="24"/>
        </w:rPr>
        <w:t>ț</w:t>
      </w:r>
      <w:r>
        <w:rPr>
          <w:sz w:val="24"/>
        </w:rPr>
        <w:t>iilor de Urgen</w:t>
      </w:r>
      <w:r>
        <w:rPr>
          <w:rFonts w:ascii="Tahoma" w:hAnsi="Tahoma"/>
          <w:sz w:val="24"/>
        </w:rPr>
        <w:t>ț</w:t>
      </w:r>
      <w:r>
        <w:rPr>
          <w:sz w:val="24"/>
        </w:rPr>
        <w:t>ă, spre avizare. Au fost refăcute planurile de evacuare în caz de incendiu </w:t>
      </w:r>
      <w:r>
        <w:rPr>
          <w:rFonts w:ascii="Tahoma" w:hAnsi="Tahoma"/>
          <w:sz w:val="24"/>
        </w:rPr>
        <w:t>ș</w:t>
      </w:r>
      <w:r>
        <w:rPr>
          <w:sz w:val="24"/>
        </w:rPr>
        <w:t>i afi</w:t>
      </w:r>
      <w:r>
        <w:rPr>
          <w:rFonts w:ascii="Tahoma" w:hAnsi="Tahoma"/>
          <w:sz w:val="24"/>
        </w:rPr>
        <w:t>ș</w:t>
      </w:r>
      <w:r>
        <w:rPr>
          <w:sz w:val="24"/>
        </w:rPr>
        <w:t>ate în toate clădirile, pe fiecare etaj în</w:t>
      </w:r>
      <w:r>
        <w:rPr>
          <w:spacing w:val="-5"/>
          <w:sz w:val="24"/>
        </w:rPr>
        <w:t> </w:t>
      </w:r>
      <w:r>
        <w:rPr>
          <w:sz w:val="24"/>
        </w:rPr>
        <w:t>parte.</w:t>
      </w:r>
    </w:p>
    <w:p>
      <w:pPr>
        <w:pStyle w:val="ListParagraph"/>
        <w:numPr>
          <w:ilvl w:val="0"/>
          <w:numId w:val="16"/>
        </w:numPr>
        <w:tabs>
          <w:tab w:pos="820" w:val="left" w:leader="none"/>
        </w:tabs>
        <w:spacing w:line="291" w:lineRule="exact" w:before="0" w:after="0"/>
        <w:ind w:left="819" w:right="0" w:hanging="140"/>
        <w:jc w:val="left"/>
        <w:rPr>
          <w:sz w:val="24"/>
        </w:rPr>
      </w:pPr>
      <w:r>
        <w:rPr>
          <w:sz w:val="24"/>
        </w:rPr>
        <w:t>au fost actualizate 10 proceduri formalizate </w:t>
      </w:r>
      <w:r>
        <w:rPr>
          <w:rFonts w:ascii="Tahoma" w:hAnsi="Tahoma"/>
          <w:sz w:val="24"/>
        </w:rPr>
        <w:t>ș</w:t>
      </w:r>
      <w:r>
        <w:rPr>
          <w:sz w:val="24"/>
        </w:rPr>
        <w:t>i a fost întocmită o procedură</w:t>
      </w:r>
      <w:r>
        <w:rPr>
          <w:spacing w:val="-1"/>
          <w:sz w:val="24"/>
        </w:rPr>
        <w:t> </w:t>
      </w:r>
      <w:r>
        <w:rPr>
          <w:sz w:val="24"/>
        </w:rPr>
        <w:t>nouă.</w:t>
      </w:r>
    </w:p>
    <w:p>
      <w:pPr>
        <w:pStyle w:val="ListParagraph"/>
        <w:numPr>
          <w:ilvl w:val="0"/>
          <w:numId w:val="16"/>
        </w:numPr>
        <w:tabs>
          <w:tab w:pos="820" w:val="left" w:leader="none"/>
        </w:tabs>
        <w:spacing w:line="240" w:lineRule="auto" w:before="1" w:after="0"/>
        <w:ind w:left="680" w:right="1598" w:firstLine="0"/>
        <w:jc w:val="left"/>
        <w:rPr>
          <w:sz w:val="24"/>
        </w:rPr>
      </w:pPr>
      <w:r>
        <w:rPr>
          <w:sz w:val="24"/>
        </w:rPr>
        <w:t>o persoană din cadrul serviciului numită prin dispozi</w:t>
      </w:r>
      <w:r>
        <w:rPr>
          <w:rFonts w:ascii="Tahoma" w:hAnsi="Tahoma"/>
          <w:sz w:val="24"/>
        </w:rPr>
        <w:t>ț</w:t>
      </w:r>
      <w:r>
        <w:rPr>
          <w:sz w:val="24"/>
        </w:rPr>
        <w:t>ie, a participat la </w:t>
      </w:r>
      <w:r>
        <w:rPr>
          <w:rFonts w:ascii="Tahoma" w:hAnsi="Tahoma"/>
          <w:sz w:val="24"/>
        </w:rPr>
        <w:t>ș</w:t>
      </w:r>
      <w:r>
        <w:rPr>
          <w:sz w:val="24"/>
        </w:rPr>
        <w:t>edin</w:t>
      </w:r>
      <w:r>
        <w:rPr>
          <w:rFonts w:ascii="Tahoma" w:hAnsi="Tahoma"/>
          <w:sz w:val="24"/>
        </w:rPr>
        <w:t>ț</w:t>
      </w:r>
      <w:r>
        <w:rPr>
          <w:sz w:val="24"/>
        </w:rPr>
        <w:t>ele organizate de consiliile de administra</w:t>
      </w:r>
      <w:r>
        <w:rPr>
          <w:rFonts w:ascii="Tahoma" w:hAnsi="Tahoma"/>
          <w:sz w:val="24"/>
        </w:rPr>
        <w:t>ț</w:t>
      </w:r>
      <w:r>
        <w:rPr>
          <w:sz w:val="24"/>
        </w:rPr>
        <w:t>ie ale unor unita</w:t>
      </w:r>
      <w:r>
        <w:rPr>
          <w:rFonts w:ascii="Tahoma" w:hAnsi="Tahoma"/>
          <w:sz w:val="24"/>
        </w:rPr>
        <w:t>ț</w:t>
      </w:r>
      <w:r>
        <w:rPr>
          <w:sz w:val="24"/>
        </w:rPr>
        <w:t>i sanitare din subordinea Ministerului Sănătă</w:t>
      </w:r>
      <w:r>
        <w:rPr>
          <w:rFonts w:ascii="Tahoma" w:hAnsi="Tahoma"/>
          <w:sz w:val="24"/>
        </w:rPr>
        <w:t>ț</w:t>
      </w:r>
      <w:r>
        <w:rPr>
          <w:sz w:val="24"/>
        </w:rPr>
        <w:t>ii </w:t>
      </w:r>
      <w:r>
        <w:rPr>
          <w:rFonts w:ascii="Tahoma" w:hAnsi="Tahoma"/>
          <w:sz w:val="24"/>
        </w:rPr>
        <w:t>ș</w:t>
      </w:r>
      <w:r>
        <w:rPr>
          <w:sz w:val="24"/>
        </w:rPr>
        <w:t>i din re</w:t>
      </w:r>
      <w:r>
        <w:rPr>
          <w:rFonts w:ascii="Tahoma" w:hAnsi="Tahoma"/>
          <w:sz w:val="24"/>
        </w:rPr>
        <w:t>ț</w:t>
      </w:r>
      <w:r>
        <w:rPr>
          <w:sz w:val="24"/>
        </w:rPr>
        <w:t>eaua publică</w:t>
      </w:r>
      <w:r>
        <w:rPr>
          <w:spacing w:val="-3"/>
          <w:sz w:val="24"/>
        </w:rPr>
        <w:t> </w:t>
      </w:r>
      <w:r>
        <w:rPr>
          <w:sz w:val="24"/>
        </w:rPr>
        <w:t>locală.</w:t>
      </w:r>
    </w:p>
    <w:p>
      <w:pPr>
        <w:pStyle w:val="BodyText"/>
        <w:spacing w:line="275" w:lineRule="exact"/>
      </w:pPr>
      <w:r>
        <w:rPr/>
        <w:t>-a fost efectuat inventarul bunurilor din patrimoniul DSPMB;</w:t>
      </w:r>
    </w:p>
    <w:p>
      <w:pPr>
        <w:pStyle w:val="ListParagraph"/>
        <w:numPr>
          <w:ilvl w:val="0"/>
          <w:numId w:val="16"/>
        </w:numPr>
        <w:tabs>
          <w:tab w:pos="820" w:val="left" w:leader="none"/>
        </w:tabs>
        <w:spacing w:line="240" w:lineRule="auto" w:before="0" w:after="0"/>
        <w:ind w:left="819" w:right="0" w:hanging="140"/>
        <w:jc w:val="left"/>
        <w:rPr>
          <w:sz w:val="24"/>
        </w:rPr>
      </w:pPr>
      <w:r>
        <w:rPr>
          <w:sz w:val="24"/>
        </w:rPr>
        <w:t>au fost întocmite rapoarte privind activitatea acestui serviciu, ori de câte ori au fost</w:t>
      </w:r>
      <w:r>
        <w:rPr>
          <w:spacing w:val="-9"/>
          <w:sz w:val="24"/>
        </w:rPr>
        <w:t> </w:t>
      </w:r>
      <w:r>
        <w:rPr>
          <w:sz w:val="24"/>
        </w:rPr>
        <w:t>solicitate.</w:t>
      </w:r>
    </w:p>
    <w:p>
      <w:pPr>
        <w:pStyle w:val="BodyText"/>
        <w:ind w:left="0"/>
      </w:pPr>
    </w:p>
    <w:p>
      <w:pPr>
        <w:pStyle w:val="Heading1"/>
        <w:ind w:left="680"/>
        <w:rPr>
          <w:u w:val="none"/>
        </w:rPr>
      </w:pPr>
      <w:r>
        <w:rPr>
          <w:u w:val="thick"/>
        </w:rPr>
        <w:t>BIROUL ACHIZITII PUBLICE</w:t>
      </w:r>
    </w:p>
    <w:p>
      <w:pPr>
        <w:pStyle w:val="BodyText"/>
        <w:spacing w:before="3"/>
        <w:ind w:left="0"/>
        <w:rPr>
          <w:b/>
          <w:sz w:val="16"/>
        </w:rPr>
      </w:pPr>
    </w:p>
    <w:p>
      <w:pPr>
        <w:pStyle w:val="BodyText"/>
        <w:spacing w:before="90"/>
        <w:ind w:right="1131"/>
        <w:jc w:val="both"/>
      </w:pPr>
      <w:r>
        <w:rPr>
          <w:b/>
        </w:rPr>
        <w:t>Misiune</w:t>
      </w:r>
      <w:r>
        <w:rPr/>
        <w:t>: asigurarea achizitionarii produselor, serviciilor, lucrărilor, necesare functionării în conditii optime a institutiei prin aplicarea procedurilor de achizitie prevăzute de Legea 98/2016 privind achizitiile publice, si a normelor de aplicare ale acesteia aprobate prin H.G nr.395/2016,</w:t>
      </w:r>
    </w:p>
    <w:p>
      <w:pPr>
        <w:pStyle w:val="BodyText"/>
        <w:ind w:right="1134"/>
        <w:jc w:val="both"/>
      </w:pPr>
      <w:r>
        <w:rPr/>
        <w:t>În vederea întocmirii proiectului Programului Anual de Achizitii Publice, pentru anul 2018, s-a transmis prin reteaua de intranet către toate compartimentele de specialitate, solicitări privind întocmirea de către acestea a necesitătilor specifice activitătilor desfăsurate, astfel încât Strategia de contractare si Propunerea de PAAP pentru anul 2018 să poată fi realizate în termenul prevăzut de lege.</w:t>
      </w:r>
    </w:p>
    <w:p>
      <w:pPr>
        <w:pStyle w:val="BodyText"/>
        <w:ind w:right="1133"/>
        <w:jc w:val="both"/>
      </w:pPr>
      <w:r>
        <w:rPr/>
        <w:t>Achizitiile directe s-au desfăsurat prin sistemul electronic de achizitii publice ( S.E.A.P. ) gestionat de Agentia pentru Agenda Digitală a României, fiind respectat pragul obligatoriu prevăzut de art. 7, alin. 5, din Legea nr. 98/2016, respectiv 132.519 lei fără TVA/CPV/an bugetar.</w:t>
      </w:r>
    </w:p>
    <w:p>
      <w:pPr>
        <w:pStyle w:val="BodyText"/>
        <w:ind w:right="1138" w:firstLine="120"/>
        <w:jc w:val="both"/>
      </w:pPr>
      <w:r>
        <w:rPr>
          <w:b/>
        </w:rPr>
        <w:t>Activitati</w:t>
      </w:r>
      <w:r>
        <w:rPr/>
        <w:t>: au fost atribuite si derulate angajamente legale, ( achizitii publice ) contracte, acte aditionale de prelungire a contractelor de achizitie publică încheiate în exercitiul bugetar al anului 2016, comenzi, acord de parteneriat, după cum urmează:</w:t>
      </w:r>
    </w:p>
    <w:p>
      <w:pPr>
        <w:pStyle w:val="BodyText"/>
        <w:jc w:val="both"/>
      </w:pPr>
      <w:r>
        <w:rPr/>
        <w:t>-contracte de achizitie publică – 39</w:t>
      </w:r>
    </w:p>
    <w:p>
      <w:pPr>
        <w:pStyle w:val="BodyText"/>
        <w:jc w:val="both"/>
      </w:pPr>
      <w:r>
        <w:rPr/>
        <w:t>-comenzi de achizitie publică – 176</w:t>
      </w:r>
    </w:p>
    <w:p>
      <w:pPr>
        <w:pStyle w:val="ListParagraph"/>
        <w:numPr>
          <w:ilvl w:val="0"/>
          <w:numId w:val="16"/>
        </w:numPr>
        <w:tabs>
          <w:tab w:pos="820" w:val="left" w:leader="none"/>
        </w:tabs>
        <w:spacing w:line="240" w:lineRule="auto" w:before="0" w:after="0"/>
        <w:ind w:left="819" w:right="0" w:hanging="140"/>
        <w:jc w:val="both"/>
        <w:rPr>
          <w:sz w:val="24"/>
        </w:rPr>
      </w:pPr>
      <w:r>
        <w:rPr>
          <w:sz w:val="24"/>
        </w:rPr>
        <w:t>acte aditionale de prelungire contracte de prestări ( 2017 )</w:t>
      </w:r>
      <w:r>
        <w:rPr>
          <w:spacing w:val="-3"/>
          <w:sz w:val="24"/>
        </w:rPr>
        <w:t> </w:t>
      </w:r>
      <w:r>
        <w:rPr>
          <w:sz w:val="24"/>
        </w:rPr>
        <w:t>-23</w:t>
      </w:r>
    </w:p>
    <w:p>
      <w:pPr>
        <w:pStyle w:val="ListParagraph"/>
        <w:numPr>
          <w:ilvl w:val="0"/>
          <w:numId w:val="16"/>
        </w:numPr>
        <w:tabs>
          <w:tab w:pos="820" w:val="left" w:leader="none"/>
        </w:tabs>
        <w:spacing w:line="240" w:lineRule="auto" w:before="0" w:after="0"/>
        <w:ind w:left="819" w:right="0" w:hanging="140"/>
        <w:jc w:val="both"/>
        <w:rPr>
          <w:sz w:val="24"/>
        </w:rPr>
      </w:pPr>
      <w:r>
        <w:rPr>
          <w:sz w:val="24"/>
        </w:rPr>
        <w:t>acord de parteneriat( contracte cu firme protejate Legea 448/2006)</w:t>
      </w:r>
      <w:r>
        <w:rPr>
          <w:spacing w:val="3"/>
          <w:sz w:val="24"/>
        </w:rPr>
        <w:t> </w:t>
      </w:r>
      <w:r>
        <w:rPr>
          <w:sz w:val="24"/>
        </w:rPr>
        <w:t>–20</w:t>
      </w:r>
    </w:p>
    <w:p>
      <w:pPr>
        <w:pStyle w:val="BodyText"/>
        <w:jc w:val="both"/>
      </w:pPr>
      <w:r>
        <w:rPr/>
        <w:t>- PAAP realizat la 31.12.2016 din-25.01.2017</w:t>
      </w:r>
    </w:p>
    <w:p>
      <w:pPr>
        <w:pStyle w:val="BodyText"/>
        <w:spacing w:before="1"/>
        <w:jc w:val="both"/>
      </w:pPr>
      <w:r>
        <w:rPr/>
        <w:t>- P.A.A.P. corelat cu bugetul din 13.04.2017- 18.05.2017</w:t>
      </w:r>
    </w:p>
    <w:p>
      <w:pPr>
        <w:pStyle w:val="BodyText"/>
        <w:jc w:val="both"/>
      </w:pPr>
      <w:r>
        <w:rPr/>
        <w:t>- P.A.A.P. corelat cu bugetul din 29.06.2017 –</w:t>
      </w:r>
      <w:r>
        <w:rPr>
          <w:spacing w:val="-4"/>
        </w:rPr>
        <w:t> </w:t>
      </w:r>
      <w:r>
        <w:rPr/>
        <w:t>17.07.2017</w:t>
      </w:r>
    </w:p>
    <w:p>
      <w:pPr>
        <w:pStyle w:val="BodyText"/>
        <w:jc w:val="both"/>
      </w:pPr>
      <w:r>
        <w:rPr>
          <w:b/>
        </w:rPr>
        <w:t>- </w:t>
      </w:r>
      <w:r>
        <w:rPr/>
        <w:t>P.A.A.P. corelat cu bugetul din 13.09.2017 –</w:t>
      </w:r>
      <w:r>
        <w:rPr>
          <w:spacing w:val="-4"/>
        </w:rPr>
        <w:t> </w:t>
      </w:r>
      <w:r>
        <w:rPr/>
        <w:t>16.10.2017</w:t>
      </w:r>
    </w:p>
    <w:p>
      <w:pPr>
        <w:pStyle w:val="BodyText"/>
        <w:jc w:val="both"/>
      </w:pPr>
      <w:r>
        <w:rPr/>
        <w:t>- P.A.A.P. corelat cu bugetul din 09.10.2017 – 02.11.2017</w:t>
      </w:r>
    </w:p>
    <w:p>
      <w:pPr>
        <w:pStyle w:val="ListParagraph"/>
        <w:numPr>
          <w:ilvl w:val="0"/>
          <w:numId w:val="16"/>
        </w:numPr>
        <w:tabs>
          <w:tab w:pos="820" w:val="left" w:leader="none"/>
        </w:tabs>
        <w:spacing w:line="240" w:lineRule="auto" w:before="0" w:after="0"/>
        <w:ind w:left="819" w:right="0" w:hanging="140"/>
        <w:jc w:val="both"/>
        <w:rPr>
          <w:sz w:val="24"/>
        </w:rPr>
      </w:pPr>
      <w:r>
        <w:rPr>
          <w:sz w:val="24"/>
        </w:rPr>
        <w:t>strategie de contractare si propunere p.a.a.p. 2018 din-</w:t>
      </w:r>
      <w:r>
        <w:rPr>
          <w:spacing w:val="-1"/>
          <w:sz w:val="24"/>
        </w:rPr>
        <w:t> </w:t>
      </w:r>
      <w:r>
        <w:rPr>
          <w:sz w:val="24"/>
        </w:rPr>
        <w:t>22.12.2017</w:t>
      </w:r>
    </w:p>
    <w:p>
      <w:pPr>
        <w:pStyle w:val="BodyText"/>
        <w:ind w:right="1136"/>
        <w:jc w:val="both"/>
      </w:pPr>
      <w:r>
        <w:rPr/>
        <w:t>Actiuni si activităti de întocmire si distribuire a documentelor în cadrul derulării programelor nationale de sănătate.</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si acte aditionale de furnizare de vaccinuri –</w:t>
      </w:r>
      <w:r>
        <w:rPr>
          <w:spacing w:val="-2"/>
          <w:sz w:val="24"/>
        </w:rPr>
        <w:t> </w:t>
      </w:r>
      <w:r>
        <w:rPr>
          <w:sz w:val="24"/>
        </w:rPr>
        <w:t>1024</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si acte aditionale de plata ( inoculări ) –</w:t>
      </w:r>
      <w:r>
        <w:rPr>
          <w:spacing w:val="1"/>
          <w:sz w:val="24"/>
        </w:rPr>
        <w:t> </w:t>
      </w:r>
      <w:r>
        <w:rPr>
          <w:sz w:val="24"/>
        </w:rPr>
        <w:t>2236</w:t>
      </w:r>
    </w:p>
    <w:p>
      <w:pPr>
        <w:pStyle w:val="ListParagraph"/>
        <w:numPr>
          <w:ilvl w:val="0"/>
          <w:numId w:val="16"/>
        </w:numPr>
        <w:tabs>
          <w:tab w:pos="835" w:val="left" w:leader="none"/>
        </w:tabs>
        <w:spacing w:line="240" w:lineRule="auto" w:before="0" w:after="0"/>
        <w:ind w:left="680" w:right="1132" w:firstLine="0"/>
        <w:jc w:val="both"/>
        <w:rPr>
          <w:sz w:val="24"/>
        </w:rPr>
      </w:pPr>
      <w:r>
        <w:rPr>
          <w:sz w:val="24"/>
        </w:rPr>
        <w:t>contracte si acte aditionale – pe programe nationale de sănătate (cancer col uterin,endocrine,HIV, lapte praf, TBC, transplant, nosocomiale, sănătate mintală, sănătatea femeii si copilului,fertilizare in vitro,maternităti , spitale) –</w:t>
      </w:r>
      <w:r>
        <w:rPr>
          <w:spacing w:val="-1"/>
          <w:sz w:val="24"/>
        </w:rPr>
        <w:t> </w:t>
      </w:r>
      <w:r>
        <w:rPr>
          <w:sz w:val="24"/>
        </w:rPr>
        <w:t>171</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si acte aditionale pe actiuni prioritare –</w:t>
      </w:r>
      <w:r>
        <w:rPr>
          <w:spacing w:val="-1"/>
          <w:sz w:val="24"/>
        </w:rPr>
        <w:t> </w:t>
      </w:r>
      <w:r>
        <w:rPr>
          <w:sz w:val="24"/>
        </w:rPr>
        <w:t>45</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pe actiuni de sănătate, art. 20.31 –</w:t>
      </w:r>
      <w:r>
        <w:rPr>
          <w:spacing w:val="1"/>
          <w:sz w:val="24"/>
        </w:rPr>
        <w:t> </w:t>
      </w:r>
      <w:r>
        <w:rPr>
          <w:sz w:val="24"/>
        </w:rPr>
        <w:t>55</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pe actiuni de sănătate, art. 20.33 –</w:t>
      </w:r>
      <w:r>
        <w:rPr>
          <w:spacing w:val="1"/>
          <w:sz w:val="24"/>
        </w:rPr>
        <w:t> </w:t>
      </w:r>
      <w:r>
        <w:rPr>
          <w:sz w:val="24"/>
        </w:rPr>
        <w:t>3</w:t>
      </w:r>
    </w:p>
    <w:p>
      <w:pPr>
        <w:pStyle w:val="ListParagraph"/>
        <w:numPr>
          <w:ilvl w:val="0"/>
          <w:numId w:val="16"/>
        </w:numPr>
        <w:tabs>
          <w:tab w:pos="820" w:val="left" w:leader="none"/>
        </w:tabs>
        <w:spacing w:line="240" w:lineRule="auto" w:before="0" w:after="0"/>
        <w:ind w:left="819" w:right="0" w:hanging="140"/>
        <w:jc w:val="both"/>
        <w:rPr>
          <w:sz w:val="24"/>
        </w:rPr>
      </w:pPr>
      <w:r>
        <w:rPr>
          <w:sz w:val="24"/>
        </w:rPr>
        <w:t>contracte de analize microbiologice si fizico-chimice –</w:t>
      </w:r>
      <w:r>
        <w:rPr>
          <w:spacing w:val="-3"/>
          <w:sz w:val="24"/>
        </w:rPr>
        <w:t> </w:t>
      </w:r>
      <w:r>
        <w:rPr>
          <w:sz w:val="24"/>
        </w:rPr>
        <w:t>88</w:t>
      </w:r>
    </w:p>
    <w:p>
      <w:pPr>
        <w:pStyle w:val="ListParagraph"/>
        <w:numPr>
          <w:ilvl w:val="0"/>
          <w:numId w:val="16"/>
        </w:numPr>
        <w:tabs>
          <w:tab w:pos="820" w:val="left" w:leader="none"/>
        </w:tabs>
        <w:spacing w:line="240" w:lineRule="auto" w:before="0" w:after="0"/>
        <w:ind w:left="819" w:right="0" w:hanging="140"/>
        <w:jc w:val="both"/>
        <w:rPr>
          <w:sz w:val="24"/>
        </w:rPr>
      </w:pPr>
      <w:r>
        <w:rPr>
          <w:sz w:val="24"/>
        </w:rPr>
        <w:t>acte aditionale la contractele de comodat echipam. ,,it’’-</w:t>
      </w:r>
      <w:r>
        <w:rPr>
          <w:spacing w:val="-2"/>
          <w:sz w:val="24"/>
        </w:rPr>
        <w:t> </w:t>
      </w:r>
      <w:r>
        <w:rPr>
          <w:sz w:val="24"/>
        </w:rPr>
        <w:t>786</w:t>
      </w:r>
    </w:p>
    <w:p>
      <w:pPr>
        <w:spacing w:after="0" w:line="240" w:lineRule="auto"/>
        <w:jc w:val="both"/>
        <w:rPr>
          <w:sz w:val="24"/>
        </w:rPr>
        <w:sectPr>
          <w:pgSz w:w="11910" w:h="16840"/>
          <w:pgMar w:header="0" w:footer="658" w:top="1340" w:bottom="920" w:left="400" w:right="0"/>
        </w:sectPr>
      </w:pPr>
    </w:p>
    <w:p>
      <w:pPr>
        <w:pStyle w:val="BodyText"/>
        <w:spacing w:before="60"/>
        <w:ind w:right="1133" w:firstLine="300"/>
        <w:jc w:val="both"/>
      </w:pPr>
      <w:r>
        <w:rPr/>
        <w:t>Analiza si monitorizarea datelor centralizatoare referitoare la facturile emise de către titularii contractelor de plată ( inoculări ) în vederea acordării vizei ,, Bun de plata ‘’; vaccinare imunizare copii si vaccinare antigripală </w:t>
      </w:r>
      <w:r>
        <w:rPr>
          <w:b/>
        </w:rPr>
        <w:t>:</w:t>
      </w:r>
      <w:r>
        <w:rPr/>
        <w:t>facturi – aferente ordinelor de plată, vaccinare imunizare copii si antigripal – 118</w:t>
      </w:r>
    </w:p>
    <w:p>
      <w:pPr>
        <w:pStyle w:val="BodyText"/>
        <w:spacing w:before="1"/>
        <w:ind w:right="1132"/>
        <w:jc w:val="both"/>
      </w:pPr>
      <w:r>
        <w:rPr/>
        <w:t>Derularea activitatii lunare de monitorizare a bugetelor de venituri si cheltuieli la nivelul a 9 unităti sanitare de urgentă si 14 institute de pe raza Municipiului Bucuresti, pe profilul formularului F3, care include date privind stadiul executiei bugetului de venituri si cheltuieli la sfârsitul fiecărei luni, pentru bunuri, servicii si cheltuieli de capital: monitorizare formular f3 – bunuri, servicii, cheltuieli de capital art. bug. 20, art. bug. 70 – total 276</w:t>
      </w:r>
      <w:r>
        <w:rPr>
          <w:spacing w:val="1"/>
        </w:rPr>
        <w:t> </w:t>
      </w:r>
      <w:r>
        <w:rPr/>
        <w:t>documente.</w:t>
      </w:r>
    </w:p>
    <w:p>
      <w:pPr>
        <w:pStyle w:val="BodyText"/>
        <w:ind w:left="740"/>
        <w:jc w:val="both"/>
      </w:pPr>
      <w:r>
        <w:rPr/>
        <w:t>Analiza si întocmirea proiectului de buget pe articole bugetare si surse de finantare 2018</w:t>
      </w:r>
    </w:p>
    <w:p>
      <w:pPr>
        <w:pStyle w:val="ListParagraph"/>
        <w:numPr>
          <w:ilvl w:val="0"/>
          <w:numId w:val="16"/>
        </w:numPr>
        <w:tabs>
          <w:tab w:pos="820" w:val="left" w:leader="none"/>
        </w:tabs>
        <w:spacing w:line="240" w:lineRule="auto" w:before="0" w:after="0"/>
        <w:ind w:left="819" w:right="0" w:hanging="140"/>
        <w:jc w:val="both"/>
        <w:rPr>
          <w:sz w:val="24"/>
        </w:rPr>
      </w:pPr>
      <w:r>
        <w:rPr>
          <w:sz w:val="24"/>
        </w:rPr>
        <w:t>formular f02 buget de stat – bunuri si servicii –</w:t>
      </w:r>
      <w:r>
        <w:rPr>
          <w:spacing w:val="3"/>
          <w:sz w:val="24"/>
        </w:rPr>
        <w:t> </w:t>
      </w:r>
      <w:r>
        <w:rPr>
          <w:sz w:val="24"/>
        </w:rPr>
        <w:t>1</w:t>
      </w:r>
    </w:p>
    <w:p>
      <w:pPr>
        <w:pStyle w:val="ListParagraph"/>
        <w:numPr>
          <w:ilvl w:val="0"/>
          <w:numId w:val="16"/>
        </w:numPr>
        <w:tabs>
          <w:tab w:pos="820" w:val="left" w:leader="none"/>
        </w:tabs>
        <w:spacing w:line="240" w:lineRule="auto" w:before="0" w:after="0"/>
        <w:ind w:left="819" w:right="0" w:hanging="140"/>
        <w:jc w:val="both"/>
        <w:rPr>
          <w:sz w:val="24"/>
        </w:rPr>
      </w:pPr>
      <w:r>
        <w:rPr>
          <w:sz w:val="24"/>
        </w:rPr>
        <w:t>formular f13 venituri proprii – bunuri si servicii –</w:t>
      </w:r>
      <w:r>
        <w:rPr>
          <w:spacing w:val="4"/>
          <w:sz w:val="24"/>
        </w:rPr>
        <w:t> </w:t>
      </w:r>
      <w:r>
        <w:rPr>
          <w:sz w:val="24"/>
        </w:rPr>
        <w:t>1</w:t>
      </w:r>
    </w:p>
    <w:p>
      <w:pPr>
        <w:pStyle w:val="ListParagraph"/>
        <w:numPr>
          <w:ilvl w:val="0"/>
          <w:numId w:val="16"/>
        </w:numPr>
        <w:tabs>
          <w:tab w:pos="820" w:val="left" w:leader="none"/>
        </w:tabs>
        <w:spacing w:line="240" w:lineRule="auto" w:before="0" w:after="0"/>
        <w:ind w:left="819" w:right="0" w:hanging="140"/>
        <w:jc w:val="both"/>
        <w:rPr>
          <w:sz w:val="24"/>
        </w:rPr>
      </w:pPr>
      <w:r>
        <w:rPr>
          <w:sz w:val="24"/>
        </w:rPr>
        <w:t>notă de fundamentare privind proiectul de buget 2018 –</w:t>
      </w:r>
      <w:r>
        <w:rPr>
          <w:spacing w:val="-1"/>
          <w:sz w:val="24"/>
        </w:rPr>
        <w:t> </w:t>
      </w:r>
      <w:r>
        <w:rPr>
          <w:sz w:val="24"/>
        </w:rPr>
        <w:t>1</w:t>
      </w:r>
    </w:p>
    <w:p>
      <w:pPr>
        <w:pStyle w:val="BodyText"/>
        <w:spacing w:before="1"/>
        <w:ind w:right="1131" w:firstLine="182"/>
        <w:jc w:val="both"/>
      </w:pPr>
      <w:r>
        <w:rPr/>
        <w:t>Întocmirea, difuzarea si supunerea spre aprobare a procedurilor formalizate aferente activitătii: documente specifice biroului achizitii publice întocmite în cadrul sistemului de control intern managerial - 8</w:t>
      </w:r>
    </w:p>
    <w:p>
      <w:pPr>
        <w:pStyle w:val="BodyText"/>
        <w:spacing w:before="6"/>
        <w:ind w:left="0"/>
        <w:rPr>
          <w:sz w:val="27"/>
        </w:rPr>
      </w:pPr>
    </w:p>
    <w:p>
      <w:pPr>
        <w:pStyle w:val="Heading1"/>
        <w:ind w:left="680"/>
        <w:jc w:val="both"/>
        <w:rPr>
          <w:u w:val="none"/>
        </w:rPr>
      </w:pPr>
      <w:r>
        <w:rPr>
          <w:u w:val="thick"/>
        </w:rPr>
        <w:t>SERVICIUL ASISTENTA MEDICALA SI PROGRAME</w:t>
      </w:r>
    </w:p>
    <w:p>
      <w:pPr>
        <w:pStyle w:val="BodyText"/>
        <w:spacing w:before="2"/>
        <w:ind w:left="0"/>
        <w:rPr>
          <w:b/>
          <w:sz w:val="16"/>
        </w:rPr>
      </w:pPr>
    </w:p>
    <w:p>
      <w:pPr>
        <w:spacing w:before="90"/>
        <w:ind w:left="680" w:right="0" w:firstLine="0"/>
        <w:jc w:val="left"/>
        <w:rPr>
          <w:b/>
          <w:sz w:val="24"/>
        </w:rPr>
      </w:pPr>
      <w:r>
        <w:rPr>
          <w:b/>
          <w:sz w:val="24"/>
        </w:rPr>
        <w:t>Activitati:</w:t>
      </w:r>
    </w:p>
    <w:p>
      <w:pPr>
        <w:pStyle w:val="ListParagraph"/>
        <w:numPr>
          <w:ilvl w:val="0"/>
          <w:numId w:val="17"/>
        </w:numPr>
        <w:tabs>
          <w:tab w:pos="939" w:val="left" w:leader="none"/>
        </w:tabs>
        <w:spacing w:line="240" w:lineRule="auto" w:before="0" w:after="0"/>
        <w:ind w:left="680" w:right="1082" w:firstLine="0"/>
        <w:jc w:val="both"/>
        <w:rPr>
          <w:sz w:val="24"/>
        </w:rPr>
      </w:pPr>
      <w:r>
        <w:rPr>
          <w:sz w:val="24"/>
        </w:rPr>
        <w:t>Colaborarea cu Ministerul Sănătăţii, Inspectoratul de Poliţie Inspectoratul Şcolar al Municipiului Bucureşti, Instituţia Prefectului, I.S.U. - 214 lucrări pentru care s-au întocmit adrese de informare, solicitare de date care au fost centralizate si s-au formulat</w:t>
      </w:r>
      <w:r>
        <w:rPr>
          <w:spacing w:val="55"/>
          <w:sz w:val="24"/>
        </w:rPr>
        <w:t> </w:t>
      </w:r>
      <w:r>
        <w:rPr>
          <w:sz w:val="24"/>
        </w:rPr>
        <w:t>răspunsuri.</w:t>
      </w:r>
    </w:p>
    <w:p>
      <w:pPr>
        <w:pStyle w:val="ListParagraph"/>
        <w:numPr>
          <w:ilvl w:val="0"/>
          <w:numId w:val="17"/>
        </w:numPr>
        <w:tabs>
          <w:tab w:pos="920" w:val="left" w:leader="none"/>
        </w:tabs>
        <w:spacing w:line="240" w:lineRule="auto" w:before="0" w:after="0"/>
        <w:ind w:left="920" w:right="0" w:hanging="240"/>
        <w:jc w:val="both"/>
        <w:rPr>
          <w:sz w:val="24"/>
        </w:rPr>
      </w:pPr>
      <w:r>
        <w:rPr>
          <w:sz w:val="24"/>
        </w:rPr>
        <w:t>Colaborarea cu instanţele judecătoreşti: 444 adrese</w:t>
      </w:r>
    </w:p>
    <w:p>
      <w:pPr>
        <w:pStyle w:val="BodyText"/>
        <w:ind w:right="1086" w:firstLine="180"/>
        <w:jc w:val="both"/>
      </w:pPr>
      <w:r>
        <w:rPr/>
        <w:t>S-a colaborat cu instituţiile abilitate pentru punerea în executare  a  hotarârilor  judecatoreşti privind măsurile de siguranţă cu caracter medical prevazute de art 109, art. 110 Cod Penal, Serviciul Probaţiune, Ordine de resticţie şi a prevederilor Codului familiei privind punerea sub interdicţie judecătorească şi curatelă după cum</w:t>
      </w:r>
      <w:r>
        <w:rPr>
          <w:spacing w:val="-3"/>
        </w:rPr>
        <w:t> </w:t>
      </w:r>
      <w:r>
        <w:rPr/>
        <w:t>urmează:</w:t>
      </w:r>
    </w:p>
    <w:p>
      <w:pPr>
        <w:pStyle w:val="ListParagraph"/>
        <w:numPr>
          <w:ilvl w:val="0"/>
          <w:numId w:val="16"/>
        </w:numPr>
        <w:tabs>
          <w:tab w:pos="830" w:val="left" w:leader="none"/>
        </w:tabs>
        <w:spacing w:line="240" w:lineRule="auto" w:before="1" w:after="0"/>
        <w:ind w:left="680" w:right="1078" w:firstLine="0"/>
        <w:jc w:val="both"/>
        <w:rPr>
          <w:sz w:val="24"/>
        </w:rPr>
      </w:pPr>
      <w:r>
        <w:rPr>
          <w:sz w:val="24"/>
        </w:rPr>
        <w:t>repartizarea a 12 persoane în baza sentinţelor civile pentru care s-a dispus obligaţia de a se supune evaluării psihoterapeutice şi să urmeze tratamentul ce va fi recomandat, către medicii din cadrul  celor trei centre de sănătate mintală la nivelul municipiului Bucureşti în vederea efectuării tratamentului de specialitate pentru care s-au întocmit adrese de înştiinţare către pacienţi, Centre de Sănătate Mintală şi instanţe cu privire la aducerea la îndeplinire a celor</w:t>
      </w:r>
      <w:r>
        <w:rPr>
          <w:spacing w:val="-9"/>
          <w:sz w:val="24"/>
        </w:rPr>
        <w:t> </w:t>
      </w:r>
      <w:r>
        <w:rPr>
          <w:sz w:val="24"/>
        </w:rPr>
        <w:t>dispuse;</w:t>
      </w:r>
    </w:p>
    <w:p>
      <w:pPr>
        <w:pStyle w:val="ListParagraph"/>
        <w:numPr>
          <w:ilvl w:val="0"/>
          <w:numId w:val="16"/>
        </w:numPr>
        <w:tabs>
          <w:tab w:pos="825" w:val="left" w:leader="none"/>
        </w:tabs>
        <w:spacing w:line="240" w:lineRule="auto" w:before="0" w:after="0"/>
        <w:ind w:left="680" w:right="1083" w:firstLine="0"/>
        <w:jc w:val="both"/>
        <w:rPr>
          <w:sz w:val="24"/>
        </w:rPr>
      </w:pPr>
      <w:r>
        <w:rPr>
          <w:sz w:val="24"/>
        </w:rPr>
        <w:t>repartizarea a 98 de persoane în baza art 109 Cod Penal către medicii din cadrul celor trei centre de sănătate mintală la nivelul municipiului Bucureşti în vederea efectuării tratamentului de specialitate pentru care s-au întocmit adrese de înştiinţare către pacienţi, Centre de Sănătate Mintală şi instanţe cu privire la aducerea la îndeplinire a celor</w:t>
      </w:r>
      <w:r>
        <w:rPr>
          <w:spacing w:val="-7"/>
          <w:sz w:val="24"/>
        </w:rPr>
        <w:t> </w:t>
      </w:r>
      <w:r>
        <w:rPr>
          <w:sz w:val="24"/>
        </w:rPr>
        <w:t>dispuse;</w:t>
      </w:r>
    </w:p>
    <w:p>
      <w:pPr>
        <w:pStyle w:val="ListParagraph"/>
        <w:numPr>
          <w:ilvl w:val="0"/>
          <w:numId w:val="16"/>
        </w:numPr>
        <w:tabs>
          <w:tab w:pos="832" w:val="left" w:leader="none"/>
        </w:tabs>
        <w:spacing w:line="240" w:lineRule="auto" w:before="0" w:after="0"/>
        <w:ind w:left="680" w:right="1081" w:firstLine="0"/>
        <w:jc w:val="both"/>
        <w:rPr>
          <w:sz w:val="24"/>
        </w:rPr>
      </w:pPr>
      <w:r>
        <w:rPr>
          <w:sz w:val="24"/>
        </w:rPr>
        <w:t>repartizarea a 38 persoane pentru care s-a dispus masura de siguranţă a internării medicale în baza art. 110 Cod Penal, către unitatea sanitară de specialitate, pentru care s-au întocmit adrese de înştiintare către pacienţi, organele de poliţie, SABIF şi instanţă cu privire la aducerea la îndeplinire a celor</w:t>
      </w:r>
      <w:r>
        <w:rPr>
          <w:spacing w:val="-1"/>
          <w:sz w:val="24"/>
        </w:rPr>
        <w:t> </w:t>
      </w:r>
      <w:r>
        <w:rPr>
          <w:sz w:val="24"/>
        </w:rPr>
        <w:t>dispuse;</w:t>
      </w:r>
    </w:p>
    <w:p>
      <w:pPr>
        <w:pStyle w:val="ListParagraph"/>
        <w:numPr>
          <w:ilvl w:val="0"/>
          <w:numId w:val="16"/>
        </w:numPr>
        <w:tabs>
          <w:tab w:pos="820" w:val="left" w:leader="none"/>
        </w:tabs>
        <w:spacing w:line="240" w:lineRule="auto" w:before="1" w:after="0"/>
        <w:ind w:left="819" w:right="0" w:hanging="140"/>
        <w:jc w:val="both"/>
        <w:rPr>
          <w:color w:val="800080"/>
          <w:sz w:val="24"/>
        </w:rPr>
      </w:pPr>
      <w:r>
        <w:rPr>
          <w:sz w:val="24"/>
        </w:rPr>
        <w:t>467 persoane puse sub interdicţie înregistrate în evidenţă la nivelul</w:t>
      </w:r>
      <w:r>
        <w:rPr>
          <w:spacing w:val="-4"/>
          <w:sz w:val="24"/>
        </w:rPr>
        <w:t> </w:t>
      </w:r>
      <w:r>
        <w:rPr>
          <w:sz w:val="24"/>
        </w:rPr>
        <w:t>DSP-MB;</w:t>
      </w:r>
    </w:p>
    <w:p>
      <w:pPr>
        <w:pStyle w:val="ListParagraph"/>
        <w:numPr>
          <w:ilvl w:val="0"/>
          <w:numId w:val="17"/>
        </w:numPr>
        <w:tabs>
          <w:tab w:pos="1127" w:val="left" w:leader="none"/>
        </w:tabs>
        <w:spacing w:line="240" w:lineRule="auto" w:before="0" w:after="0"/>
        <w:ind w:left="680" w:right="1081" w:firstLine="180"/>
        <w:jc w:val="both"/>
        <w:rPr>
          <w:sz w:val="24"/>
        </w:rPr>
      </w:pPr>
      <w:r>
        <w:rPr>
          <w:sz w:val="24"/>
        </w:rPr>
        <w:t>Colaborarea cu Administraţia Naţională a Penitenciarelor conform prevederilor HG 157/2016, art. 116 alin</w:t>
      </w:r>
      <w:r>
        <w:rPr>
          <w:spacing w:val="-1"/>
          <w:sz w:val="24"/>
        </w:rPr>
        <w:t> </w:t>
      </w:r>
      <w:r>
        <w:rPr>
          <w:sz w:val="24"/>
        </w:rPr>
        <w:t>8:</w:t>
      </w:r>
    </w:p>
    <w:p>
      <w:pPr>
        <w:pStyle w:val="ListParagraph"/>
        <w:numPr>
          <w:ilvl w:val="0"/>
          <w:numId w:val="16"/>
        </w:numPr>
        <w:tabs>
          <w:tab w:pos="911" w:val="left" w:leader="none"/>
        </w:tabs>
        <w:spacing w:line="240" w:lineRule="auto" w:before="0" w:after="0"/>
        <w:ind w:left="680" w:right="1085" w:firstLine="0"/>
        <w:jc w:val="both"/>
        <w:rPr>
          <w:sz w:val="24"/>
        </w:rPr>
      </w:pPr>
      <w:r>
        <w:rPr>
          <w:sz w:val="24"/>
        </w:rPr>
        <w:t>30 persoane liberate din Penitenciarul Bucureşti Rahova, Penitenciarul Bucureşti Jilava şi Penitenciarul Tulcea repartizate către medicii de specialitate în baza sentinţelor penale emise de instanţele judecatoreşti obligate să efectueze tratament medical până la</w:t>
      </w:r>
      <w:r>
        <w:rPr>
          <w:spacing w:val="-9"/>
          <w:sz w:val="24"/>
        </w:rPr>
        <w:t> </w:t>
      </w:r>
      <w:r>
        <w:rPr>
          <w:sz w:val="24"/>
        </w:rPr>
        <w:t>însănătoşire.</w:t>
      </w:r>
    </w:p>
    <w:p>
      <w:pPr>
        <w:pStyle w:val="ListParagraph"/>
        <w:numPr>
          <w:ilvl w:val="0"/>
          <w:numId w:val="17"/>
        </w:numPr>
        <w:tabs>
          <w:tab w:pos="920" w:val="left" w:leader="none"/>
        </w:tabs>
        <w:spacing w:line="240" w:lineRule="auto" w:before="0" w:after="0"/>
        <w:ind w:left="920" w:right="0" w:hanging="240"/>
        <w:jc w:val="both"/>
        <w:rPr>
          <w:sz w:val="24"/>
        </w:rPr>
      </w:pPr>
      <w:r>
        <w:rPr>
          <w:sz w:val="24"/>
        </w:rPr>
        <w:t>Colaborarea cu Centrul Naţional de Sănătate Mintală şi Luptă Antidrog -</w:t>
      </w:r>
      <w:r>
        <w:rPr>
          <w:spacing w:val="-2"/>
          <w:sz w:val="24"/>
        </w:rPr>
        <w:t> </w:t>
      </w:r>
      <w:r>
        <w:rPr>
          <w:sz w:val="24"/>
        </w:rPr>
        <w:t>M.S.</w:t>
      </w:r>
    </w:p>
    <w:p>
      <w:pPr>
        <w:pStyle w:val="ListParagraph"/>
        <w:numPr>
          <w:ilvl w:val="0"/>
          <w:numId w:val="18"/>
        </w:numPr>
        <w:tabs>
          <w:tab w:pos="945" w:val="left" w:leader="none"/>
        </w:tabs>
        <w:spacing w:line="240" w:lineRule="auto" w:before="0" w:after="0"/>
        <w:ind w:left="680" w:right="1080" w:firstLine="0"/>
        <w:jc w:val="both"/>
        <w:rPr>
          <w:sz w:val="24"/>
        </w:rPr>
      </w:pPr>
      <w:r>
        <w:rPr>
          <w:sz w:val="24"/>
        </w:rPr>
        <w:t>raportare statistică a numărului de cazuri ce cad sub incidenţa măsurilor de siguranţă cu caracter medical prevazute de codul penal</w:t>
      </w:r>
      <w:r>
        <w:rPr>
          <w:spacing w:val="-3"/>
          <w:sz w:val="24"/>
        </w:rPr>
        <w:t> </w:t>
      </w:r>
      <w:r>
        <w:rPr>
          <w:sz w:val="24"/>
        </w:rPr>
        <w:t>.</w:t>
      </w:r>
    </w:p>
    <w:p>
      <w:pPr>
        <w:spacing w:after="0" w:line="240" w:lineRule="auto"/>
        <w:jc w:val="both"/>
        <w:rPr>
          <w:sz w:val="24"/>
        </w:rPr>
        <w:sectPr>
          <w:pgSz w:w="11910" w:h="16840"/>
          <w:pgMar w:header="0" w:footer="658" w:top="1360" w:bottom="920" w:left="400" w:right="0"/>
        </w:sectPr>
      </w:pPr>
    </w:p>
    <w:p>
      <w:pPr>
        <w:pStyle w:val="ListParagraph"/>
        <w:numPr>
          <w:ilvl w:val="0"/>
          <w:numId w:val="17"/>
        </w:numPr>
        <w:tabs>
          <w:tab w:pos="997" w:val="left" w:leader="none"/>
        </w:tabs>
        <w:spacing w:line="240" w:lineRule="auto" w:before="60" w:after="0"/>
        <w:ind w:left="680" w:right="1138" w:firstLine="0"/>
        <w:jc w:val="both"/>
        <w:rPr>
          <w:sz w:val="24"/>
        </w:rPr>
      </w:pPr>
      <w:r>
        <w:rPr>
          <w:sz w:val="24"/>
        </w:rPr>
        <w:t>Colaborarea cu Casa de Avocatură care reprezintă DSPMB - Predarea corespondenţei cu instanţele şi a documentelor cu caracter juridic către Casa de Avocatură; Recepţia serviciilor  juridice de asistenţă şi/sau reprezentare prestate de Casa de Avocatură care reprezinta</w:t>
      </w:r>
      <w:r>
        <w:rPr>
          <w:spacing w:val="-20"/>
          <w:sz w:val="24"/>
        </w:rPr>
        <w:t> </w:t>
      </w:r>
      <w:r>
        <w:rPr>
          <w:sz w:val="24"/>
        </w:rPr>
        <w:t>DSPMB</w:t>
      </w:r>
    </w:p>
    <w:p>
      <w:pPr>
        <w:pStyle w:val="ListParagraph"/>
        <w:numPr>
          <w:ilvl w:val="1"/>
          <w:numId w:val="18"/>
        </w:numPr>
        <w:tabs>
          <w:tab w:pos="974" w:val="left" w:leader="none"/>
        </w:tabs>
        <w:spacing w:line="240" w:lineRule="auto" w:before="1" w:after="0"/>
        <w:ind w:left="680" w:right="1143" w:firstLine="120"/>
        <w:jc w:val="both"/>
        <w:rPr>
          <w:sz w:val="24"/>
        </w:rPr>
      </w:pPr>
      <w:r>
        <w:rPr>
          <w:sz w:val="24"/>
        </w:rPr>
        <w:t>predarea documentelor în copie, numerotate şi cu stampila conform cu originalul. Întocmirea proceselor verbale în vederea predării; -</w:t>
      </w:r>
      <w:r>
        <w:rPr>
          <w:spacing w:val="-1"/>
          <w:sz w:val="24"/>
        </w:rPr>
        <w:t> </w:t>
      </w:r>
      <w:r>
        <w:rPr>
          <w:sz w:val="24"/>
        </w:rPr>
        <w:t>săptămânal</w:t>
      </w:r>
    </w:p>
    <w:p>
      <w:pPr>
        <w:pStyle w:val="ListParagraph"/>
        <w:numPr>
          <w:ilvl w:val="1"/>
          <w:numId w:val="18"/>
        </w:numPr>
        <w:tabs>
          <w:tab w:pos="952" w:val="left" w:leader="none"/>
        </w:tabs>
        <w:spacing w:line="240" w:lineRule="auto" w:before="0" w:after="0"/>
        <w:ind w:left="680" w:right="1139" w:firstLine="120"/>
        <w:jc w:val="both"/>
        <w:rPr>
          <w:sz w:val="24"/>
        </w:rPr>
      </w:pPr>
      <w:r>
        <w:rPr>
          <w:sz w:val="24"/>
        </w:rPr>
        <w:t>intocmire proces verbal de recepţie a lucrărilor în baza facturii fiscale, a contactului de achiziţie publică şi a raportului de activitate lunar întocmit de Casa de Avocatură –</w:t>
      </w:r>
      <w:r>
        <w:rPr>
          <w:spacing w:val="-2"/>
          <w:sz w:val="24"/>
        </w:rPr>
        <w:t> </w:t>
      </w:r>
      <w:r>
        <w:rPr>
          <w:sz w:val="24"/>
        </w:rPr>
        <w:t>1/luna</w:t>
      </w:r>
    </w:p>
    <w:p>
      <w:pPr>
        <w:pStyle w:val="ListParagraph"/>
        <w:numPr>
          <w:ilvl w:val="0"/>
          <w:numId w:val="17"/>
        </w:numPr>
        <w:tabs>
          <w:tab w:pos="927" w:val="left" w:leader="none"/>
        </w:tabs>
        <w:spacing w:line="240" w:lineRule="auto" w:before="0" w:after="0"/>
        <w:ind w:left="680" w:right="1136" w:firstLine="0"/>
        <w:jc w:val="left"/>
        <w:rPr>
          <w:sz w:val="24"/>
        </w:rPr>
      </w:pPr>
      <w:r>
        <w:rPr>
          <w:sz w:val="24"/>
        </w:rPr>
        <w:t>S-a asigurat secretariatul Tehnic din cadrul Comisiei de Monitorizare şi Competenţă Profesională pentru cazurile de Malpraxis din cadrul</w:t>
      </w:r>
      <w:r>
        <w:rPr>
          <w:spacing w:val="-3"/>
          <w:sz w:val="24"/>
        </w:rPr>
        <w:t> </w:t>
      </w:r>
      <w:r>
        <w:rPr>
          <w:sz w:val="24"/>
        </w:rPr>
        <w:t>DSP-MB</w:t>
      </w:r>
    </w:p>
    <w:p>
      <w:pPr>
        <w:pStyle w:val="ListParagraph"/>
        <w:numPr>
          <w:ilvl w:val="0"/>
          <w:numId w:val="16"/>
        </w:numPr>
        <w:tabs>
          <w:tab w:pos="820" w:val="left" w:leader="none"/>
        </w:tabs>
        <w:spacing w:line="240" w:lineRule="auto" w:before="0" w:after="0"/>
        <w:ind w:left="819" w:right="0" w:hanging="140"/>
        <w:jc w:val="left"/>
        <w:rPr>
          <w:sz w:val="24"/>
        </w:rPr>
      </w:pPr>
      <w:r>
        <w:rPr>
          <w:sz w:val="24"/>
        </w:rPr>
        <w:t>întocmirea proceselor verbale în cadrul</w:t>
      </w:r>
      <w:r>
        <w:rPr>
          <w:spacing w:val="-2"/>
          <w:sz w:val="24"/>
        </w:rPr>
        <w:t> </w:t>
      </w:r>
      <w:r>
        <w:rPr>
          <w:sz w:val="24"/>
        </w:rPr>
        <w:t>sedinţelor;</w:t>
      </w:r>
    </w:p>
    <w:p>
      <w:pPr>
        <w:pStyle w:val="ListParagraph"/>
        <w:numPr>
          <w:ilvl w:val="0"/>
          <w:numId w:val="16"/>
        </w:numPr>
        <w:tabs>
          <w:tab w:pos="820" w:val="left" w:leader="none"/>
        </w:tabs>
        <w:spacing w:line="240" w:lineRule="auto" w:before="0" w:after="0"/>
        <w:ind w:left="680" w:right="4515" w:firstLine="0"/>
        <w:jc w:val="left"/>
        <w:rPr>
          <w:sz w:val="24"/>
        </w:rPr>
      </w:pPr>
      <w:r>
        <w:rPr>
          <w:sz w:val="24"/>
        </w:rPr>
        <w:t>redactarea deciziilor în vederea aprobării Preşedintelui Comisiei Total 46 decizii si 138 de</w:t>
      </w:r>
      <w:r>
        <w:rPr>
          <w:spacing w:val="-1"/>
          <w:sz w:val="24"/>
        </w:rPr>
        <w:t> </w:t>
      </w:r>
      <w:r>
        <w:rPr>
          <w:sz w:val="24"/>
        </w:rPr>
        <w:t>adrese</w:t>
      </w:r>
    </w:p>
    <w:p>
      <w:pPr>
        <w:pStyle w:val="ListParagraph"/>
        <w:numPr>
          <w:ilvl w:val="0"/>
          <w:numId w:val="17"/>
        </w:numPr>
        <w:tabs>
          <w:tab w:pos="995" w:val="left" w:leader="none"/>
        </w:tabs>
        <w:spacing w:line="240" w:lineRule="auto" w:before="0" w:after="0"/>
        <w:ind w:left="680" w:right="1079" w:firstLine="0"/>
        <w:jc w:val="both"/>
        <w:rPr>
          <w:sz w:val="24"/>
        </w:rPr>
      </w:pPr>
      <w:r>
        <w:rPr>
          <w:spacing w:val="-3"/>
          <w:sz w:val="24"/>
        </w:rPr>
        <w:t>In </w:t>
      </w:r>
      <w:r>
        <w:rPr>
          <w:sz w:val="24"/>
        </w:rPr>
        <w:t>cadrul Programelor de sanatate s-au derulat activitătii de coordonare a implementării programelor de boli netransmisibile, de îndrumare si consiliere a coordonatorilor de programe atât  de la nivelul DSP-MB cât si de la nivelul furnizoriilor de servicii aflati în relatie contractuală cu DSP-MB.</w:t>
      </w:r>
    </w:p>
    <w:p>
      <w:pPr>
        <w:pStyle w:val="BodyText"/>
        <w:spacing w:before="1"/>
        <w:ind w:right="1078"/>
        <w:jc w:val="both"/>
      </w:pPr>
      <w:r>
        <w:rPr/>
        <w:t>S-a asigurat transmiterea la termenele stabilite către Unitătile de Asistentă Tehnică </w:t>
      </w:r>
      <w:r>
        <w:rPr>
          <w:spacing w:val="3"/>
        </w:rPr>
        <w:t>si </w:t>
      </w:r>
      <w:r>
        <w:rPr/>
        <w:t>Management sau dupa caz la Ministerul Sănătătii a documentelor prevazute in O.M.S 377/2017: cereri de finantare, indicatori de eficientă, executii bugetare ,stocuri,balante precum si rapoarte de activitate lunar, trimestrial si anual. Au fost întocmite situatii privind stocurile si balantele  aferente trimestrului II,III si IV pentru programele de boli transmisibile care </w:t>
      </w:r>
      <w:r>
        <w:rPr>
          <w:spacing w:val="2"/>
        </w:rPr>
        <w:t>se </w:t>
      </w:r>
      <w:r>
        <w:rPr/>
        <w:t>deruleaza (PNS 1.5, PNS Vaccinari, PNS 1.2, PNS 1.4, PNS</w:t>
      </w:r>
      <w:r>
        <w:rPr>
          <w:spacing w:val="-1"/>
        </w:rPr>
        <w:t> </w:t>
      </w:r>
      <w:r>
        <w:rPr/>
        <w:t>1.3).</w:t>
      </w:r>
    </w:p>
    <w:p>
      <w:pPr>
        <w:pStyle w:val="BodyText"/>
        <w:ind w:right="1081"/>
        <w:jc w:val="both"/>
      </w:pPr>
      <w:r>
        <w:rPr/>
        <w:t>S-a monitorizat activitatea de încheiere a contractelor si  de actualizare  a acestora  în concordantă  cu fondurile alocate pentru desfasurarea activitătilor din  cadrul  programelor  de  boli netransmisibile</w:t>
      </w:r>
    </w:p>
    <w:p>
      <w:pPr>
        <w:pStyle w:val="BodyText"/>
        <w:ind w:right="1083"/>
        <w:jc w:val="both"/>
      </w:pPr>
      <w:r>
        <w:rPr/>
        <w:t>A fost coordonata activitatea în cadrul Programului national de sănătate a femeii si copilului cu întocmirea tuturor situatiilor aferente.</w:t>
      </w:r>
    </w:p>
    <w:p>
      <w:pPr>
        <w:pStyle w:val="BodyText"/>
        <w:ind w:right="1083"/>
        <w:jc w:val="both"/>
      </w:pPr>
      <w:r>
        <w:rPr/>
        <w:t>S-au efecuat 2 actiuni de verificare în cadrul programelor de boli netransmisibile de personalul din structura.</w:t>
      </w:r>
    </w:p>
    <w:p>
      <w:pPr>
        <w:pStyle w:val="BodyText"/>
        <w:spacing w:before="1"/>
        <w:ind w:right="1081"/>
        <w:jc w:val="both"/>
      </w:pPr>
      <w:r>
        <w:rPr/>
        <w:t>S-au transmis zilnic, în functie de sezon, către Ministerul Sănătătii-COSU situatia privind cazurile  de</w:t>
      </w:r>
      <w:r>
        <w:rPr>
          <w:spacing w:val="-2"/>
        </w:rPr>
        <w:t> </w:t>
      </w:r>
      <w:r>
        <w:rPr/>
        <w:t>hipotermii/hipertermii.</w:t>
      </w:r>
    </w:p>
    <w:p>
      <w:pPr>
        <w:pStyle w:val="BodyText"/>
        <w:ind w:right="1080"/>
        <w:jc w:val="both"/>
      </w:pPr>
      <w:r>
        <w:rPr/>
        <w:t>Personalul din structură a participat în cursul anului si la alte activitătii respectiv, membrii in  Consilii de Administratie, comisie de experti la nivelul Municipiului</w:t>
      </w:r>
      <w:r>
        <w:rPr>
          <w:spacing w:val="-1"/>
        </w:rPr>
        <w:t> </w:t>
      </w:r>
      <w:r>
        <w:rPr/>
        <w:t>Bucuresti.</w:t>
      </w:r>
    </w:p>
    <w:p>
      <w:pPr>
        <w:pStyle w:val="BodyText"/>
        <w:ind w:left="0"/>
        <w:rPr>
          <w:sz w:val="26"/>
        </w:rPr>
      </w:pPr>
    </w:p>
    <w:p>
      <w:pPr>
        <w:pStyle w:val="BodyText"/>
        <w:spacing w:before="11"/>
        <w:ind w:left="0"/>
        <w:rPr>
          <w:sz w:val="21"/>
        </w:rPr>
      </w:pPr>
    </w:p>
    <w:p>
      <w:pPr>
        <w:pStyle w:val="Heading1"/>
        <w:ind w:left="740"/>
        <w:rPr>
          <w:u w:val="none"/>
        </w:rPr>
      </w:pPr>
      <w:r>
        <w:rPr>
          <w:b w:val="0"/>
          <w:spacing w:val="-60"/>
          <w:u w:val="thick"/>
        </w:rPr>
        <w:t> </w:t>
      </w:r>
      <w:r>
        <w:rPr>
          <w:u w:val="thick"/>
        </w:rPr>
        <w:t>BIROUL INFORMATICĂ ŞI BIOSTATISTICĂ MEDICALĂ</w:t>
      </w:r>
    </w:p>
    <w:p>
      <w:pPr>
        <w:pStyle w:val="BodyText"/>
        <w:spacing w:before="2"/>
        <w:ind w:left="0"/>
        <w:rPr>
          <w:b/>
          <w:sz w:val="16"/>
        </w:rPr>
      </w:pPr>
    </w:p>
    <w:p>
      <w:pPr>
        <w:pStyle w:val="BodyText"/>
        <w:spacing w:before="90"/>
        <w:ind w:right="1202"/>
        <w:jc w:val="both"/>
      </w:pPr>
      <w:r>
        <w:rPr/>
        <w:t>Pentru întocmirea rapoartelor statistice, serviciul preia informaţii de la 43 de unităţi sanitare publice cu paturi (inclusiv cele din subordinea MS, PMB, Academia Română, RATB), 41 de unităţi sanitare private cu paturi şi aproximativ </w:t>
      </w:r>
      <w:r>
        <w:rPr>
          <w:color w:val="FF0000"/>
        </w:rPr>
        <w:t>4.637 </w:t>
      </w:r>
      <w:r>
        <w:rPr/>
        <w:t>unităţi sanitare fără paturi.</w:t>
      </w:r>
    </w:p>
    <w:p>
      <w:pPr>
        <w:pStyle w:val="BodyText"/>
        <w:spacing w:before="1"/>
        <w:ind w:right="1140"/>
      </w:pPr>
      <w:r>
        <w:rPr/>
        <w:t>Dintr-un total de aprox. 97.907 de înregistrări RNM (Registrul Naţional al Medicilor), Biroul Informatică şi Biostatistică Medicală al DSP Bucureşti gestionează aprox. 23.989.</w:t>
      </w:r>
    </w:p>
    <w:p>
      <w:pPr>
        <w:pStyle w:val="BodyText"/>
      </w:pPr>
      <w:r>
        <w:rPr>
          <w:u w:val="single"/>
        </w:rPr>
        <w:t>Activitati privind prelucrarea informatiilor privind:</w:t>
      </w:r>
    </w:p>
    <w:p>
      <w:pPr>
        <w:pStyle w:val="ListParagraph"/>
        <w:numPr>
          <w:ilvl w:val="1"/>
          <w:numId w:val="9"/>
        </w:numPr>
        <w:tabs>
          <w:tab w:pos="861" w:val="left" w:leader="none"/>
        </w:tabs>
        <w:spacing w:line="240" w:lineRule="auto" w:before="0" w:after="0"/>
        <w:ind w:left="680" w:right="1424" w:firstLine="0"/>
        <w:jc w:val="left"/>
        <w:rPr>
          <w:sz w:val="24"/>
        </w:rPr>
      </w:pPr>
      <w:r>
        <w:rPr>
          <w:sz w:val="24"/>
        </w:rPr>
        <w:t>Raportarile primite de la: de la Cabinete de medicină de familie, Cabinete de medicină şcolară, Cabinete de medicină de specialitate, Cabinete de medicină dentară, institutele fără paturi subordonate Ministerului</w:t>
      </w:r>
      <w:r>
        <w:rPr>
          <w:spacing w:val="-1"/>
          <w:sz w:val="24"/>
        </w:rPr>
        <w:t> </w:t>
      </w:r>
      <w:r>
        <w:rPr>
          <w:sz w:val="24"/>
        </w:rPr>
        <w:t>Sănătăţii</w:t>
      </w:r>
    </w:p>
    <w:p>
      <w:pPr>
        <w:pStyle w:val="ListParagraph"/>
        <w:numPr>
          <w:ilvl w:val="1"/>
          <w:numId w:val="9"/>
        </w:numPr>
        <w:tabs>
          <w:tab w:pos="861" w:val="left" w:leader="none"/>
        </w:tabs>
        <w:spacing w:line="240" w:lineRule="auto" w:before="0" w:after="0"/>
        <w:ind w:left="680" w:right="1549" w:firstLine="0"/>
        <w:jc w:val="left"/>
        <w:rPr>
          <w:sz w:val="24"/>
        </w:rPr>
      </w:pPr>
      <w:r>
        <w:rPr>
          <w:sz w:val="24"/>
        </w:rPr>
        <w:t>Documente statistice pentru asistenţa spitalicească</w:t>
      </w:r>
      <w:r>
        <w:rPr>
          <w:sz w:val="24"/>
          <w:u w:val="single"/>
        </w:rPr>
        <w:t> (</w:t>
      </w:r>
      <w:r>
        <w:rPr>
          <w:sz w:val="24"/>
        </w:rPr>
        <w:t>asistenţă medicală de la spitalele publice si asistenţă medicală de la spitalele</w:t>
      </w:r>
      <w:r>
        <w:rPr>
          <w:spacing w:val="-4"/>
          <w:sz w:val="24"/>
        </w:rPr>
        <w:t> </w:t>
      </w:r>
      <w:r>
        <w:rPr>
          <w:sz w:val="24"/>
        </w:rPr>
        <w:t>private);</w:t>
      </w:r>
    </w:p>
    <w:p>
      <w:pPr>
        <w:pStyle w:val="ListParagraph"/>
        <w:numPr>
          <w:ilvl w:val="1"/>
          <w:numId w:val="9"/>
        </w:numPr>
        <w:tabs>
          <w:tab w:pos="861" w:val="left" w:leader="none"/>
        </w:tabs>
        <w:spacing w:line="240" w:lineRule="auto" w:before="0" w:after="0"/>
        <w:ind w:left="680" w:right="1452" w:firstLine="0"/>
        <w:jc w:val="left"/>
        <w:rPr>
          <w:sz w:val="24"/>
        </w:rPr>
      </w:pPr>
      <w:r>
        <w:rPr>
          <w:sz w:val="24"/>
        </w:rPr>
        <w:t>Raport de activitate : consultaţii, tratamente, activitatea în camera de gardă/UPU, evidenţe de TBC, oncologie, psihiatrie, boli infectioase transmisibile si netransmisibile, dermato,</w:t>
      </w:r>
      <w:r>
        <w:rPr>
          <w:spacing w:val="-15"/>
          <w:sz w:val="24"/>
        </w:rPr>
        <w:t> </w:t>
      </w:r>
      <w:r>
        <w:rPr>
          <w:sz w:val="24"/>
        </w:rPr>
        <w:t>întreruperea</w:t>
      </w:r>
    </w:p>
    <w:p>
      <w:pPr>
        <w:spacing w:after="0" w:line="240" w:lineRule="auto"/>
        <w:jc w:val="left"/>
        <w:rPr>
          <w:sz w:val="24"/>
        </w:rPr>
        <w:sectPr>
          <w:pgSz w:w="11910" w:h="16840"/>
          <w:pgMar w:header="0" w:footer="658" w:top="1360" w:bottom="920" w:left="400" w:right="0"/>
        </w:sectPr>
      </w:pPr>
    </w:p>
    <w:p>
      <w:pPr>
        <w:pStyle w:val="BodyText"/>
        <w:spacing w:before="60"/>
        <w:ind w:right="1279"/>
      </w:pPr>
      <w:r>
        <w:rPr/>
        <w:t>cursului sarcinii, infecţii nosocomiale (transmise de unitatile sanitare), dări de seamă privind mişcarea bolnavilor şi însoţitorilor în secţii/ compartimente de spital însoţite de indicatorii specifici de cheltuieli pe un pat, un bolnav, o zi de spitalizare; dări de seamă de personal</w:t>
      </w:r>
    </w:p>
    <w:p>
      <w:pPr>
        <w:pStyle w:val="ListParagraph"/>
        <w:numPr>
          <w:ilvl w:val="1"/>
          <w:numId w:val="9"/>
        </w:numPr>
        <w:tabs>
          <w:tab w:pos="861" w:val="left" w:leader="none"/>
        </w:tabs>
        <w:spacing w:line="240" w:lineRule="auto" w:before="1" w:after="0"/>
        <w:ind w:left="861" w:right="0" w:hanging="181"/>
        <w:jc w:val="left"/>
        <w:rPr>
          <w:sz w:val="24"/>
        </w:rPr>
      </w:pPr>
      <w:r>
        <w:rPr>
          <w:sz w:val="24"/>
        </w:rPr>
        <w:t>Se codifică lunar aproximativ 2.000 de buletine statistice de</w:t>
      </w:r>
      <w:r>
        <w:rPr>
          <w:spacing w:val="-8"/>
          <w:sz w:val="24"/>
        </w:rPr>
        <w:t> </w:t>
      </w:r>
      <w:r>
        <w:rPr>
          <w:sz w:val="24"/>
        </w:rPr>
        <w:t>deces.</w:t>
      </w:r>
    </w:p>
    <w:p>
      <w:pPr>
        <w:pStyle w:val="ListParagraph"/>
        <w:numPr>
          <w:ilvl w:val="1"/>
          <w:numId w:val="9"/>
        </w:numPr>
        <w:tabs>
          <w:tab w:pos="861" w:val="left" w:leader="none"/>
        </w:tabs>
        <w:spacing w:line="240" w:lineRule="auto" w:before="0" w:after="0"/>
        <w:ind w:left="680" w:right="1425" w:firstLine="0"/>
        <w:jc w:val="left"/>
        <w:rPr>
          <w:sz w:val="24"/>
        </w:rPr>
      </w:pPr>
      <w:r>
        <w:rPr>
          <w:sz w:val="24"/>
        </w:rPr>
        <w:t>Date referitoare laserviciile medicale prestate de unităţile sanitare din reţeaua sanitară; 6.resursele de personal sanitar, aparatură medicală, medicamente ale reţelei sanitare din Bucureşti evidenţele de bolnavi cronici, organizând registre speciale de neoplazii maligne, stări psihice,</w:t>
      </w:r>
      <w:r>
        <w:rPr>
          <w:spacing w:val="-18"/>
          <w:sz w:val="24"/>
        </w:rPr>
        <w:t> </w:t>
      </w:r>
      <w:r>
        <w:rPr>
          <w:sz w:val="24"/>
        </w:rPr>
        <w:t>boli cu transmitere</w:t>
      </w:r>
      <w:r>
        <w:rPr>
          <w:spacing w:val="-2"/>
          <w:sz w:val="24"/>
        </w:rPr>
        <w:t> </w:t>
      </w:r>
      <w:r>
        <w:rPr>
          <w:sz w:val="24"/>
        </w:rPr>
        <w:t>sexuală;</w:t>
      </w:r>
    </w:p>
    <w:p>
      <w:pPr>
        <w:pStyle w:val="ListParagraph"/>
        <w:numPr>
          <w:ilvl w:val="0"/>
          <w:numId w:val="19"/>
        </w:numPr>
        <w:tabs>
          <w:tab w:pos="861" w:val="left" w:leader="none"/>
        </w:tabs>
        <w:spacing w:line="240" w:lineRule="auto" w:before="0" w:after="0"/>
        <w:ind w:left="861" w:right="0" w:hanging="181"/>
        <w:jc w:val="left"/>
        <w:rPr>
          <w:sz w:val="24"/>
        </w:rPr>
      </w:pPr>
      <w:r>
        <w:rPr>
          <w:sz w:val="24"/>
        </w:rPr>
        <w:t>Buletinele statistice de deces necesare Direcţiei Municipale de</w:t>
      </w:r>
      <w:r>
        <w:rPr>
          <w:spacing w:val="-3"/>
          <w:sz w:val="24"/>
        </w:rPr>
        <w:t> </w:t>
      </w:r>
      <w:r>
        <w:rPr>
          <w:sz w:val="24"/>
        </w:rPr>
        <w:t>Statistică;</w:t>
      </w:r>
    </w:p>
    <w:p>
      <w:pPr>
        <w:pStyle w:val="ListParagraph"/>
        <w:numPr>
          <w:ilvl w:val="0"/>
          <w:numId w:val="19"/>
        </w:numPr>
        <w:tabs>
          <w:tab w:pos="861" w:val="left" w:leader="none"/>
        </w:tabs>
        <w:spacing w:line="240" w:lineRule="auto" w:before="0" w:after="0"/>
        <w:ind w:left="680" w:right="1810" w:firstLine="0"/>
        <w:jc w:val="left"/>
        <w:rPr>
          <w:sz w:val="24"/>
        </w:rPr>
      </w:pPr>
      <w:r>
        <w:rPr>
          <w:sz w:val="24"/>
        </w:rPr>
        <w:t>Distribuţia şi gestiunea stocurilor de lapte praf pentru copiii sub un an eligibili în</w:t>
      </w:r>
      <w:r>
        <w:rPr>
          <w:spacing w:val="-26"/>
          <w:sz w:val="24"/>
        </w:rPr>
        <w:t> </w:t>
      </w:r>
      <w:r>
        <w:rPr>
          <w:sz w:val="24"/>
        </w:rPr>
        <w:t>Programul Naţional</w:t>
      </w:r>
      <w:r>
        <w:rPr>
          <w:spacing w:val="-1"/>
          <w:sz w:val="24"/>
        </w:rPr>
        <w:t> </w:t>
      </w:r>
      <w:r>
        <w:rPr>
          <w:sz w:val="24"/>
        </w:rPr>
        <w:t>specific;</w:t>
      </w:r>
    </w:p>
    <w:p>
      <w:pPr>
        <w:pStyle w:val="ListParagraph"/>
        <w:numPr>
          <w:ilvl w:val="0"/>
          <w:numId w:val="19"/>
        </w:numPr>
        <w:tabs>
          <w:tab w:pos="861" w:val="left" w:leader="none"/>
        </w:tabs>
        <w:spacing w:line="240" w:lineRule="auto" w:before="0" w:after="0"/>
        <w:ind w:left="680" w:right="1432" w:firstLine="0"/>
        <w:jc w:val="both"/>
        <w:rPr>
          <w:sz w:val="24"/>
        </w:rPr>
      </w:pPr>
      <w:r>
        <w:rPr>
          <w:sz w:val="24"/>
        </w:rPr>
        <w:t>Dările de seamă, rapoartele statistice statuate de normativele în vigoare în scopul alcătuirii unor baze de date optim organizate, astfel încât solicitările de informaţii de statistică medicală să fie</w:t>
      </w:r>
      <w:r>
        <w:rPr>
          <w:spacing w:val="-26"/>
          <w:sz w:val="24"/>
        </w:rPr>
        <w:t> </w:t>
      </w:r>
      <w:r>
        <w:rPr>
          <w:sz w:val="24"/>
        </w:rPr>
        <w:t>nu numai corecte, dar şi transmise la termen instituţiilor/organizaţiilor de ocrotire a</w:t>
      </w:r>
      <w:r>
        <w:rPr>
          <w:spacing w:val="-13"/>
          <w:sz w:val="24"/>
        </w:rPr>
        <w:t> </w:t>
      </w:r>
      <w:r>
        <w:rPr>
          <w:sz w:val="24"/>
        </w:rPr>
        <w:t>sănătăţii;</w:t>
      </w:r>
    </w:p>
    <w:p>
      <w:pPr>
        <w:pStyle w:val="BodyText"/>
        <w:spacing w:before="1"/>
        <w:ind w:left="740"/>
        <w:jc w:val="both"/>
      </w:pPr>
      <w:r>
        <w:rPr/>
        <w:t>Alte activitati:</w:t>
      </w:r>
    </w:p>
    <w:p>
      <w:pPr>
        <w:pStyle w:val="ListParagraph"/>
        <w:numPr>
          <w:ilvl w:val="0"/>
          <w:numId w:val="20"/>
        </w:numPr>
        <w:tabs>
          <w:tab w:pos="861" w:val="left" w:leader="none"/>
        </w:tabs>
        <w:spacing w:line="240" w:lineRule="auto" w:before="0" w:after="0"/>
        <w:ind w:left="861" w:right="0" w:hanging="181"/>
        <w:jc w:val="both"/>
        <w:rPr>
          <w:sz w:val="24"/>
        </w:rPr>
      </w:pPr>
      <w:r>
        <w:rPr>
          <w:sz w:val="24"/>
        </w:rPr>
        <w:t>Actualizarea bazei de date cu medicii din</w:t>
      </w:r>
      <w:r>
        <w:rPr>
          <w:spacing w:val="-2"/>
          <w:sz w:val="24"/>
        </w:rPr>
        <w:t> </w:t>
      </w:r>
      <w:r>
        <w:rPr>
          <w:sz w:val="24"/>
        </w:rPr>
        <w:t>Bucureşti</w:t>
      </w:r>
    </w:p>
    <w:p>
      <w:pPr>
        <w:pStyle w:val="BodyText"/>
        <w:ind w:right="1140"/>
      </w:pPr>
      <w:r>
        <w:rPr/>
        <w:t>Integrat acestui domeniu de activitate este şi acordarea codurilor de parafă medicilor nou intraţi în sistem sau celor care din diverse motive au nevoie şi dreptul la un nou cod de parafă.</w:t>
      </w:r>
    </w:p>
    <w:p>
      <w:pPr>
        <w:pStyle w:val="ListParagraph"/>
        <w:numPr>
          <w:ilvl w:val="0"/>
          <w:numId w:val="20"/>
        </w:numPr>
        <w:tabs>
          <w:tab w:pos="861" w:val="left" w:leader="none"/>
        </w:tabs>
        <w:spacing w:line="240" w:lineRule="auto" w:before="0" w:after="0"/>
        <w:ind w:left="680" w:right="3416" w:firstLine="0"/>
        <w:jc w:val="left"/>
        <w:rPr>
          <w:sz w:val="24"/>
        </w:rPr>
      </w:pPr>
      <w:r>
        <w:rPr>
          <w:sz w:val="24"/>
        </w:rPr>
        <w:t>Actualizarea bazei de date cu evidenţele bolnavilor de cancer din Bucureşti 3.Monitorizarea programului de lapte</w:t>
      </w:r>
      <w:r>
        <w:rPr>
          <w:spacing w:val="-4"/>
          <w:sz w:val="24"/>
        </w:rPr>
        <w:t> </w:t>
      </w:r>
      <w:r>
        <w:rPr>
          <w:sz w:val="24"/>
        </w:rPr>
        <w:t>praf:</w:t>
      </w:r>
    </w:p>
    <w:p>
      <w:pPr>
        <w:pStyle w:val="BodyText"/>
      </w:pPr>
      <w:r>
        <w:rPr>
          <w:b/>
          <w:i/>
        </w:rPr>
        <w:t>-</w:t>
      </w:r>
      <w:r>
        <w:rPr/>
        <w:t>întocmirea formularelor pentru medici – termen: data de 10 a fiecărei luni</w:t>
      </w:r>
    </w:p>
    <w:p>
      <w:pPr>
        <w:pStyle w:val="BodyText"/>
      </w:pPr>
      <w:r>
        <w:rPr/>
        <w:t>-intocmirea listelor pentru primăriile de sector – termen: data de 1 a fiecărei luni</w:t>
      </w:r>
    </w:p>
    <w:p>
      <w:pPr>
        <w:pStyle w:val="BodyText"/>
        <w:ind w:right="1134"/>
      </w:pPr>
      <w:r>
        <w:rPr/>
        <w:t>-prelucrarea datelor de gestiune lapte praf/medic/copil/data eliberării reţetelor/data livrării cutiilor de lapte praf/cantitate – termen: data de 5 a fiecărei luni</w:t>
      </w:r>
    </w:p>
    <w:p>
      <w:pPr>
        <w:pStyle w:val="ListParagraph"/>
        <w:numPr>
          <w:ilvl w:val="0"/>
          <w:numId w:val="21"/>
        </w:numPr>
        <w:tabs>
          <w:tab w:pos="863" w:val="left" w:leader="none"/>
        </w:tabs>
        <w:spacing w:line="240" w:lineRule="auto" w:before="0" w:after="0"/>
        <w:ind w:left="680" w:right="1136" w:firstLine="0"/>
        <w:jc w:val="both"/>
        <w:rPr>
          <w:sz w:val="24"/>
        </w:rPr>
      </w:pPr>
      <w:r>
        <w:rPr>
          <w:sz w:val="24"/>
        </w:rPr>
        <w:t>Intocmirea Centralizatorului lunar raportat catre C.N.S.I.S.P: tabel sinoptic (date dupa locul intamplarii fenomenului) ; intreruperi de sarcina si decese materne (date dupa locul intamplarii) ; decese sub un an ( date dupa locul intamplarii fenomenului); prevalenta (evidenta bolnavilor cronici); mortalitatea generala pe cauze (date dupa locul</w:t>
      </w:r>
      <w:r>
        <w:rPr>
          <w:spacing w:val="-1"/>
          <w:sz w:val="24"/>
        </w:rPr>
        <w:t> </w:t>
      </w:r>
      <w:r>
        <w:rPr>
          <w:sz w:val="24"/>
        </w:rPr>
        <w:t>fenomenului)</w:t>
      </w:r>
    </w:p>
    <w:p>
      <w:pPr>
        <w:pStyle w:val="ListParagraph"/>
        <w:numPr>
          <w:ilvl w:val="0"/>
          <w:numId w:val="21"/>
        </w:numPr>
        <w:tabs>
          <w:tab w:pos="861" w:val="left" w:leader="none"/>
        </w:tabs>
        <w:spacing w:line="240" w:lineRule="auto" w:before="0" w:after="0"/>
        <w:ind w:left="680" w:right="1133" w:firstLine="0"/>
        <w:jc w:val="both"/>
        <w:rPr>
          <w:sz w:val="24"/>
        </w:rPr>
      </w:pPr>
      <w:r>
        <w:rPr>
          <w:sz w:val="24"/>
        </w:rPr>
        <w:t>Codificarea buletinelor statistice de deces: aprox. 2.000 de buletine (în lunile critice peste 2.300, </w:t>
      </w:r>
      <w:r>
        <w:rPr>
          <w:spacing w:val="3"/>
          <w:sz w:val="24"/>
        </w:rPr>
        <w:t>în </w:t>
      </w:r>
      <w:r>
        <w:rPr>
          <w:sz w:val="24"/>
        </w:rPr>
        <w:t>celelalte peste</w:t>
      </w:r>
      <w:r>
        <w:rPr>
          <w:spacing w:val="-3"/>
          <w:sz w:val="24"/>
        </w:rPr>
        <w:t> </w:t>
      </w:r>
      <w:r>
        <w:rPr>
          <w:sz w:val="24"/>
        </w:rPr>
        <w:t>1.800)</w:t>
      </w:r>
    </w:p>
    <w:p>
      <w:pPr>
        <w:pStyle w:val="BodyText"/>
        <w:spacing w:before="3"/>
        <w:ind w:left="0"/>
        <w:rPr>
          <w:sz w:val="16"/>
        </w:rPr>
      </w:pPr>
    </w:p>
    <w:p>
      <w:pPr>
        <w:pStyle w:val="BodyText"/>
        <w:spacing w:before="90"/>
        <w:ind w:right="1342"/>
      </w:pPr>
      <w:r>
        <w:rPr>
          <w:spacing w:val="-60"/>
          <w:shd w:fill="808080" w:color="auto" w:val="clear"/>
        </w:rPr>
        <w:t> </w:t>
      </w:r>
      <w:r>
        <w:rPr>
          <w:b/>
          <w:shd w:fill="808080" w:color="auto" w:val="clear"/>
        </w:rPr>
        <w:t>Mortalitate generală</w:t>
      </w:r>
      <w:r>
        <w:rPr>
          <w:b/>
        </w:rPr>
        <w:t>:</w:t>
      </w:r>
      <w:r>
        <w:rPr/>
        <w:t>decesele generale în anul 2017 au scăzut faţă de anul 2016 de la 25.839 la 25.748. </w:t>
      </w:r>
      <w:r>
        <w:rPr>
          <w:spacing w:val="-3"/>
        </w:rPr>
        <w:t>In </w:t>
      </w:r>
      <w:r>
        <w:rPr/>
        <w:t>functie de sectoare numarul cel mai mare de decese il are sectorul 1 cu 6201 buletine de deces, urmează sectorul 2 cu 6158,sectorul 5 - 4303, sectorul 4 - 4202, pe cand sectorul 3 avem 2718 iar sectorul 6-2166.Fenomenul se poate datora îmbătrânirii populaţiei.</w:t>
      </w:r>
    </w:p>
    <w:p>
      <w:pPr>
        <w:spacing w:after="0"/>
        <w:sectPr>
          <w:pgSz w:w="11910" w:h="16840"/>
          <w:pgMar w:header="0" w:footer="658" w:top="1360" w:bottom="920" w:left="400" w:right="0"/>
        </w:sectPr>
      </w:pPr>
    </w:p>
    <w:p>
      <w:pPr>
        <w:pStyle w:val="BodyText"/>
        <w:ind w:left="2115"/>
        <w:rPr>
          <w:sz w:val="20"/>
        </w:rPr>
      </w:pPr>
      <w:r>
        <w:rPr>
          <w:sz w:val="20"/>
        </w:rPr>
        <w:drawing>
          <wp:inline distT="0" distB="0" distL="0" distR="0">
            <wp:extent cx="4583046" cy="2749296"/>
            <wp:effectExtent l="0" t="0" r="0" b="0"/>
            <wp:docPr id="3" name="image40.png"/>
            <wp:cNvGraphicFramePr>
              <a:graphicFrameLocks noChangeAspect="1"/>
            </wp:cNvGraphicFramePr>
            <a:graphic>
              <a:graphicData uri="http://schemas.openxmlformats.org/drawingml/2006/picture">
                <pic:pic>
                  <pic:nvPicPr>
                    <pic:cNvPr id="4" name="image40.png"/>
                    <pic:cNvPicPr/>
                  </pic:nvPicPr>
                  <pic:blipFill>
                    <a:blip r:embed="rId50" cstate="print"/>
                    <a:stretch>
                      <a:fillRect/>
                    </a:stretch>
                  </pic:blipFill>
                  <pic:spPr>
                    <a:xfrm>
                      <a:off x="0" y="0"/>
                      <a:ext cx="4583046" cy="2749296"/>
                    </a:xfrm>
                    <a:prstGeom prst="rect">
                      <a:avLst/>
                    </a:prstGeom>
                  </pic:spPr>
                </pic:pic>
              </a:graphicData>
            </a:graphic>
          </wp:inline>
        </w:drawing>
      </w:r>
      <w:r>
        <w:rPr>
          <w:sz w:val="20"/>
        </w:rPr>
      </w:r>
    </w:p>
    <w:p>
      <w:pPr>
        <w:pStyle w:val="BodyText"/>
        <w:spacing w:before="2"/>
        <w:ind w:right="1140" w:firstLine="120"/>
      </w:pPr>
      <w:r>
        <w:rPr/>
        <w:t>Mortalitatea prin bolile aparatului circulator ramane in continuare prima cauza de deces atât în Municipiul Bucure</w:t>
      </w:r>
      <w:r>
        <w:rPr>
          <w:rFonts w:ascii="Tahoma" w:hAnsi="Tahoma"/>
        </w:rPr>
        <w:t>ș</w:t>
      </w:r>
      <w:r>
        <w:rPr/>
        <w:t>ti cât </w:t>
      </w:r>
      <w:r>
        <w:rPr>
          <w:rFonts w:ascii="Tahoma" w:hAnsi="Tahoma"/>
        </w:rPr>
        <w:t>ș</w:t>
      </w:r>
      <w:r>
        <w:rPr/>
        <w:t>i în Romania. O a doua cauza de deces o reprezinta tumorile maligne, urmate de bolile aparatului respirator care este o importanta cauza de deces.</w:t>
      </w:r>
    </w:p>
    <w:p>
      <w:pPr>
        <w:pStyle w:val="BodyText"/>
        <w:spacing w:before="8"/>
        <w:ind w:left="0"/>
        <w:rPr>
          <w:sz w:val="20"/>
        </w:rPr>
      </w:pPr>
      <w:r>
        <w:rPr/>
        <w:drawing>
          <wp:anchor distT="0" distB="0" distL="0" distR="0" allowOverlap="1" layoutInCell="1" locked="0" behindDoc="0" simplePos="0" relativeHeight="288">
            <wp:simplePos x="0" y="0"/>
            <wp:positionH relativeFrom="page">
              <wp:posOffset>937260</wp:posOffset>
            </wp:positionH>
            <wp:positionV relativeFrom="paragraph">
              <wp:posOffset>175904</wp:posOffset>
            </wp:positionV>
            <wp:extent cx="5850396" cy="5332190"/>
            <wp:effectExtent l="0" t="0" r="0" b="0"/>
            <wp:wrapTopAndBottom/>
            <wp:docPr id="5" name="image41.png"/>
            <wp:cNvGraphicFramePr>
              <a:graphicFrameLocks noChangeAspect="1"/>
            </wp:cNvGraphicFramePr>
            <a:graphic>
              <a:graphicData uri="http://schemas.openxmlformats.org/drawingml/2006/picture">
                <pic:pic>
                  <pic:nvPicPr>
                    <pic:cNvPr id="6" name="image41.png"/>
                    <pic:cNvPicPr/>
                  </pic:nvPicPr>
                  <pic:blipFill>
                    <a:blip r:embed="rId51" cstate="print"/>
                    <a:stretch>
                      <a:fillRect/>
                    </a:stretch>
                  </pic:blipFill>
                  <pic:spPr>
                    <a:xfrm>
                      <a:off x="0" y="0"/>
                      <a:ext cx="5850396" cy="5332190"/>
                    </a:xfrm>
                    <a:prstGeom prst="rect">
                      <a:avLst/>
                    </a:prstGeom>
                  </pic:spPr>
                </pic:pic>
              </a:graphicData>
            </a:graphic>
          </wp:anchor>
        </w:drawing>
      </w:r>
    </w:p>
    <w:p>
      <w:pPr>
        <w:spacing w:after="0"/>
        <w:rPr>
          <w:sz w:val="20"/>
        </w:rPr>
        <w:sectPr>
          <w:pgSz w:w="11910" w:h="16840"/>
          <w:pgMar w:header="0" w:footer="658" w:top="1420" w:bottom="920" w:left="400" w:right="0"/>
        </w:sectPr>
      </w:pPr>
    </w:p>
    <w:p>
      <w:pPr>
        <w:pStyle w:val="BodyText"/>
        <w:spacing w:before="2"/>
        <w:ind w:left="0"/>
        <w:rPr>
          <w:sz w:val="10"/>
        </w:rPr>
      </w:pPr>
    </w:p>
    <w:p>
      <w:pPr>
        <w:pStyle w:val="BodyText"/>
        <w:rPr>
          <w:sz w:val="20"/>
        </w:rPr>
      </w:pPr>
      <w:r>
        <w:rPr>
          <w:sz w:val="20"/>
        </w:rPr>
        <w:drawing>
          <wp:inline distT="0" distB="0" distL="0" distR="0">
            <wp:extent cx="5897321" cy="6410325"/>
            <wp:effectExtent l="0" t="0" r="0" b="0"/>
            <wp:docPr id="7" name="image42.png"/>
            <wp:cNvGraphicFramePr>
              <a:graphicFrameLocks noChangeAspect="1"/>
            </wp:cNvGraphicFramePr>
            <a:graphic>
              <a:graphicData uri="http://schemas.openxmlformats.org/drawingml/2006/picture">
                <pic:pic>
                  <pic:nvPicPr>
                    <pic:cNvPr id="8" name="image42.png"/>
                    <pic:cNvPicPr/>
                  </pic:nvPicPr>
                  <pic:blipFill>
                    <a:blip r:embed="rId52" cstate="print"/>
                    <a:stretch>
                      <a:fillRect/>
                    </a:stretch>
                  </pic:blipFill>
                  <pic:spPr>
                    <a:xfrm>
                      <a:off x="0" y="0"/>
                      <a:ext cx="5897321" cy="6410325"/>
                    </a:xfrm>
                    <a:prstGeom prst="rect">
                      <a:avLst/>
                    </a:prstGeom>
                  </pic:spPr>
                </pic:pic>
              </a:graphicData>
            </a:graphic>
          </wp:inline>
        </w:drawing>
      </w:r>
      <w:r>
        <w:rPr>
          <w:sz w:val="20"/>
        </w:rPr>
      </w:r>
    </w:p>
    <w:p>
      <w:pPr>
        <w:pStyle w:val="BodyText"/>
        <w:ind w:left="0"/>
        <w:rPr>
          <w:sz w:val="20"/>
        </w:rPr>
      </w:pPr>
    </w:p>
    <w:p>
      <w:pPr>
        <w:pStyle w:val="BodyText"/>
        <w:spacing w:before="5"/>
        <w:ind w:left="0"/>
        <w:rPr>
          <w:sz w:val="21"/>
        </w:rPr>
      </w:pPr>
    </w:p>
    <w:p>
      <w:pPr>
        <w:pStyle w:val="BodyText"/>
        <w:spacing w:before="90"/>
        <w:ind w:right="1140"/>
      </w:pPr>
      <w:r>
        <w:rPr/>
        <w:t>“Dare de seamă trimestrială privind principalii indicatori ai cunoaşterii sănătăţii” – raport care se transmite către Centrul Naţional de Statistică şi Informatică în Sănătate Publică care cuprinde:</w:t>
      </w:r>
    </w:p>
    <w:p>
      <w:pPr>
        <w:pStyle w:val="BodyText"/>
      </w:pPr>
      <w:r>
        <w:rPr/>
        <w:t>-evidenţa gravidelor (în evidenţa medicului de familie)</w:t>
      </w:r>
    </w:p>
    <w:p>
      <w:pPr>
        <w:pStyle w:val="BodyText"/>
      </w:pPr>
      <w:r>
        <w:rPr/>
        <w:t>-gravide nou depistate pe grupe de vârstă (în evidenţa medicului de familie)</w:t>
      </w:r>
    </w:p>
    <w:p>
      <w:pPr>
        <w:pStyle w:val="BodyText"/>
      </w:pPr>
      <w:r>
        <w:rPr/>
        <w:t>-intreruperea cursului sarcinii (în spitale publice si private)</w:t>
      </w:r>
    </w:p>
    <w:p>
      <w:pPr>
        <w:pStyle w:val="BodyText"/>
      </w:pPr>
      <w:r>
        <w:rPr/>
        <w:t>-evidenţa bolnavilor tuberculoşi (în dispensarul de ftiziologie)</w:t>
      </w:r>
    </w:p>
    <w:p>
      <w:pPr>
        <w:pStyle w:val="BodyText"/>
      </w:pPr>
      <w:r>
        <w:rPr/>
        <w:t>-evidenţa bolnavilor de cancer (în cabinetul de oncologie)</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 bolnavilor diabetului zaharat (în cabinetul de nutriţie şi</w:t>
      </w:r>
      <w:r>
        <w:rPr>
          <w:spacing w:val="-4"/>
          <w:sz w:val="24"/>
        </w:rPr>
        <w:t> </w:t>
      </w:r>
      <w:r>
        <w:rPr>
          <w:sz w:val="24"/>
        </w:rPr>
        <w:t>diabet)</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 bolnavilor psihici (în cabinetul de psihiatrie,</w:t>
      </w:r>
      <w:r>
        <w:rPr>
          <w:spacing w:val="-3"/>
          <w:sz w:val="24"/>
        </w:rPr>
        <w:t> </w:t>
      </w:r>
      <w:r>
        <w:rPr>
          <w:sz w:val="24"/>
        </w:rPr>
        <w:t>CSM)</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 copiilor sub 3 ani cu malnutriţie proteino-calorică (în evidenţa medicului de</w:t>
      </w:r>
      <w:r>
        <w:rPr>
          <w:spacing w:val="-6"/>
          <w:sz w:val="24"/>
        </w:rPr>
        <w:t> </w:t>
      </w:r>
      <w:r>
        <w:rPr>
          <w:sz w:val="24"/>
        </w:rPr>
        <w:t>familie)</w:t>
      </w:r>
    </w:p>
    <w:p>
      <w:pPr>
        <w:spacing w:after="0" w:line="240" w:lineRule="auto"/>
        <w:jc w:val="left"/>
        <w:rPr>
          <w:sz w:val="24"/>
        </w:rPr>
        <w:sectPr>
          <w:pgSz w:w="11910" w:h="16840"/>
          <w:pgMar w:header="0" w:footer="658" w:top="1580" w:bottom="920" w:left="400" w:right="0"/>
        </w:sectPr>
      </w:pPr>
    </w:p>
    <w:p>
      <w:pPr>
        <w:pStyle w:val="BodyText"/>
        <w:spacing w:before="60"/>
      </w:pPr>
      <w:r>
        <w:rPr/>
        <w:t>-Alte boli cronice (în cabinetul medicului de familie = pentru 22 de tipuri de diagnostic)</w:t>
      </w:r>
    </w:p>
    <w:p>
      <w:pPr>
        <w:pStyle w:val="ListParagraph"/>
        <w:numPr>
          <w:ilvl w:val="0"/>
          <w:numId w:val="16"/>
        </w:numPr>
        <w:tabs>
          <w:tab w:pos="820" w:val="left" w:leader="none"/>
        </w:tabs>
        <w:spacing w:line="240" w:lineRule="auto" w:before="1" w:after="0"/>
        <w:ind w:left="819" w:right="0" w:hanging="140"/>
        <w:jc w:val="left"/>
        <w:rPr>
          <w:sz w:val="24"/>
        </w:rPr>
      </w:pPr>
      <w:r>
        <w:rPr>
          <w:sz w:val="24"/>
        </w:rPr>
        <w:t>evidenţa bolnavilor ieşiţi din</w:t>
      </w:r>
      <w:r>
        <w:rPr>
          <w:spacing w:val="-1"/>
          <w:sz w:val="24"/>
        </w:rPr>
        <w:t> </w:t>
      </w:r>
      <w:r>
        <w:rPr>
          <w:sz w:val="24"/>
        </w:rPr>
        <w:t>spital</w:t>
      </w:r>
    </w:p>
    <w:p>
      <w:pPr>
        <w:pStyle w:val="BodyText"/>
      </w:pPr>
      <w:r>
        <w:rPr/>
        <w:t>-Infecţii interioare din spital</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 bolnavilor cu boli</w:t>
      </w:r>
      <w:r>
        <w:rPr>
          <w:spacing w:val="1"/>
          <w:sz w:val="24"/>
        </w:rPr>
        <w:t> </w:t>
      </w:r>
      <w:r>
        <w:rPr>
          <w:sz w:val="24"/>
        </w:rPr>
        <w:t>infectioase/parazitare</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 bolnavilor cu</w:t>
      </w:r>
      <w:r>
        <w:rPr>
          <w:spacing w:val="2"/>
          <w:sz w:val="24"/>
        </w:rPr>
        <w:t> </w:t>
      </w:r>
      <w:r>
        <w:rPr>
          <w:sz w:val="24"/>
        </w:rPr>
        <w:t>HIV/SIDA</w:t>
      </w:r>
    </w:p>
    <w:p>
      <w:pPr>
        <w:pStyle w:val="ListParagraph"/>
        <w:numPr>
          <w:ilvl w:val="0"/>
          <w:numId w:val="16"/>
        </w:numPr>
        <w:tabs>
          <w:tab w:pos="820" w:val="left" w:leader="none"/>
        </w:tabs>
        <w:spacing w:line="240" w:lineRule="auto" w:before="0" w:after="0"/>
        <w:ind w:left="819" w:right="0" w:hanging="140"/>
        <w:jc w:val="left"/>
        <w:rPr>
          <w:sz w:val="24"/>
        </w:rPr>
      </w:pPr>
      <w:r>
        <w:rPr>
          <w:sz w:val="24"/>
        </w:rPr>
        <w:t>evidenţa</w:t>
      </w:r>
      <w:r>
        <w:rPr>
          <w:spacing w:val="-2"/>
          <w:sz w:val="24"/>
        </w:rPr>
        <w:t> </w:t>
      </w:r>
      <w:r>
        <w:rPr>
          <w:sz w:val="24"/>
        </w:rPr>
        <w:t>vaccinari/revaccinări</w:t>
      </w:r>
    </w:p>
    <w:p>
      <w:pPr>
        <w:pStyle w:val="BodyText"/>
      </w:pPr>
      <w:r>
        <w:rPr/>
        <w:t>-Testarea imunităţii</w:t>
      </w:r>
    </w:p>
    <w:p>
      <w:pPr>
        <w:pStyle w:val="BodyText"/>
      </w:pPr>
      <w:r>
        <w:rPr/>
        <w:t>Activitati de inspectie sanitara.</w:t>
      </w:r>
    </w:p>
    <w:p>
      <w:pPr>
        <w:pStyle w:val="BodyText"/>
        <w:ind w:right="1135"/>
        <w:jc w:val="both"/>
      </w:pPr>
      <w:r>
        <w:rPr/>
        <w:t>S-au primit/înregistrat/sintetizat: aprox. 905 de rapoarte de la cabinetele MF, rapoarte de la dspensarele TBC,rapoarte de la Institutul Paulescu, 31 de rapoarte de psihiatrie de la cabinete de specialitate, ambulatorii de spital CSM-uri (Centre de Sănătate Mintală),43 de rapoarte privind bolnavii externati, raportari de la CSBT, raportări de la Serviciul Control in Sanatate Publica</w:t>
      </w:r>
    </w:p>
    <w:p>
      <w:pPr>
        <w:pStyle w:val="BodyText"/>
        <w:spacing w:before="1"/>
        <w:ind w:left="0"/>
      </w:pPr>
    </w:p>
    <w:p>
      <w:pPr>
        <w:pStyle w:val="Heading1"/>
        <w:ind w:left="680"/>
        <w:jc w:val="both"/>
        <w:rPr>
          <w:u w:val="none"/>
        </w:rPr>
      </w:pPr>
      <w:r>
        <w:rPr>
          <w:u w:val="none"/>
        </w:rPr>
        <w:t>Evidenţa gravidelor (în evidenţa medicului de familie):</w:t>
      </w:r>
    </w:p>
    <w:p>
      <w:pPr>
        <w:pStyle w:val="BodyText"/>
        <w:spacing w:before="1"/>
        <w:ind w:left="0"/>
        <w:rPr>
          <w:b/>
        </w:rPr>
      </w:pPr>
    </w:p>
    <w:p>
      <w:pPr>
        <w:spacing w:before="0"/>
        <w:ind w:left="564" w:right="9259" w:firstLine="0"/>
        <w:jc w:val="left"/>
        <w:rPr>
          <w:b/>
          <w:sz w:val="20"/>
        </w:rPr>
      </w:pPr>
      <w:r>
        <w:rPr>
          <w:b/>
          <w:sz w:val="20"/>
        </w:rPr>
        <w:t>CAP.1 EVIDENŢA GRAVIDELOR</w:t>
      </w:r>
    </w:p>
    <w:tbl>
      <w:tblPr>
        <w:tblW w:w="0" w:type="auto"/>
        <w:jc w:val="left"/>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93"/>
        <w:gridCol w:w="1336"/>
        <w:gridCol w:w="857"/>
        <w:gridCol w:w="926"/>
        <w:gridCol w:w="866"/>
        <w:gridCol w:w="866"/>
        <w:gridCol w:w="866"/>
        <w:gridCol w:w="867"/>
        <w:gridCol w:w="866"/>
        <w:gridCol w:w="892"/>
        <w:gridCol w:w="895"/>
      </w:tblGrid>
      <w:tr>
        <w:trPr>
          <w:trHeight w:val="301" w:hRule="atLeast"/>
        </w:trPr>
        <w:tc>
          <w:tcPr>
            <w:tcW w:w="893" w:type="dxa"/>
            <w:vMerge w:val="restart"/>
            <w:tcBorders>
              <w:bottom w:val="single" w:sz="4" w:space="0" w:color="000000"/>
              <w:right w:val="single" w:sz="4" w:space="0" w:color="000000"/>
            </w:tcBorders>
          </w:tcPr>
          <w:p>
            <w:pPr>
              <w:pStyle w:val="TableParagraph"/>
              <w:rPr>
                <w:b/>
                <w:sz w:val="22"/>
              </w:rPr>
            </w:pPr>
          </w:p>
          <w:p>
            <w:pPr>
              <w:pStyle w:val="TableParagraph"/>
              <w:spacing w:before="1"/>
              <w:rPr>
                <w:b/>
                <w:sz w:val="28"/>
              </w:rPr>
            </w:pPr>
          </w:p>
          <w:p>
            <w:pPr>
              <w:pStyle w:val="TableParagraph"/>
              <w:ind w:left="167"/>
              <w:rPr>
                <w:sz w:val="20"/>
              </w:rPr>
            </w:pPr>
            <w:r>
              <w:rPr>
                <w:sz w:val="20"/>
              </w:rPr>
              <w:t>ANUL</w:t>
            </w:r>
          </w:p>
        </w:tc>
        <w:tc>
          <w:tcPr>
            <w:tcW w:w="1336"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ind w:left="237" w:right="217" w:firstLine="3"/>
              <w:jc w:val="center"/>
              <w:rPr>
                <w:sz w:val="20"/>
              </w:rPr>
            </w:pPr>
            <w:r>
              <w:rPr>
                <w:sz w:val="20"/>
              </w:rPr>
              <w:t>Aflate în evidenţă la începutul anului</w:t>
            </w:r>
          </w:p>
        </w:tc>
        <w:tc>
          <w:tcPr>
            <w:tcW w:w="6114" w:type="dxa"/>
            <w:gridSpan w:val="7"/>
            <w:tcBorders>
              <w:left w:val="single" w:sz="4" w:space="0" w:color="000000"/>
              <w:bottom w:val="single" w:sz="4" w:space="0" w:color="000000"/>
              <w:right w:val="single" w:sz="4" w:space="0" w:color="000000"/>
            </w:tcBorders>
          </w:tcPr>
          <w:p>
            <w:pPr>
              <w:pStyle w:val="TableParagraph"/>
              <w:spacing w:line="210" w:lineRule="exact" w:before="72"/>
              <w:ind w:left="2122" w:right="2103"/>
              <w:jc w:val="center"/>
              <w:rPr>
                <w:sz w:val="20"/>
              </w:rPr>
            </w:pPr>
            <w:r>
              <w:rPr>
                <w:sz w:val="20"/>
              </w:rPr>
              <w:t>Nou intrate in evidenta</w:t>
            </w:r>
          </w:p>
        </w:tc>
        <w:tc>
          <w:tcPr>
            <w:tcW w:w="892" w:type="dxa"/>
            <w:vMerge w:val="restart"/>
            <w:tcBorders>
              <w:left w:val="single" w:sz="4" w:space="0" w:color="000000"/>
              <w:bottom w:val="single" w:sz="4" w:space="0" w:color="000000"/>
              <w:right w:val="single" w:sz="4" w:space="0" w:color="000000"/>
            </w:tcBorders>
          </w:tcPr>
          <w:p>
            <w:pPr>
              <w:pStyle w:val="TableParagraph"/>
              <w:rPr>
                <w:b/>
                <w:sz w:val="30"/>
              </w:rPr>
            </w:pPr>
          </w:p>
          <w:p>
            <w:pPr>
              <w:pStyle w:val="TableParagraph"/>
              <w:ind w:left="116" w:right="89" w:hanging="1"/>
              <w:jc w:val="center"/>
              <w:rPr>
                <w:sz w:val="20"/>
              </w:rPr>
            </w:pPr>
            <w:r>
              <w:rPr>
                <w:sz w:val="20"/>
              </w:rPr>
              <w:t>Scoase din </w:t>
            </w:r>
            <w:r>
              <w:rPr>
                <w:spacing w:val="-1"/>
                <w:sz w:val="20"/>
              </w:rPr>
              <w:t>evidenţă</w:t>
            </w:r>
          </w:p>
        </w:tc>
        <w:tc>
          <w:tcPr>
            <w:tcW w:w="895" w:type="dxa"/>
            <w:vMerge w:val="restart"/>
            <w:tcBorders>
              <w:left w:val="single" w:sz="4" w:space="0" w:color="000000"/>
              <w:bottom w:val="single" w:sz="4" w:space="0" w:color="000000"/>
            </w:tcBorders>
          </w:tcPr>
          <w:p>
            <w:pPr>
              <w:pStyle w:val="TableParagraph"/>
              <w:ind w:left="117" w:right="86" w:hanging="1"/>
              <w:jc w:val="center"/>
              <w:rPr>
                <w:sz w:val="20"/>
              </w:rPr>
            </w:pPr>
            <w:r>
              <w:rPr>
                <w:sz w:val="20"/>
              </w:rPr>
              <w:t>Ramase în   </w:t>
            </w:r>
            <w:r>
              <w:rPr>
                <w:spacing w:val="-1"/>
                <w:sz w:val="20"/>
              </w:rPr>
              <w:t>evidenţă </w:t>
            </w:r>
            <w:r>
              <w:rPr>
                <w:sz w:val="20"/>
              </w:rPr>
              <w:t>la   sfâr</w:t>
            </w:r>
            <w:r>
              <w:rPr>
                <w:rFonts w:ascii="Cambria Math" w:hAnsi="Cambria Math"/>
                <w:sz w:val="20"/>
              </w:rPr>
              <w:t>ș</w:t>
            </w:r>
            <w:r>
              <w:rPr>
                <w:sz w:val="20"/>
              </w:rPr>
              <w:t>itul</w:t>
            </w:r>
          </w:p>
          <w:p>
            <w:pPr>
              <w:pStyle w:val="TableParagraph"/>
              <w:spacing w:line="210" w:lineRule="exact"/>
              <w:ind w:left="184" w:right="155"/>
              <w:jc w:val="center"/>
              <w:rPr>
                <w:sz w:val="20"/>
              </w:rPr>
            </w:pPr>
            <w:r>
              <w:rPr>
                <w:sz w:val="20"/>
              </w:rPr>
              <w:t>anului</w:t>
            </w:r>
          </w:p>
        </w:tc>
      </w:tr>
      <w:tr>
        <w:trPr>
          <w:trHeight w:val="470" w:hRule="atLeast"/>
        </w:trPr>
        <w:tc>
          <w:tcPr>
            <w:tcW w:w="893" w:type="dxa"/>
            <w:vMerge/>
            <w:tcBorders>
              <w:top w:val="nil"/>
              <w:bottom w:val="single" w:sz="4" w:space="0" w:color="000000"/>
              <w:right w:val="single" w:sz="4" w:space="0" w:color="000000"/>
            </w:tcBorders>
          </w:tcPr>
          <w:p>
            <w:pPr>
              <w:rPr>
                <w:sz w:val="2"/>
                <w:szCs w:val="2"/>
              </w:rPr>
            </w:pPr>
          </w:p>
        </w:tc>
        <w:tc>
          <w:tcPr>
            <w:tcW w:w="1336"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72"/>
              <w:ind w:left="221"/>
              <w:rPr>
                <w:sz w:val="20"/>
              </w:rPr>
            </w:pPr>
            <w:r>
              <w:rPr>
                <w:sz w:val="20"/>
              </w:rPr>
              <w:t>Total</w:t>
            </w:r>
          </w:p>
        </w:tc>
        <w:tc>
          <w:tcPr>
            <w:tcW w:w="92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b/>
                <w:sz w:val="27"/>
              </w:rPr>
            </w:pPr>
          </w:p>
          <w:p>
            <w:pPr>
              <w:pStyle w:val="TableParagraph"/>
              <w:spacing w:before="1"/>
              <w:ind w:left="114" w:right="71" w:firstLine="182"/>
              <w:rPr>
                <w:sz w:val="20"/>
              </w:rPr>
            </w:pPr>
            <w:r>
              <w:rPr>
                <w:sz w:val="20"/>
              </w:rPr>
              <w:t>Nou depistate</w:t>
            </w:r>
          </w:p>
        </w:tc>
        <w:tc>
          <w:tcPr>
            <w:tcW w:w="86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7"/>
              <w:ind w:left="126" w:right="100" w:hanging="2"/>
              <w:jc w:val="center"/>
              <w:rPr>
                <w:sz w:val="20"/>
              </w:rPr>
            </w:pPr>
            <w:r>
              <w:rPr>
                <w:sz w:val="20"/>
              </w:rPr>
              <w:t>din care: cu risc</w:t>
            </w:r>
          </w:p>
        </w:tc>
        <w:tc>
          <w:tcPr>
            <w:tcW w:w="2599"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10"/>
              <w:ind w:left="1012" w:hanging="574"/>
              <w:rPr>
                <w:sz w:val="20"/>
              </w:rPr>
            </w:pPr>
            <w:r>
              <w:rPr>
                <w:sz w:val="20"/>
              </w:rPr>
              <w:t>Nou depistate după luna sarcinii</w:t>
            </w:r>
          </w:p>
        </w:tc>
        <w:tc>
          <w:tcPr>
            <w:tcW w:w="86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7"/>
              <w:ind w:left="139" w:right="114" w:firstLine="36"/>
              <w:jc w:val="both"/>
              <w:rPr>
                <w:sz w:val="20"/>
              </w:rPr>
            </w:pPr>
            <w:r>
              <w:rPr>
                <w:sz w:val="20"/>
              </w:rPr>
              <w:t>Venite din alte teritorii</w:t>
            </w:r>
          </w:p>
        </w:tc>
        <w:tc>
          <w:tcPr>
            <w:tcW w:w="892" w:type="dxa"/>
            <w:vMerge/>
            <w:tcBorders>
              <w:top w:val="nil"/>
              <w:left w:val="single" w:sz="4" w:space="0" w:color="000000"/>
              <w:bottom w:val="single" w:sz="4" w:space="0" w:color="000000"/>
              <w:right w:val="single" w:sz="4" w:space="0" w:color="000000"/>
            </w:tcBorders>
          </w:tcPr>
          <w:p>
            <w:pPr>
              <w:rPr>
                <w:sz w:val="2"/>
                <w:szCs w:val="2"/>
              </w:rPr>
            </w:pPr>
          </w:p>
        </w:tc>
        <w:tc>
          <w:tcPr>
            <w:tcW w:w="895" w:type="dxa"/>
            <w:vMerge/>
            <w:tcBorders>
              <w:top w:val="nil"/>
              <w:left w:val="single" w:sz="4" w:space="0" w:color="000000"/>
              <w:bottom w:val="single" w:sz="4" w:space="0" w:color="000000"/>
            </w:tcBorders>
          </w:tcPr>
          <w:p>
            <w:pPr>
              <w:rPr>
                <w:sz w:val="2"/>
                <w:szCs w:val="2"/>
              </w:rPr>
            </w:pPr>
          </w:p>
        </w:tc>
      </w:tr>
      <w:tr>
        <w:trPr>
          <w:trHeight w:val="592" w:hRule="atLeast"/>
        </w:trPr>
        <w:tc>
          <w:tcPr>
            <w:tcW w:w="893" w:type="dxa"/>
            <w:vMerge/>
            <w:tcBorders>
              <w:top w:val="nil"/>
              <w:bottom w:val="single" w:sz="4" w:space="0" w:color="000000"/>
              <w:right w:val="single" w:sz="4" w:space="0" w:color="000000"/>
            </w:tcBorders>
          </w:tcPr>
          <w:p>
            <w:pPr>
              <w:rPr>
                <w:sz w:val="2"/>
                <w:szCs w:val="2"/>
              </w:rPr>
            </w:pPr>
          </w:p>
        </w:tc>
        <w:tc>
          <w:tcPr>
            <w:tcW w:w="1336"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26" w:type="dxa"/>
            <w:vMerge/>
            <w:tcBorders>
              <w:top w:val="nil"/>
              <w:left w:val="single" w:sz="4" w:space="0" w:color="000000"/>
              <w:bottom w:val="single" w:sz="4" w:space="0" w:color="000000"/>
              <w:right w:val="single" w:sz="4" w:space="0" w:color="000000"/>
            </w:tcBorders>
          </w:tcPr>
          <w:p>
            <w:pPr>
              <w:rPr>
                <w:sz w:val="2"/>
                <w:szCs w:val="2"/>
              </w:rPr>
            </w:pPr>
          </w:p>
        </w:tc>
        <w:tc>
          <w:tcPr>
            <w:tcW w:w="866" w:type="dxa"/>
            <w:vMerge/>
            <w:tcBorders>
              <w:top w:val="nil"/>
              <w:left w:val="single" w:sz="4" w:space="0" w:color="000000"/>
              <w:bottom w:val="single" w:sz="4" w:space="0" w:color="000000"/>
              <w:right w:val="single" w:sz="4" w:space="0" w:color="000000"/>
            </w:tcBorders>
          </w:tcPr>
          <w:p>
            <w:pPr>
              <w:rPr>
                <w:sz w:val="2"/>
                <w:szCs w:val="2"/>
              </w:rPr>
            </w:pPr>
          </w:p>
        </w:tc>
        <w:tc>
          <w:tcPr>
            <w:tcW w:w="259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6"/>
              <w:rPr>
                <w:b/>
                <w:sz w:val="31"/>
              </w:rPr>
            </w:pPr>
          </w:p>
          <w:p>
            <w:pPr>
              <w:pStyle w:val="TableParagraph"/>
              <w:tabs>
                <w:tab w:pos="1120" w:val="left" w:leader="none"/>
                <w:tab w:pos="1953" w:val="left" w:leader="none"/>
              </w:tabs>
              <w:spacing w:line="210" w:lineRule="exact"/>
              <w:ind w:left="297"/>
              <w:rPr>
                <w:sz w:val="20"/>
              </w:rPr>
            </w:pPr>
            <w:r>
              <w:rPr>
                <w:sz w:val="20"/>
              </w:rPr>
              <w:t>I-III</w:t>
              <w:tab/>
              <w:t>IV-V</w:t>
              <w:tab/>
              <w:t>VI-IX</w:t>
            </w:r>
          </w:p>
        </w:tc>
        <w:tc>
          <w:tcPr>
            <w:tcW w:w="866" w:type="dxa"/>
            <w:vMerge/>
            <w:tcBorders>
              <w:top w:val="nil"/>
              <w:left w:val="single" w:sz="4" w:space="0" w:color="000000"/>
              <w:bottom w:val="single" w:sz="4" w:space="0" w:color="000000"/>
              <w:right w:val="single" w:sz="4" w:space="0" w:color="000000"/>
            </w:tcBorders>
          </w:tcPr>
          <w:p>
            <w:pPr>
              <w:rPr>
                <w:sz w:val="2"/>
                <w:szCs w:val="2"/>
              </w:rPr>
            </w:pPr>
          </w:p>
        </w:tc>
        <w:tc>
          <w:tcPr>
            <w:tcW w:w="892" w:type="dxa"/>
            <w:vMerge/>
            <w:tcBorders>
              <w:top w:val="nil"/>
              <w:left w:val="single" w:sz="4" w:space="0" w:color="000000"/>
              <w:bottom w:val="single" w:sz="4" w:space="0" w:color="000000"/>
              <w:right w:val="single" w:sz="4" w:space="0" w:color="000000"/>
            </w:tcBorders>
          </w:tcPr>
          <w:p>
            <w:pPr>
              <w:rPr>
                <w:sz w:val="2"/>
                <w:szCs w:val="2"/>
              </w:rPr>
            </w:pPr>
          </w:p>
        </w:tc>
        <w:tc>
          <w:tcPr>
            <w:tcW w:w="895" w:type="dxa"/>
            <w:vMerge/>
            <w:tcBorders>
              <w:top w:val="nil"/>
              <w:left w:val="single" w:sz="4" w:space="0" w:color="000000"/>
              <w:bottom w:val="single" w:sz="4" w:space="0" w:color="000000"/>
            </w:tcBorders>
          </w:tcPr>
          <w:p>
            <w:pPr>
              <w:rPr>
                <w:sz w:val="2"/>
                <w:szCs w:val="2"/>
              </w:rPr>
            </w:pPr>
          </w:p>
        </w:tc>
      </w:tr>
      <w:tr>
        <w:trPr>
          <w:trHeight w:val="301" w:hRule="atLeast"/>
        </w:trPr>
        <w:tc>
          <w:tcPr>
            <w:tcW w:w="893" w:type="dxa"/>
            <w:tcBorders>
              <w:top w:val="single" w:sz="4" w:space="0" w:color="000000"/>
              <w:bottom w:val="single" w:sz="4" w:space="0" w:color="000000"/>
              <w:right w:val="single" w:sz="4" w:space="0" w:color="000000"/>
            </w:tcBorders>
          </w:tcPr>
          <w:p>
            <w:pPr>
              <w:pStyle w:val="TableParagraph"/>
              <w:spacing w:before="36"/>
              <w:ind w:left="14"/>
              <w:jc w:val="center"/>
              <w:rPr>
                <w:sz w:val="20"/>
              </w:rPr>
            </w:pPr>
            <w:r>
              <w:rPr>
                <w:w w:val="99"/>
                <w:sz w:val="20"/>
              </w:rPr>
              <w:t>A</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spacing w:before="36"/>
              <w:ind w:left="16"/>
              <w:jc w:val="center"/>
              <w:rPr>
                <w:sz w:val="20"/>
              </w:rPr>
            </w:pPr>
            <w:r>
              <w:rPr>
                <w:w w:val="99"/>
                <w:sz w:val="20"/>
              </w:rPr>
              <w:t>1</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36"/>
              <w:ind w:left="18"/>
              <w:jc w:val="center"/>
              <w:rPr>
                <w:sz w:val="20"/>
              </w:rPr>
            </w:pPr>
            <w:r>
              <w:rPr>
                <w:w w:val="99"/>
                <w:sz w:val="20"/>
              </w:rPr>
              <w:t>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36"/>
              <w:ind w:left="21"/>
              <w:jc w:val="center"/>
              <w:rPr>
                <w:sz w:val="20"/>
              </w:rPr>
            </w:pPr>
            <w:r>
              <w:rPr>
                <w:w w:val="99"/>
                <w:sz w:val="20"/>
              </w:rPr>
              <w:t>3</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6"/>
              <w:ind w:left="19"/>
              <w:jc w:val="center"/>
              <w:rPr>
                <w:sz w:val="20"/>
              </w:rPr>
            </w:pPr>
            <w:r>
              <w:rPr>
                <w:w w:val="99"/>
                <w:sz w:val="20"/>
              </w:rPr>
              <w:t>4</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72"/>
              <w:ind w:left="21"/>
              <w:jc w:val="center"/>
              <w:rPr>
                <w:sz w:val="20"/>
              </w:rPr>
            </w:pPr>
            <w:r>
              <w:rPr>
                <w:w w:val="99"/>
                <w:sz w:val="20"/>
              </w:rPr>
              <w:t>5</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72"/>
              <w:ind w:left="22"/>
              <w:jc w:val="center"/>
              <w:rPr>
                <w:sz w:val="20"/>
              </w:rPr>
            </w:pPr>
            <w:r>
              <w:rPr>
                <w:w w:val="99"/>
                <w:sz w:val="20"/>
              </w:rPr>
              <w:t>6</w:t>
            </w: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72"/>
              <w:ind w:left="21"/>
              <w:jc w:val="center"/>
              <w:rPr>
                <w:sz w:val="20"/>
              </w:rPr>
            </w:pPr>
            <w:r>
              <w:rPr>
                <w:w w:val="99"/>
                <w:sz w:val="20"/>
              </w:rPr>
              <w:t>7</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6"/>
              <w:ind w:left="22"/>
              <w:jc w:val="center"/>
              <w:rPr>
                <w:sz w:val="20"/>
              </w:rPr>
            </w:pPr>
            <w:r>
              <w:rPr>
                <w:w w:val="99"/>
                <w:sz w:val="20"/>
              </w:rPr>
              <w:t>8</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jc w:val="center"/>
              <w:rPr>
                <w:sz w:val="20"/>
              </w:rPr>
            </w:pPr>
            <w:r>
              <w:rPr>
                <w:w w:val="99"/>
                <w:sz w:val="20"/>
              </w:rPr>
              <w:t>9</w:t>
            </w:r>
          </w:p>
        </w:tc>
        <w:tc>
          <w:tcPr>
            <w:tcW w:w="895" w:type="dxa"/>
            <w:tcBorders>
              <w:top w:val="single" w:sz="4" w:space="0" w:color="000000"/>
              <w:left w:val="single" w:sz="4" w:space="0" w:color="000000"/>
              <w:bottom w:val="single" w:sz="4" w:space="0" w:color="000000"/>
            </w:tcBorders>
          </w:tcPr>
          <w:p>
            <w:pPr>
              <w:pStyle w:val="TableParagraph"/>
              <w:spacing w:before="36"/>
              <w:ind w:left="184" w:right="152"/>
              <w:jc w:val="center"/>
              <w:rPr>
                <w:sz w:val="20"/>
              </w:rPr>
            </w:pPr>
            <w:r>
              <w:rPr>
                <w:sz w:val="20"/>
              </w:rPr>
              <w:t>10</w:t>
            </w:r>
          </w:p>
        </w:tc>
      </w:tr>
      <w:tr>
        <w:trPr>
          <w:trHeight w:val="318" w:hRule="atLeast"/>
        </w:trPr>
        <w:tc>
          <w:tcPr>
            <w:tcW w:w="893" w:type="dxa"/>
            <w:tcBorders>
              <w:top w:val="single" w:sz="4" w:space="0" w:color="000000"/>
              <w:right w:val="single" w:sz="4" w:space="0" w:color="000000"/>
            </w:tcBorders>
          </w:tcPr>
          <w:p>
            <w:pPr>
              <w:pStyle w:val="TableParagraph"/>
              <w:spacing w:before="55"/>
              <w:ind w:right="228"/>
              <w:jc w:val="right"/>
              <w:rPr>
                <w:b/>
                <w:sz w:val="20"/>
              </w:rPr>
            </w:pPr>
            <w:r>
              <w:rPr>
                <w:b/>
                <w:sz w:val="20"/>
              </w:rPr>
              <w:t>2015</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spacing w:before="55"/>
              <w:ind w:left="454" w:right="432"/>
              <w:jc w:val="center"/>
              <w:rPr>
                <w:b/>
                <w:sz w:val="20"/>
              </w:rPr>
            </w:pPr>
            <w:r>
              <w:rPr>
                <w:b/>
                <w:sz w:val="20"/>
              </w:rPr>
              <w:t>5871</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55"/>
              <w:ind w:left="163" w:right="144"/>
              <w:jc w:val="center"/>
              <w:rPr>
                <w:b/>
                <w:sz w:val="20"/>
              </w:rPr>
            </w:pPr>
            <w:r>
              <w:rPr>
                <w:b/>
                <w:sz w:val="20"/>
              </w:rPr>
              <w:t>10510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55"/>
              <w:ind w:left="199" w:right="177"/>
              <w:jc w:val="center"/>
              <w:rPr>
                <w:b/>
                <w:sz w:val="20"/>
              </w:rPr>
            </w:pPr>
            <w:r>
              <w:rPr>
                <w:b/>
                <w:sz w:val="20"/>
              </w:rPr>
              <w:t>10172</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19" w:right="194"/>
              <w:jc w:val="center"/>
              <w:rPr>
                <w:b/>
                <w:sz w:val="20"/>
              </w:rPr>
            </w:pPr>
            <w:r>
              <w:rPr>
                <w:b/>
                <w:sz w:val="20"/>
              </w:rPr>
              <w:t>481</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4"/>
              <w:jc w:val="center"/>
              <w:rPr>
                <w:b/>
                <w:sz w:val="20"/>
              </w:rPr>
            </w:pPr>
            <w:r>
              <w:rPr>
                <w:b/>
                <w:sz w:val="20"/>
              </w:rPr>
              <w:t>6776</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3"/>
              <w:jc w:val="center"/>
              <w:rPr>
                <w:b/>
                <w:sz w:val="20"/>
              </w:rPr>
            </w:pPr>
            <w:r>
              <w:rPr>
                <w:b/>
                <w:sz w:val="20"/>
              </w:rPr>
              <w:t>1914</w:t>
            </w: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before="55"/>
              <w:ind w:left="222" w:right="195"/>
              <w:jc w:val="center"/>
              <w:rPr>
                <w:b/>
                <w:sz w:val="20"/>
              </w:rPr>
            </w:pPr>
            <w:r>
              <w:rPr>
                <w:b/>
                <w:sz w:val="20"/>
              </w:rPr>
              <w:t>1482</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3"/>
              <w:jc w:val="center"/>
              <w:rPr>
                <w:b/>
                <w:sz w:val="20"/>
              </w:rPr>
            </w:pPr>
            <w:r>
              <w:rPr>
                <w:b/>
                <w:sz w:val="20"/>
              </w:rPr>
              <w:t>338</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spacing w:before="55"/>
              <w:ind w:left="185" w:right="157"/>
              <w:jc w:val="center"/>
              <w:rPr>
                <w:b/>
                <w:sz w:val="20"/>
              </w:rPr>
            </w:pPr>
            <w:r>
              <w:rPr>
                <w:b/>
                <w:sz w:val="20"/>
              </w:rPr>
              <w:t>10290</w:t>
            </w:r>
          </w:p>
        </w:tc>
        <w:tc>
          <w:tcPr>
            <w:tcW w:w="895" w:type="dxa"/>
            <w:tcBorders>
              <w:top w:val="single" w:sz="4" w:space="0" w:color="000000"/>
              <w:left w:val="single" w:sz="4" w:space="0" w:color="000000"/>
              <w:bottom w:val="single" w:sz="4" w:space="0" w:color="000000"/>
              <w:right w:val="single" w:sz="4" w:space="0" w:color="000000"/>
            </w:tcBorders>
          </w:tcPr>
          <w:p>
            <w:pPr>
              <w:pStyle w:val="TableParagraph"/>
              <w:spacing w:before="55"/>
              <w:ind w:left="236" w:right="209"/>
              <w:jc w:val="center"/>
              <w:rPr>
                <w:b/>
                <w:sz w:val="20"/>
              </w:rPr>
            </w:pPr>
            <w:r>
              <w:rPr>
                <w:b/>
                <w:sz w:val="20"/>
              </w:rPr>
              <w:t>6091</w:t>
            </w:r>
          </w:p>
        </w:tc>
      </w:tr>
      <w:tr>
        <w:trPr>
          <w:trHeight w:val="318" w:hRule="atLeast"/>
        </w:trPr>
        <w:tc>
          <w:tcPr>
            <w:tcW w:w="893" w:type="dxa"/>
            <w:tcBorders>
              <w:right w:val="single" w:sz="4" w:space="0" w:color="000000"/>
            </w:tcBorders>
          </w:tcPr>
          <w:p>
            <w:pPr>
              <w:pStyle w:val="TableParagraph"/>
              <w:spacing w:before="55"/>
              <w:ind w:right="228"/>
              <w:jc w:val="right"/>
              <w:rPr>
                <w:b/>
                <w:sz w:val="20"/>
              </w:rPr>
            </w:pPr>
            <w:r>
              <w:rPr>
                <w:b/>
                <w:sz w:val="20"/>
              </w:rPr>
              <w:t>2016</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spacing w:before="55"/>
              <w:ind w:left="454" w:right="432"/>
              <w:jc w:val="center"/>
              <w:rPr>
                <w:b/>
                <w:sz w:val="20"/>
              </w:rPr>
            </w:pPr>
            <w:r>
              <w:rPr>
                <w:b/>
                <w:sz w:val="20"/>
              </w:rPr>
              <w:t>6091</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55"/>
              <w:ind w:left="163" w:right="144"/>
              <w:jc w:val="center"/>
              <w:rPr>
                <w:b/>
                <w:sz w:val="20"/>
              </w:rPr>
            </w:pPr>
            <w:r>
              <w:rPr>
                <w:b/>
                <w:sz w:val="20"/>
              </w:rPr>
              <w:t>10264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55"/>
              <w:ind w:left="199" w:right="177"/>
              <w:jc w:val="center"/>
              <w:rPr>
                <w:b/>
                <w:sz w:val="20"/>
              </w:rPr>
            </w:pPr>
            <w:r>
              <w:rPr>
                <w:b/>
                <w:sz w:val="20"/>
              </w:rPr>
              <w:t>9767</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19" w:right="194"/>
              <w:jc w:val="center"/>
              <w:rPr>
                <w:b/>
                <w:sz w:val="20"/>
              </w:rPr>
            </w:pPr>
            <w:r>
              <w:rPr>
                <w:b/>
                <w:sz w:val="20"/>
              </w:rPr>
              <w:t>310</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4"/>
              <w:jc w:val="center"/>
              <w:rPr>
                <w:b/>
                <w:sz w:val="20"/>
              </w:rPr>
            </w:pPr>
            <w:r>
              <w:rPr>
                <w:b/>
                <w:sz w:val="20"/>
              </w:rPr>
              <w:t>6700</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3"/>
              <w:jc w:val="center"/>
              <w:rPr>
                <w:b/>
                <w:sz w:val="20"/>
              </w:rPr>
            </w:pPr>
            <w:r>
              <w:rPr>
                <w:b/>
                <w:sz w:val="20"/>
              </w:rPr>
              <w:t>1719</w:t>
            </w: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before="55"/>
              <w:ind w:left="222" w:right="195"/>
              <w:jc w:val="center"/>
              <w:rPr>
                <w:b/>
                <w:sz w:val="20"/>
              </w:rPr>
            </w:pPr>
            <w:r>
              <w:rPr>
                <w:b/>
                <w:sz w:val="20"/>
              </w:rPr>
              <w:t>1348</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55"/>
              <w:ind w:left="221" w:right="193"/>
              <w:jc w:val="center"/>
              <w:rPr>
                <w:b/>
                <w:sz w:val="20"/>
              </w:rPr>
            </w:pPr>
            <w:r>
              <w:rPr>
                <w:b/>
                <w:sz w:val="20"/>
              </w:rPr>
              <w:t>497</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spacing w:before="55"/>
              <w:ind w:left="184" w:right="157"/>
              <w:jc w:val="center"/>
              <w:rPr>
                <w:b/>
                <w:sz w:val="20"/>
              </w:rPr>
            </w:pPr>
            <w:r>
              <w:rPr>
                <w:b/>
                <w:sz w:val="20"/>
              </w:rPr>
              <w:t>9782</w:t>
            </w:r>
          </w:p>
        </w:tc>
        <w:tc>
          <w:tcPr>
            <w:tcW w:w="895" w:type="dxa"/>
            <w:tcBorders>
              <w:top w:val="single" w:sz="4" w:space="0" w:color="000000"/>
              <w:left w:val="single" w:sz="4" w:space="0" w:color="000000"/>
              <w:bottom w:val="single" w:sz="4" w:space="0" w:color="000000"/>
              <w:right w:val="single" w:sz="4" w:space="0" w:color="000000"/>
            </w:tcBorders>
          </w:tcPr>
          <w:p>
            <w:pPr>
              <w:pStyle w:val="TableParagraph"/>
              <w:spacing w:before="55"/>
              <w:ind w:left="236" w:right="209"/>
              <w:jc w:val="center"/>
              <w:rPr>
                <w:b/>
                <w:sz w:val="20"/>
              </w:rPr>
            </w:pPr>
            <w:r>
              <w:rPr>
                <w:b/>
                <w:sz w:val="20"/>
              </w:rPr>
              <w:t>6573</w:t>
            </w:r>
          </w:p>
        </w:tc>
      </w:tr>
      <w:tr>
        <w:trPr>
          <w:trHeight w:val="465" w:hRule="atLeast"/>
        </w:trPr>
        <w:tc>
          <w:tcPr>
            <w:tcW w:w="893" w:type="dxa"/>
            <w:tcBorders>
              <w:bottom w:val="single" w:sz="4" w:space="0" w:color="000000"/>
              <w:right w:val="single" w:sz="4" w:space="0" w:color="000000"/>
            </w:tcBorders>
          </w:tcPr>
          <w:p>
            <w:pPr>
              <w:pStyle w:val="TableParagraph"/>
              <w:spacing w:before="6"/>
              <w:rPr>
                <w:b/>
                <w:sz w:val="17"/>
              </w:rPr>
            </w:pPr>
          </w:p>
          <w:p>
            <w:pPr>
              <w:pStyle w:val="TableParagraph"/>
              <w:ind w:left="107"/>
              <w:rPr>
                <w:b/>
                <w:sz w:val="20"/>
              </w:rPr>
            </w:pPr>
            <w:r>
              <w:rPr>
                <w:b/>
                <w:sz w:val="20"/>
              </w:rPr>
              <w:t>2017</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spacing w:before="3"/>
              <w:ind w:left="454" w:right="432"/>
              <w:jc w:val="center"/>
              <w:rPr>
                <w:b/>
                <w:sz w:val="20"/>
              </w:rPr>
            </w:pPr>
            <w:r>
              <w:rPr>
                <w:b/>
                <w:sz w:val="20"/>
              </w:rPr>
              <w:t>6573</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3"/>
              <w:ind w:left="163" w:right="140"/>
              <w:jc w:val="center"/>
              <w:rPr>
                <w:b/>
                <w:sz w:val="20"/>
              </w:rPr>
            </w:pPr>
            <w:r>
              <w:rPr>
                <w:b/>
                <w:sz w:val="20"/>
              </w:rPr>
              <w:t>9483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3"/>
              <w:ind w:left="199" w:right="177"/>
              <w:jc w:val="center"/>
              <w:rPr>
                <w:b/>
                <w:sz w:val="20"/>
              </w:rPr>
            </w:pPr>
            <w:r>
              <w:rPr>
                <w:b/>
                <w:sz w:val="20"/>
              </w:rPr>
              <w:t>9024</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
              <w:ind w:left="219" w:right="194"/>
              <w:jc w:val="center"/>
              <w:rPr>
                <w:b/>
                <w:sz w:val="20"/>
              </w:rPr>
            </w:pPr>
            <w:r>
              <w:rPr>
                <w:b/>
                <w:sz w:val="20"/>
              </w:rPr>
              <w:t>315</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
              <w:ind w:left="221" w:right="194"/>
              <w:jc w:val="center"/>
              <w:rPr>
                <w:b/>
                <w:sz w:val="20"/>
              </w:rPr>
            </w:pPr>
            <w:r>
              <w:rPr>
                <w:b/>
                <w:sz w:val="20"/>
              </w:rPr>
              <w:t>6281</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
              <w:ind w:left="221" w:right="193"/>
              <w:jc w:val="center"/>
              <w:rPr>
                <w:b/>
                <w:sz w:val="20"/>
              </w:rPr>
            </w:pPr>
            <w:r>
              <w:rPr>
                <w:b/>
                <w:sz w:val="20"/>
              </w:rPr>
              <w:t>1514</w:t>
            </w: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before="3"/>
              <w:ind w:left="222" w:right="195"/>
              <w:jc w:val="center"/>
              <w:rPr>
                <w:b/>
                <w:sz w:val="20"/>
              </w:rPr>
            </w:pPr>
            <w:r>
              <w:rPr>
                <w:b/>
                <w:sz w:val="20"/>
              </w:rPr>
              <w:t>1229</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before="3"/>
              <w:ind w:left="221" w:right="193"/>
              <w:jc w:val="center"/>
              <w:rPr>
                <w:b/>
                <w:sz w:val="20"/>
              </w:rPr>
            </w:pPr>
            <w:r>
              <w:rPr>
                <w:b/>
                <w:sz w:val="20"/>
              </w:rPr>
              <w:t>459</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spacing w:before="3"/>
              <w:ind w:left="184" w:right="157"/>
              <w:jc w:val="center"/>
              <w:rPr>
                <w:b/>
                <w:sz w:val="20"/>
              </w:rPr>
            </w:pPr>
            <w:r>
              <w:rPr>
                <w:b/>
                <w:sz w:val="20"/>
              </w:rPr>
              <w:t>9584</w:t>
            </w:r>
          </w:p>
        </w:tc>
        <w:tc>
          <w:tcPr>
            <w:tcW w:w="895" w:type="dxa"/>
            <w:tcBorders>
              <w:top w:val="single" w:sz="4" w:space="0" w:color="000000"/>
              <w:left w:val="single" w:sz="4" w:space="0" w:color="000000"/>
              <w:bottom w:val="single" w:sz="4" w:space="0" w:color="000000"/>
            </w:tcBorders>
          </w:tcPr>
          <w:p>
            <w:pPr>
              <w:pStyle w:val="TableParagraph"/>
              <w:spacing w:before="3"/>
              <w:ind w:left="184" w:right="152"/>
              <w:jc w:val="center"/>
              <w:rPr>
                <w:b/>
                <w:sz w:val="20"/>
              </w:rPr>
            </w:pPr>
            <w:r>
              <w:rPr>
                <w:b/>
                <w:sz w:val="20"/>
              </w:rPr>
              <w:t>6472</w:t>
            </w:r>
          </w:p>
        </w:tc>
      </w:tr>
    </w:tbl>
    <w:p>
      <w:pPr>
        <w:pStyle w:val="BodyText"/>
        <w:spacing w:before="10"/>
        <w:ind w:left="0"/>
        <w:rPr>
          <w:b/>
          <w:sz w:val="23"/>
        </w:rPr>
      </w:pPr>
    </w:p>
    <w:p>
      <w:pPr>
        <w:pStyle w:val="BodyText"/>
        <w:ind w:right="1144"/>
        <w:jc w:val="both"/>
      </w:pPr>
      <w:r>
        <w:rPr/>
        <w:t>În anul 2017 au fost luate in evidenta 9024 gravide noi comparativ cu 9767 gravide nou luate in evidenta in anul 2016.</w:t>
      </w:r>
    </w:p>
    <w:p>
      <w:pPr>
        <w:pStyle w:val="BodyText"/>
        <w:ind w:right="1140"/>
        <w:jc w:val="both"/>
      </w:pPr>
      <w:r>
        <w:rPr/>
        <w:t>În anul 2017 au ramas in evidenta 6472 gravide comparativ cu 6573 gravide ramase in evidenta la sfarsitul anului 2016.</w:t>
      </w:r>
    </w:p>
    <w:p>
      <w:pPr>
        <w:pStyle w:val="BodyText"/>
        <w:spacing w:before="6"/>
        <w:ind w:left="0"/>
        <w:rPr>
          <w:sz w:val="20"/>
        </w:rPr>
      </w:pPr>
      <w:r>
        <w:rPr/>
        <w:drawing>
          <wp:anchor distT="0" distB="0" distL="0" distR="0" allowOverlap="1" layoutInCell="1" locked="0" behindDoc="0" simplePos="0" relativeHeight="289">
            <wp:simplePos x="0" y="0"/>
            <wp:positionH relativeFrom="page">
              <wp:posOffset>985904</wp:posOffset>
            </wp:positionH>
            <wp:positionV relativeFrom="paragraph">
              <wp:posOffset>175143</wp:posOffset>
            </wp:positionV>
            <wp:extent cx="5531805" cy="2133600"/>
            <wp:effectExtent l="0" t="0" r="0" b="0"/>
            <wp:wrapTopAndBottom/>
            <wp:docPr id="9" name="image43.png"/>
            <wp:cNvGraphicFramePr>
              <a:graphicFrameLocks noChangeAspect="1"/>
            </wp:cNvGraphicFramePr>
            <a:graphic>
              <a:graphicData uri="http://schemas.openxmlformats.org/drawingml/2006/picture">
                <pic:pic>
                  <pic:nvPicPr>
                    <pic:cNvPr id="10" name="image43.png"/>
                    <pic:cNvPicPr/>
                  </pic:nvPicPr>
                  <pic:blipFill>
                    <a:blip r:embed="rId53" cstate="print"/>
                    <a:stretch>
                      <a:fillRect/>
                    </a:stretch>
                  </pic:blipFill>
                  <pic:spPr>
                    <a:xfrm>
                      <a:off x="0" y="0"/>
                      <a:ext cx="5531805" cy="2133600"/>
                    </a:xfrm>
                    <a:prstGeom prst="rect">
                      <a:avLst/>
                    </a:prstGeom>
                  </pic:spPr>
                </pic:pic>
              </a:graphicData>
            </a:graphic>
          </wp:anchor>
        </w:drawing>
      </w:r>
    </w:p>
    <w:p>
      <w:pPr>
        <w:pStyle w:val="BodyText"/>
        <w:ind w:left="0"/>
        <w:rPr>
          <w:sz w:val="26"/>
        </w:rPr>
      </w:pPr>
    </w:p>
    <w:p>
      <w:pPr>
        <w:pStyle w:val="BodyText"/>
        <w:spacing w:before="11"/>
        <w:ind w:left="0"/>
        <w:rPr>
          <w:sz w:val="32"/>
        </w:rPr>
      </w:pPr>
    </w:p>
    <w:p>
      <w:pPr>
        <w:pStyle w:val="BodyText"/>
        <w:ind w:left="1040"/>
      </w:pPr>
      <w:r>
        <w:rPr/>
        <w:t>Întreruperea cursului sarcinii (în spitale publice):</w:t>
      </w:r>
    </w:p>
    <w:p>
      <w:pPr>
        <w:spacing w:after="0"/>
        <w:sectPr>
          <w:pgSz w:w="11910" w:h="16840"/>
          <w:pgMar w:header="0" w:footer="658" w:top="1360" w:bottom="920" w:left="400" w:right="0"/>
        </w:sectPr>
      </w:pPr>
    </w:p>
    <w:p>
      <w:pPr>
        <w:pStyle w:val="BodyText"/>
        <w:ind w:left="1400"/>
        <w:rPr>
          <w:sz w:val="20"/>
        </w:rPr>
      </w:pPr>
      <w:r>
        <w:rPr>
          <w:sz w:val="20"/>
        </w:rPr>
        <w:drawing>
          <wp:inline distT="0" distB="0" distL="0" distR="0">
            <wp:extent cx="6361430" cy="1371600"/>
            <wp:effectExtent l="0" t="0" r="0" b="0"/>
            <wp:docPr id="11" name="image44.png"/>
            <wp:cNvGraphicFramePr>
              <a:graphicFrameLocks noChangeAspect="1"/>
            </wp:cNvGraphicFramePr>
            <a:graphic>
              <a:graphicData uri="http://schemas.openxmlformats.org/drawingml/2006/picture">
                <pic:pic>
                  <pic:nvPicPr>
                    <pic:cNvPr id="12" name="image44.png"/>
                    <pic:cNvPicPr/>
                  </pic:nvPicPr>
                  <pic:blipFill>
                    <a:blip r:embed="rId54" cstate="print"/>
                    <a:stretch>
                      <a:fillRect/>
                    </a:stretch>
                  </pic:blipFill>
                  <pic:spPr>
                    <a:xfrm>
                      <a:off x="0" y="0"/>
                      <a:ext cx="6361430" cy="1371600"/>
                    </a:xfrm>
                    <a:prstGeom prst="rect">
                      <a:avLst/>
                    </a:prstGeom>
                  </pic:spPr>
                </pic:pic>
              </a:graphicData>
            </a:graphic>
          </wp:inline>
        </w:drawing>
      </w:r>
      <w:r>
        <w:rPr>
          <w:sz w:val="20"/>
        </w:rPr>
      </w:r>
    </w:p>
    <w:p>
      <w:pPr>
        <w:pStyle w:val="BodyText"/>
        <w:ind w:left="0"/>
        <w:rPr>
          <w:sz w:val="28"/>
        </w:rPr>
      </w:pPr>
    </w:p>
    <w:p>
      <w:pPr>
        <w:spacing w:before="91"/>
        <w:ind w:left="680" w:right="0" w:firstLine="0"/>
        <w:jc w:val="left"/>
        <w:rPr>
          <w:sz w:val="20"/>
        </w:rPr>
      </w:pPr>
      <w:r>
        <w:rPr/>
        <w:drawing>
          <wp:anchor distT="0" distB="0" distL="0" distR="0" allowOverlap="1" layoutInCell="1" locked="0" behindDoc="0" simplePos="0" relativeHeight="290">
            <wp:simplePos x="0" y="0"/>
            <wp:positionH relativeFrom="page">
              <wp:posOffset>685800</wp:posOffset>
            </wp:positionH>
            <wp:positionV relativeFrom="paragraph">
              <wp:posOffset>276427</wp:posOffset>
            </wp:positionV>
            <wp:extent cx="6361430" cy="1190625"/>
            <wp:effectExtent l="0" t="0" r="0" b="0"/>
            <wp:wrapTopAndBottom/>
            <wp:docPr id="13" name="image45.png"/>
            <wp:cNvGraphicFramePr>
              <a:graphicFrameLocks noChangeAspect="1"/>
            </wp:cNvGraphicFramePr>
            <a:graphic>
              <a:graphicData uri="http://schemas.openxmlformats.org/drawingml/2006/picture">
                <pic:pic>
                  <pic:nvPicPr>
                    <pic:cNvPr id="14" name="image45.png"/>
                    <pic:cNvPicPr/>
                  </pic:nvPicPr>
                  <pic:blipFill>
                    <a:blip r:embed="rId55" cstate="print"/>
                    <a:stretch>
                      <a:fillRect/>
                    </a:stretch>
                  </pic:blipFill>
                  <pic:spPr>
                    <a:xfrm>
                      <a:off x="0" y="0"/>
                      <a:ext cx="6361430" cy="1190625"/>
                    </a:xfrm>
                    <a:prstGeom prst="rect">
                      <a:avLst/>
                    </a:prstGeom>
                  </pic:spPr>
                </pic:pic>
              </a:graphicData>
            </a:graphic>
          </wp:anchor>
        </w:drawing>
      </w:r>
      <w:r>
        <w:rPr>
          <w:sz w:val="20"/>
        </w:rPr>
        <w:t>Întreruperea cursului sarcinii (în spitale private)</w:t>
      </w:r>
    </w:p>
    <w:p>
      <w:pPr>
        <w:pStyle w:val="BodyText"/>
        <w:ind w:right="1140"/>
      </w:pPr>
      <w:r>
        <w:rPr/>
        <w:t>In anul 2017 au fost efectuate 1054 intreruperi de sarcina. Remarcam o cre</w:t>
      </w:r>
      <w:r>
        <w:rPr>
          <w:rFonts w:ascii="Tahoma" w:hAnsi="Tahoma"/>
        </w:rPr>
        <w:t>ș</w:t>
      </w:r>
      <w:r>
        <w:rPr/>
        <w:t>tere a intreruperii de sarcina comparativ cu anul 2016 cand am avut 982 in spitalele private.</w:t>
      </w:r>
    </w:p>
    <w:p>
      <w:pPr>
        <w:pStyle w:val="BodyText"/>
        <w:ind w:left="0"/>
      </w:pPr>
    </w:p>
    <w:p>
      <w:pPr>
        <w:pStyle w:val="BodyText"/>
      </w:pPr>
      <w:r>
        <w:rPr/>
        <w:t>Evidenţa bolnavilor de cancer (în cabinetul de oncologie)</w:t>
      </w:r>
    </w:p>
    <w:p>
      <w:pPr>
        <w:pStyle w:val="BodyText"/>
        <w:spacing w:before="8"/>
        <w:ind w:left="0"/>
        <w:rPr>
          <w:sz w:val="8"/>
        </w:rPr>
      </w:pPr>
      <w:r>
        <w:rPr/>
        <w:drawing>
          <wp:anchor distT="0" distB="0" distL="0" distR="0" allowOverlap="1" layoutInCell="1" locked="0" behindDoc="0" simplePos="0" relativeHeight="291">
            <wp:simplePos x="0" y="0"/>
            <wp:positionH relativeFrom="page">
              <wp:posOffset>1149648</wp:posOffset>
            </wp:positionH>
            <wp:positionV relativeFrom="paragraph">
              <wp:posOffset>88490</wp:posOffset>
            </wp:positionV>
            <wp:extent cx="5736388" cy="3105150"/>
            <wp:effectExtent l="0" t="0" r="0" b="0"/>
            <wp:wrapTopAndBottom/>
            <wp:docPr id="15" name="image46.png"/>
            <wp:cNvGraphicFramePr>
              <a:graphicFrameLocks noChangeAspect="1"/>
            </wp:cNvGraphicFramePr>
            <a:graphic>
              <a:graphicData uri="http://schemas.openxmlformats.org/drawingml/2006/picture">
                <pic:pic>
                  <pic:nvPicPr>
                    <pic:cNvPr id="16" name="image46.png"/>
                    <pic:cNvPicPr/>
                  </pic:nvPicPr>
                  <pic:blipFill>
                    <a:blip r:embed="rId56" cstate="print"/>
                    <a:stretch>
                      <a:fillRect/>
                    </a:stretch>
                  </pic:blipFill>
                  <pic:spPr>
                    <a:xfrm>
                      <a:off x="0" y="0"/>
                      <a:ext cx="5736388" cy="3105150"/>
                    </a:xfrm>
                    <a:prstGeom prst="rect">
                      <a:avLst/>
                    </a:prstGeom>
                  </pic:spPr>
                </pic:pic>
              </a:graphicData>
            </a:graphic>
          </wp:anchor>
        </w:drawing>
      </w:r>
    </w:p>
    <w:p>
      <w:pPr>
        <w:pStyle w:val="Heading1"/>
        <w:spacing w:before="110"/>
        <w:ind w:left="680"/>
        <w:rPr>
          <w:u w:val="none"/>
        </w:rPr>
      </w:pPr>
      <w:r>
        <w:rPr>
          <w:u w:val="none"/>
        </w:rPr>
        <w:t>Evidenţa bolnavilor psihici (în cabinetul de psihiatrie, CSM)</w:t>
      </w:r>
    </w:p>
    <w:p>
      <w:pPr>
        <w:pStyle w:val="BodyText"/>
        <w:spacing w:before="7"/>
        <w:ind w:left="0"/>
        <w:rPr>
          <w:b/>
          <w:sz w:val="14"/>
        </w:rPr>
      </w:pPr>
    </w:p>
    <w:p>
      <w:pPr>
        <w:spacing w:before="0" w:after="23"/>
        <w:ind w:left="1436" w:right="0" w:firstLine="0"/>
        <w:jc w:val="left"/>
        <w:rPr>
          <w:b/>
          <w:sz w:val="14"/>
        </w:rPr>
      </w:pPr>
      <w:r>
        <w:rPr>
          <w:b/>
          <w:w w:val="105"/>
          <w:sz w:val="14"/>
        </w:rPr>
        <w:t>CAP.8 EVIDENŢA BOLNAVILOR PSIHICI (în cabinetul de psihiatrie,CSM/ LSM) F00-F99</w:t>
      </w:r>
    </w:p>
    <w:tbl>
      <w:tblPr>
        <w:tblW w:w="0" w:type="auto"/>
        <w:jc w:val="left"/>
        <w:tblInd w:w="1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6"/>
        <w:gridCol w:w="700"/>
        <w:gridCol w:w="700"/>
        <w:gridCol w:w="700"/>
        <w:gridCol w:w="700"/>
        <w:gridCol w:w="700"/>
        <w:gridCol w:w="700"/>
        <w:gridCol w:w="700"/>
        <w:gridCol w:w="700"/>
        <w:gridCol w:w="700"/>
        <w:gridCol w:w="700"/>
        <w:gridCol w:w="700"/>
        <w:gridCol w:w="700"/>
        <w:gridCol w:w="696"/>
      </w:tblGrid>
      <w:tr>
        <w:trPr>
          <w:trHeight w:val="188" w:hRule="atLeast"/>
        </w:trPr>
        <w:tc>
          <w:tcPr>
            <w:tcW w:w="536" w:type="dxa"/>
            <w:vMerge w:val="restart"/>
            <w:tcBorders>
              <w:bottom w:val="single" w:sz="6" w:space="0" w:color="000000"/>
              <w:right w:val="single" w:sz="6" w:space="0" w:color="000000"/>
            </w:tcBorders>
          </w:tcPr>
          <w:p>
            <w:pPr>
              <w:pStyle w:val="TableParagraph"/>
              <w:spacing w:line="121" w:lineRule="exact"/>
              <w:ind w:left="97"/>
              <w:rPr>
                <w:sz w:val="11"/>
              </w:rPr>
            </w:pPr>
            <w:r>
              <w:rPr>
                <w:w w:val="105"/>
                <w:sz w:val="11"/>
              </w:rPr>
              <w:t>Mediul</w:t>
            </w:r>
          </w:p>
        </w:tc>
        <w:tc>
          <w:tcPr>
            <w:tcW w:w="1400" w:type="dxa"/>
            <w:gridSpan w:val="2"/>
            <w:tcBorders>
              <w:left w:val="single" w:sz="6" w:space="0" w:color="000000"/>
              <w:bottom w:val="single" w:sz="6" w:space="0" w:color="000000"/>
              <w:right w:val="single" w:sz="6" w:space="0" w:color="000000"/>
            </w:tcBorders>
          </w:tcPr>
          <w:p>
            <w:pPr>
              <w:pStyle w:val="TableParagraph"/>
              <w:spacing w:line="121" w:lineRule="exact"/>
              <w:ind w:left="465"/>
              <w:rPr>
                <w:sz w:val="11"/>
              </w:rPr>
            </w:pPr>
            <w:r>
              <w:rPr>
                <w:w w:val="105"/>
                <w:sz w:val="11"/>
              </w:rPr>
              <w:t>Cazuri noi</w:t>
            </w:r>
          </w:p>
        </w:tc>
        <w:tc>
          <w:tcPr>
            <w:tcW w:w="700" w:type="dxa"/>
            <w:vMerge w:val="restart"/>
            <w:tcBorders>
              <w:left w:val="single" w:sz="6" w:space="0" w:color="000000"/>
              <w:bottom w:val="single" w:sz="6" w:space="0" w:color="000000"/>
              <w:right w:val="single" w:sz="6" w:space="0" w:color="000000"/>
            </w:tcBorders>
          </w:tcPr>
          <w:p>
            <w:pPr>
              <w:pStyle w:val="TableParagraph"/>
              <w:spacing w:line="121" w:lineRule="exact"/>
              <w:ind w:left="126"/>
              <w:rPr>
                <w:sz w:val="11"/>
              </w:rPr>
            </w:pPr>
            <w:r>
              <w:rPr>
                <w:w w:val="105"/>
                <w:sz w:val="11"/>
              </w:rPr>
              <w:t>Rămaşi</w:t>
            </w:r>
            <w:r>
              <w:rPr>
                <w:spacing w:val="-9"/>
                <w:w w:val="105"/>
                <w:sz w:val="11"/>
              </w:rPr>
              <w:t> </w:t>
            </w:r>
            <w:r>
              <w:rPr>
                <w:w w:val="105"/>
                <w:sz w:val="11"/>
              </w:rPr>
              <w:t>în</w:t>
            </w:r>
          </w:p>
          <w:p>
            <w:pPr>
              <w:pStyle w:val="TableParagraph"/>
              <w:rPr>
                <w:b/>
                <w:sz w:val="12"/>
              </w:rPr>
            </w:pPr>
          </w:p>
          <w:p>
            <w:pPr>
              <w:pStyle w:val="TableParagraph"/>
              <w:rPr>
                <w:b/>
                <w:sz w:val="12"/>
              </w:rPr>
            </w:pPr>
          </w:p>
          <w:p>
            <w:pPr>
              <w:pStyle w:val="TableParagraph"/>
              <w:spacing w:before="3"/>
              <w:rPr>
                <w:b/>
                <w:sz w:val="14"/>
              </w:rPr>
            </w:pPr>
          </w:p>
          <w:p>
            <w:pPr>
              <w:pStyle w:val="TableParagraph"/>
              <w:spacing w:line="124" w:lineRule="exact"/>
              <w:ind w:left="164"/>
              <w:rPr>
                <w:sz w:val="11"/>
              </w:rPr>
            </w:pPr>
            <w:r>
              <w:rPr>
                <w:w w:val="105"/>
                <w:sz w:val="11"/>
              </w:rPr>
              <w:t>evidenţă</w:t>
            </w:r>
          </w:p>
        </w:tc>
        <w:tc>
          <w:tcPr>
            <w:tcW w:w="5600" w:type="dxa"/>
            <w:gridSpan w:val="8"/>
            <w:tcBorders>
              <w:left w:val="single" w:sz="6" w:space="0" w:color="000000"/>
              <w:bottom w:val="single" w:sz="6" w:space="0" w:color="000000"/>
              <w:right w:val="single" w:sz="6" w:space="0" w:color="000000"/>
            </w:tcBorders>
          </w:tcPr>
          <w:p>
            <w:pPr>
              <w:pStyle w:val="TableParagraph"/>
              <w:spacing w:line="121" w:lineRule="exact"/>
              <w:ind w:left="1979" w:right="1949"/>
              <w:jc w:val="center"/>
              <w:rPr>
                <w:sz w:val="11"/>
              </w:rPr>
            </w:pPr>
            <w:r>
              <w:rPr>
                <w:w w:val="105"/>
                <w:sz w:val="11"/>
              </w:rPr>
              <w:t>din care: Bolnavi psihici periculoşi</w:t>
            </w:r>
          </w:p>
        </w:tc>
        <w:tc>
          <w:tcPr>
            <w:tcW w:w="1396" w:type="dxa"/>
            <w:gridSpan w:val="2"/>
            <w:vMerge w:val="restart"/>
            <w:tcBorders>
              <w:left w:val="single" w:sz="6" w:space="0" w:color="000000"/>
              <w:bottom w:val="single" w:sz="6" w:space="0" w:color="000000"/>
            </w:tcBorders>
          </w:tcPr>
          <w:p>
            <w:pPr>
              <w:pStyle w:val="TableParagraph"/>
              <w:spacing w:line="121" w:lineRule="exact"/>
              <w:ind w:left="35" w:right="-15"/>
              <w:rPr>
                <w:sz w:val="11"/>
              </w:rPr>
            </w:pPr>
            <w:r>
              <w:rPr>
                <w:w w:val="105"/>
                <w:sz w:val="11"/>
              </w:rPr>
              <w:t>Dependenti</w:t>
            </w:r>
            <w:r>
              <w:rPr>
                <w:spacing w:val="-11"/>
                <w:w w:val="105"/>
                <w:sz w:val="11"/>
              </w:rPr>
              <w:t> </w:t>
            </w:r>
            <w:r>
              <w:rPr>
                <w:w w:val="105"/>
                <w:sz w:val="11"/>
              </w:rPr>
              <w:t>de</w:t>
            </w:r>
            <w:r>
              <w:rPr>
                <w:spacing w:val="-11"/>
                <w:w w:val="105"/>
                <w:sz w:val="11"/>
              </w:rPr>
              <w:t> </w:t>
            </w:r>
            <w:r>
              <w:rPr>
                <w:w w:val="105"/>
                <w:sz w:val="11"/>
              </w:rPr>
              <w:t>droguri</w:t>
            </w:r>
            <w:r>
              <w:rPr>
                <w:spacing w:val="-11"/>
                <w:w w:val="105"/>
                <w:sz w:val="11"/>
              </w:rPr>
              <w:t> </w:t>
            </w:r>
            <w:r>
              <w:rPr>
                <w:w w:val="105"/>
                <w:sz w:val="11"/>
              </w:rPr>
              <w:t>ilegale</w:t>
            </w:r>
          </w:p>
        </w:tc>
      </w:tr>
      <w:tr>
        <w:trPr>
          <w:trHeight w:val="196" w:hRule="atLeast"/>
        </w:trPr>
        <w:tc>
          <w:tcPr>
            <w:tcW w:w="536" w:type="dxa"/>
            <w:vMerge/>
            <w:tcBorders>
              <w:top w:val="nil"/>
              <w:bottom w:val="single" w:sz="6" w:space="0" w:color="000000"/>
              <w:right w:val="single" w:sz="6" w:space="0" w:color="000000"/>
            </w:tcBorders>
          </w:tcPr>
          <w:p>
            <w:pPr>
              <w:rPr>
                <w:sz w:val="2"/>
                <w:szCs w:val="2"/>
              </w:rPr>
            </w:pPr>
          </w:p>
        </w:tc>
        <w:tc>
          <w:tcPr>
            <w:tcW w:w="7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ind w:left="110" w:right="84"/>
              <w:jc w:val="center"/>
              <w:rPr>
                <w:sz w:val="11"/>
              </w:rPr>
            </w:pPr>
            <w:r>
              <w:rPr>
                <w:w w:val="105"/>
                <w:sz w:val="11"/>
              </w:rPr>
              <w:t>Total, din</w:t>
            </w:r>
          </w:p>
          <w:p>
            <w:pPr>
              <w:pStyle w:val="TableParagraph"/>
              <w:rPr>
                <w:b/>
                <w:sz w:val="12"/>
              </w:rPr>
            </w:pPr>
          </w:p>
          <w:p>
            <w:pPr>
              <w:pStyle w:val="TableParagraph"/>
              <w:spacing w:line="124" w:lineRule="exact" w:before="91"/>
              <w:ind w:left="109" w:right="84"/>
              <w:jc w:val="center"/>
              <w:rPr>
                <w:sz w:val="11"/>
              </w:rPr>
            </w:pPr>
            <w:r>
              <w:rPr>
                <w:w w:val="105"/>
                <w:sz w:val="11"/>
              </w:rPr>
              <w:t>care:</w:t>
            </w:r>
          </w:p>
        </w:tc>
        <w:tc>
          <w:tcPr>
            <w:tcW w:w="7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ind w:left="181"/>
              <w:rPr>
                <w:sz w:val="11"/>
              </w:rPr>
            </w:pPr>
            <w:r>
              <w:rPr>
                <w:w w:val="105"/>
                <w:sz w:val="11"/>
              </w:rPr>
              <w:t>Psihoze</w:t>
            </w:r>
          </w:p>
          <w:p>
            <w:pPr>
              <w:pStyle w:val="TableParagraph"/>
              <w:rPr>
                <w:b/>
                <w:sz w:val="12"/>
              </w:rPr>
            </w:pPr>
          </w:p>
          <w:p>
            <w:pPr>
              <w:pStyle w:val="TableParagraph"/>
              <w:spacing w:line="124" w:lineRule="exact" w:before="91"/>
              <w:ind w:left="150"/>
              <w:rPr>
                <w:sz w:val="11"/>
              </w:rPr>
            </w:pPr>
            <w:r>
              <w:rPr>
                <w:w w:val="105"/>
                <w:sz w:val="11"/>
              </w:rPr>
              <w:t>alcoolice</w:t>
            </w:r>
          </w:p>
        </w:tc>
        <w:tc>
          <w:tcPr>
            <w:tcW w:w="700" w:type="dxa"/>
            <w:vMerge/>
            <w:tcBorders>
              <w:top w:val="nil"/>
              <w:left w:val="single" w:sz="6" w:space="0" w:color="000000"/>
              <w:bottom w:val="single" w:sz="6" w:space="0" w:color="000000"/>
              <w:right w:val="single" w:sz="6" w:space="0" w:color="000000"/>
            </w:tcBorders>
          </w:tcPr>
          <w:p>
            <w:pPr>
              <w:rPr>
                <w:sz w:val="2"/>
                <w:szCs w:val="2"/>
              </w:rPr>
            </w:pPr>
          </w:p>
        </w:tc>
        <w:tc>
          <w:tcPr>
            <w:tcW w:w="7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ind w:left="116"/>
              <w:rPr>
                <w:sz w:val="11"/>
              </w:rPr>
            </w:pPr>
            <w:r>
              <w:rPr>
                <w:w w:val="105"/>
                <w:sz w:val="11"/>
              </w:rPr>
              <w:t>Cazuri noi</w:t>
            </w:r>
          </w:p>
        </w:tc>
        <w:tc>
          <w:tcPr>
            <w:tcW w:w="350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
              <w:ind w:left="1292" w:right="1267"/>
              <w:jc w:val="center"/>
              <w:rPr>
                <w:sz w:val="11"/>
              </w:rPr>
            </w:pPr>
            <w:r>
              <w:rPr>
                <w:w w:val="105"/>
                <w:sz w:val="11"/>
              </w:rPr>
              <w:t>Rămaşi în evidenţă</w:t>
            </w:r>
          </w:p>
        </w:tc>
        <w:tc>
          <w:tcPr>
            <w:tcW w:w="140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
              <w:ind w:left="430"/>
              <w:rPr>
                <w:sz w:val="11"/>
              </w:rPr>
            </w:pPr>
            <w:r>
              <w:rPr>
                <w:w w:val="105"/>
                <w:sz w:val="11"/>
              </w:rPr>
              <w:t>În tratament</w:t>
            </w:r>
          </w:p>
        </w:tc>
        <w:tc>
          <w:tcPr>
            <w:tcW w:w="1396" w:type="dxa"/>
            <w:gridSpan w:val="2"/>
            <w:vMerge/>
            <w:tcBorders>
              <w:top w:val="nil"/>
              <w:left w:val="single" w:sz="6" w:space="0" w:color="000000"/>
              <w:bottom w:val="single" w:sz="6" w:space="0" w:color="000000"/>
            </w:tcBorders>
          </w:tcPr>
          <w:p>
            <w:pPr>
              <w:rPr>
                <w:sz w:val="2"/>
                <w:szCs w:val="2"/>
              </w:rPr>
            </w:pPr>
          </w:p>
        </w:tc>
      </w:tr>
      <w:tr>
        <w:trPr>
          <w:trHeight w:val="291" w:hRule="atLeast"/>
        </w:trPr>
        <w:tc>
          <w:tcPr>
            <w:tcW w:w="536" w:type="dxa"/>
            <w:vMerge/>
            <w:tcBorders>
              <w:top w:val="nil"/>
              <w:bottom w:val="single" w:sz="6" w:space="0" w:color="000000"/>
              <w:right w:val="single" w:sz="6" w:space="0" w:color="000000"/>
            </w:tcBorders>
          </w:tcPr>
          <w:p>
            <w:pPr>
              <w:rPr>
                <w:sz w:val="2"/>
                <w:szCs w:val="2"/>
              </w:rPr>
            </w:pPr>
          </w:p>
        </w:tc>
        <w:tc>
          <w:tcPr>
            <w:tcW w:w="700" w:type="dxa"/>
            <w:vMerge/>
            <w:tcBorders>
              <w:top w:val="nil"/>
              <w:left w:val="single" w:sz="6" w:space="0" w:color="000000"/>
              <w:bottom w:val="single" w:sz="6" w:space="0" w:color="000000"/>
              <w:right w:val="single" w:sz="6" w:space="0" w:color="000000"/>
            </w:tcBorders>
          </w:tcPr>
          <w:p>
            <w:pPr>
              <w:rPr>
                <w:sz w:val="2"/>
                <w:szCs w:val="2"/>
              </w:rPr>
            </w:pPr>
          </w:p>
        </w:tc>
        <w:tc>
          <w:tcPr>
            <w:tcW w:w="700" w:type="dxa"/>
            <w:vMerge/>
            <w:tcBorders>
              <w:top w:val="nil"/>
              <w:left w:val="single" w:sz="6" w:space="0" w:color="000000"/>
              <w:bottom w:val="single" w:sz="6" w:space="0" w:color="000000"/>
              <w:right w:val="single" w:sz="6" w:space="0" w:color="000000"/>
            </w:tcBorders>
          </w:tcPr>
          <w:p>
            <w:pPr>
              <w:rPr>
                <w:sz w:val="2"/>
                <w:szCs w:val="2"/>
              </w:rPr>
            </w:pPr>
          </w:p>
        </w:tc>
        <w:tc>
          <w:tcPr>
            <w:tcW w:w="700" w:type="dxa"/>
            <w:vMerge/>
            <w:tcBorders>
              <w:top w:val="nil"/>
              <w:left w:val="single" w:sz="6" w:space="0" w:color="000000"/>
              <w:bottom w:val="single" w:sz="6" w:space="0" w:color="000000"/>
              <w:right w:val="single" w:sz="6" w:space="0" w:color="000000"/>
            </w:tcBorders>
          </w:tcPr>
          <w:p>
            <w:pPr>
              <w:rPr>
                <w:sz w:val="2"/>
                <w:szCs w:val="2"/>
              </w:rPr>
            </w:pPr>
          </w:p>
        </w:tc>
        <w:tc>
          <w:tcPr>
            <w:tcW w:w="700" w:type="dxa"/>
            <w:vMerge/>
            <w:tcBorders>
              <w:top w:val="nil"/>
              <w:left w:val="single" w:sz="6" w:space="0" w:color="000000"/>
              <w:bottom w:val="single" w:sz="6" w:space="0" w:color="000000"/>
              <w:right w:val="single" w:sz="6" w:space="0" w:color="000000"/>
            </w:tcBorders>
          </w:tcPr>
          <w:p>
            <w:pPr>
              <w:rPr>
                <w:sz w:val="2"/>
                <w:szCs w:val="2"/>
              </w:rPr>
            </w:pP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232"/>
              <w:rPr>
                <w:sz w:val="11"/>
              </w:rPr>
            </w:pPr>
            <w:r>
              <w:rPr>
                <w:w w:val="105"/>
                <w:sz w:val="11"/>
              </w:rPr>
              <w:t>Total</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80"/>
              <w:rPr>
                <w:sz w:val="11"/>
              </w:rPr>
            </w:pPr>
            <w:r>
              <w:rPr>
                <w:w w:val="105"/>
                <w:sz w:val="11"/>
              </w:rPr>
              <w:t>0-14 ani</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49"/>
              <w:rPr>
                <w:sz w:val="11"/>
              </w:rPr>
            </w:pPr>
            <w:r>
              <w:rPr>
                <w:w w:val="105"/>
                <w:sz w:val="11"/>
              </w:rPr>
              <w:t>15-17 ani</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49"/>
              <w:rPr>
                <w:sz w:val="11"/>
              </w:rPr>
            </w:pPr>
            <w:r>
              <w:rPr>
                <w:w w:val="105"/>
                <w:sz w:val="11"/>
              </w:rPr>
              <w:t>18-64 ani</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81"/>
              <w:rPr>
                <w:sz w:val="11"/>
              </w:rPr>
            </w:pPr>
            <w:r>
              <w:rPr>
                <w:w w:val="105"/>
                <w:sz w:val="11"/>
              </w:rPr>
              <w:t>65 ani +</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12"/>
              <w:rPr>
                <w:sz w:val="11"/>
              </w:rPr>
            </w:pPr>
            <w:r>
              <w:rPr>
                <w:w w:val="105"/>
                <w:sz w:val="11"/>
              </w:rPr>
              <w:t>Ambulator</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44"/>
              <w:rPr>
                <w:sz w:val="11"/>
              </w:rPr>
            </w:pPr>
            <w:r>
              <w:rPr>
                <w:w w:val="105"/>
                <w:sz w:val="11"/>
              </w:rPr>
              <w:t>Spitalizat</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2"/>
              <w:ind w:left="120"/>
              <w:rPr>
                <w:sz w:val="11"/>
              </w:rPr>
            </w:pPr>
            <w:r>
              <w:rPr>
                <w:w w:val="105"/>
                <w:sz w:val="11"/>
              </w:rPr>
              <w:t>Cazuri noi</w:t>
            </w:r>
          </w:p>
        </w:tc>
        <w:tc>
          <w:tcPr>
            <w:tcW w:w="696" w:type="dxa"/>
            <w:tcBorders>
              <w:top w:val="single" w:sz="6" w:space="0" w:color="000000"/>
              <w:left w:val="single" w:sz="6" w:space="0" w:color="000000"/>
              <w:bottom w:val="single" w:sz="6" w:space="0" w:color="000000"/>
            </w:tcBorders>
          </w:tcPr>
          <w:p>
            <w:pPr>
              <w:pStyle w:val="TableParagraph"/>
              <w:spacing w:before="2"/>
              <w:ind w:left="180"/>
              <w:rPr>
                <w:sz w:val="11"/>
              </w:rPr>
            </w:pPr>
            <w:r>
              <w:rPr>
                <w:w w:val="105"/>
                <w:sz w:val="11"/>
              </w:rPr>
              <w:t>Total</w:t>
            </w:r>
            <w:r>
              <w:rPr>
                <w:spacing w:val="-4"/>
                <w:w w:val="105"/>
                <w:sz w:val="11"/>
              </w:rPr>
              <w:t> </w:t>
            </w:r>
            <w:r>
              <w:rPr>
                <w:w w:val="105"/>
                <w:sz w:val="11"/>
              </w:rPr>
              <w:t>în</w:t>
            </w:r>
          </w:p>
          <w:p>
            <w:pPr>
              <w:pStyle w:val="TableParagraph"/>
              <w:spacing w:line="110" w:lineRule="exact" w:before="32"/>
              <w:ind w:left="169"/>
              <w:rPr>
                <w:sz w:val="11"/>
              </w:rPr>
            </w:pPr>
            <w:r>
              <w:rPr>
                <w:w w:val="105"/>
                <w:sz w:val="11"/>
              </w:rPr>
              <w:t>evidenţă</w:t>
            </w:r>
          </w:p>
        </w:tc>
      </w:tr>
      <w:tr>
        <w:trPr>
          <w:trHeight w:val="196" w:hRule="atLeast"/>
        </w:trPr>
        <w:tc>
          <w:tcPr>
            <w:tcW w:w="536" w:type="dxa"/>
            <w:tcBorders>
              <w:top w:val="single" w:sz="6" w:space="0" w:color="000000"/>
              <w:bottom w:val="single" w:sz="6" w:space="0" w:color="000000"/>
              <w:right w:val="single" w:sz="6" w:space="0" w:color="000000"/>
            </w:tcBorders>
          </w:tcPr>
          <w:p>
            <w:pPr>
              <w:pStyle w:val="TableParagraph"/>
              <w:spacing w:line="156" w:lineRule="exact" w:before="20"/>
              <w:ind w:left="20"/>
              <w:rPr>
                <w:b/>
                <w:sz w:val="14"/>
              </w:rPr>
            </w:pPr>
            <w:r>
              <w:rPr>
                <w:b/>
                <w:w w:val="105"/>
                <w:sz w:val="14"/>
              </w:rPr>
              <w:t>Total</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7"/>
              <w:jc w:val="right"/>
              <w:rPr>
                <w:b/>
                <w:sz w:val="14"/>
              </w:rPr>
            </w:pPr>
            <w:r>
              <w:rPr>
                <w:b/>
                <w:w w:val="105"/>
                <w:sz w:val="14"/>
              </w:rPr>
              <w:t>12219</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7"/>
              <w:jc w:val="right"/>
              <w:rPr>
                <w:b/>
                <w:sz w:val="14"/>
              </w:rPr>
            </w:pPr>
            <w:r>
              <w:rPr>
                <w:b/>
                <w:w w:val="105"/>
                <w:sz w:val="14"/>
              </w:rPr>
              <w:t>80</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6"/>
              <w:jc w:val="right"/>
              <w:rPr>
                <w:b/>
                <w:sz w:val="14"/>
              </w:rPr>
            </w:pPr>
            <w:r>
              <w:rPr>
                <w:b/>
                <w:w w:val="105"/>
                <w:sz w:val="14"/>
              </w:rPr>
              <w:t>156283</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6"/>
              <w:jc w:val="right"/>
              <w:rPr>
                <w:b/>
                <w:sz w:val="14"/>
              </w:rPr>
            </w:pPr>
            <w:r>
              <w:rPr>
                <w:b/>
                <w:w w:val="105"/>
                <w:sz w:val="14"/>
              </w:rPr>
              <w:t>100</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5"/>
              <w:jc w:val="right"/>
              <w:rPr>
                <w:b/>
                <w:sz w:val="14"/>
              </w:rPr>
            </w:pPr>
            <w:r>
              <w:rPr>
                <w:b/>
                <w:w w:val="105"/>
                <w:sz w:val="14"/>
              </w:rPr>
              <w:t>191</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5"/>
              <w:jc w:val="right"/>
              <w:rPr>
                <w:b/>
                <w:sz w:val="14"/>
              </w:rPr>
            </w:pPr>
            <w:r>
              <w:rPr>
                <w:b/>
                <w:w w:val="105"/>
                <w:sz w:val="14"/>
              </w:rPr>
              <w:t>0</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4"/>
              <w:jc w:val="right"/>
              <w:rPr>
                <w:b/>
                <w:sz w:val="14"/>
              </w:rPr>
            </w:pPr>
            <w:r>
              <w:rPr>
                <w:b/>
                <w:w w:val="105"/>
                <w:sz w:val="14"/>
              </w:rPr>
              <w:t>0</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4"/>
              <w:jc w:val="right"/>
              <w:rPr>
                <w:b/>
                <w:sz w:val="14"/>
              </w:rPr>
            </w:pPr>
            <w:r>
              <w:rPr>
                <w:b/>
                <w:w w:val="105"/>
                <w:sz w:val="14"/>
              </w:rPr>
              <w:t>186</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3"/>
              <w:jc w:val="right"/>
              <w:rPr>
                <w:b/>
                <w:sz w:val="14"/>
              </w:rPr>
            </w:pPr>
            <w:r>
              <w:rPr>
                <w:b/>
                <w:w w:val="105"/>
                <w:sz w:val="14"/>
              </w:rPr>
              <w:t>5</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3"/>
              <w:jc w:val="right"/>
              <w:rPr>
                <w:b/>
                <w:sz w:val="14"/>
              </w:rPr>
            </w:pPr>
            <w:r>
              <w:rPr>
                <w:b/>
                <w:w w:val="105"/>
                <w:sz w:val="14"/>
              </w:rPr>
              <w:t>141</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4"/>
              <w:jc w:val="right"/>
              <w:rPr>
                <w:b/>
                <w:sz w:val="14"/>
              </w:rPr>
            </w:pPr>
            <w:r>
              <w:rPr>
                <w:b/>
                <w:w w:val="105"/>
                <w:sz w:val="14"/>
              </w:rPr>
              <w:t>0</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2"/>
              <w:jc w:val="right"/>
              <w:rPr>
                <w:b/>
                <w:sz w:val="14"/>
              </w:rPr>
            </w:pPr>
            <w:r>
              <w:rPr>
                <w:b/>
                <w:w w:val="105"/>
                <w:sz w:val="14"/>
              </w:rPr>
              <w:t>317</w:t>
            </w:r>
          </w:p>
        </w:tc>
        <w:tc>
          <w:tcPr>
            <w:tcW w:w="696" w:type="dxa"/>
            <w:tcBorders>
              <w:top w:val="single" w:sz="6" w:space="0" w:color="000000"/>
              <w:left w:val="single" w:sz="6" w:space="0" w:color="000000"/>
              <w:bottom w:val="single" w:sz="6" w:space="0" w:color="000000"/>
            </w:tcBorders>
            <w:shd w:val="clear" w:color="auto" w:fill="C0C0C0"/>
          </w:tcPr>
          <w:p>
            <w:pPr>
              <w:pStyle w:val="TableParagraph"/>
              <w:spacing w:line="156" w:lineRule="exact" w:before="20"/>
              <w:ind w:right="-15"/>
              <w:jc w:val="right"/>
              <w:rPr>
                <w:b/>
                <w:sz w:val="14"/>
              </w:rPr>
            </w:pPr>
            <w:r>
              <w:rPr>
                <w:b/>
                <w:w w:val="105"/>
                <w:sz w:val="14"/>
              </w:rPr>
              <w:t>2795</w:t>
            </w:r>
          </w:p>
        </w:tc>
      </w:tr>
      <w:tr>
        <w:trPr>
          <w:trHeight w:val="196" w:hRule="atLeast"/>
        </w:trPr>
        <w:tc>
          <w:tcPr>
            <w:tcW w:w="536" w:type="dxa"/>
            <w:tcBorders>
              <w:top w:val="single" w:sz="6" w:space="0" w:color="000000"/>
              <w:bottom w:val="single" w:sz="6" w:space="0" w:color="000000"/>
              <w:right w:val="single" w:sz="6" w:space="0" w:color="000000"/>
            </w:tcBorders>
          </w:tcPr>
          <w:p>
            <w:pPr>
              <w:pStyle w:val="TableParagraph"/>
              <w:spacing w:line="156" w:lineRule="exact" w:before="20"/>
              <w:ind w:left="20"/>
              <w:rPr>
                <w:sz w:val="14"/>
              </w:rPr>
            </w:pPr>
            <w:r>
              <w:rPr>
                <w:w w:val="105"/>
                <w:sz w:val="14"/>
              </w:rPr>
              <w:t>Urban</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7"/>
              <w:jc w:val="right"/>
              <w:rPr>
                <w:sz w:val="14"/>
              </w:rPr>
            </w:pPr>
            <w:r>
              <w:rPr>
                <w:w w:val="105"/>
                <w:sz w:val="14"/>
              </w:rPr>
              <w:t>9958</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7"/>
              <w:jc w:val="right"/>
              <w:rPr>
                <w:sz w:val="14"/>
              </w:rPr>
            </w:pPr>
            <w:r>
              <w:rPr>
                <w:w w:val="105"/>
                <w:sz w:val="14"/>
              </w:rPr>
              <w:t>59</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6"/>
              <w:jc w:val="right"/>
              <w:rPr>
                <w:sz w:val="14"/>
              </w:rPr>
            </w:pPr>
            <w:r>
              <w:rPr>
                <w:w w:val="105"/>
                <w:sz w:val="14"/>
              </w:rPr>
              <w:t>144242</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6"/>
              <w:jc w:val="right"/>
              <w:rPr>
                <w:sz w:val="14"/>
              </w:rPr>
            </w:pPr>
            <w:r>
              <w:rPr>
                <w:w w:val="105"/>
                <w:sz w:val="14"/>
              </w:rPr>
              <w:t>79</w:t>
            </w:r>
          </w:p>
        </w:tc>
        <w:tc>
          <w:tcPr>
            <w:tcW w:w="700"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line="156" w:lineRule="exact" w:before="20"/>
              <w:ind w:right="5"/>
              <w:jc w:val="right"/>
              <w:rPr>
                <w:b/>
                <w:sz w:val="14"/>
              </w:rPr>
            </w:pPr>
            <w:r>
              <w:rPr>
                <w:b/>
                <w:w w:val="105"/>
                <w:sz w:val="14"/>
              </w:rPr>
              <w:t>188</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5"/>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4"/>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4"/>
              <w:jc w:val="right"/>
              <w:rPr>
                <w:sz w:val="14"/>
              </w:rPr>
            </w:pPr>
            <w:r>
              <w:rPr>
                <w:w w:val="105"/>
                <w:sz w:val="14"/>
              </w:rPr>
              <w:t>183</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3"/>
              <w:jc w:val="right"/>
              <w:rPr>
                <w:sz w:val="14"/>
              </w:rPr>
            </w:pPr>
            <w:r>
              <w:rPr>
                <w:w w:val="105"/>
                <w:sz w:val="14"/>
              </w:rPr>
              <w:t>5</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3"/>
              <w:jc w:val="right"/>
              <w:rPr>
                <w:sz w:val="14"/>
              </w:rPr>
            </w:pPr>
            <w:r>
              <w:rPr>
                <w:w w:val="105"/>
                <w:sz w:val="14"/>
              </w:rPr>
              <w:t>140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4"/>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ind w:right="2"/>
              <w:jc w:val="right"/>
              <w:rPr>
                <w:sz w:val="14"/>
              </w:rPr>
            </w:pPr>
            <w:r>
              <w:rPr>
                <w:w w:val="105"/>
                <w:sz w:val="14"/>
              </w:rPr>
              <w:t>317</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0"/>
              <w:jc w:val="right"/>
              <w:rPr>
                <w:sz w:val="14"/>
              </w:rPr>
            </w:pPr>
            <w:r>
              <w:rPr>
                <w:w w:val="105"/>
                <w:sz w:val="14"/>
              </w:rPr>
              <w:t>2643</w:t>
            </w:r>
          </w:p>
        </w:tc>
      </w:tr>
      <w:tr>
        <w:trPr>
          <w:trHeight w:val="199" w:hRule="atLeast"/>
        </w:trPr>
        <w:tc>
          <w:tcPr>
            <w:tcW w:w="536" w:type="dxa"/>
            <w:tcBorders>
              <w:top w:val="single" w:sz="6" w:space="0" w:color="000000"/>
              <w:right w:val="single" w:sz="6" w:space="0" w:color="000000"/>
            </w:tcBorders>
          </w:tcPr>
          <w:p>
            <w:pPr>
              <w:pStyle w:val="TableParagraph"/>
              <w:spacing w:before="16"/>
              <w:ind w:left="20"/>
              <w:rPr>
                <w:sz w:val="14"/>
              </w:rPr>
            </w:pPr>
            <w:r>
              <w:rPr>
                <w:w w:val="105"/>
                <w:sz w:val="14"/>
              </w:rPr>
              <w:t>Rural</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7"/>
              <w:jc w:val="right"/>
              <w:rPr>
                <w:sz w:val="14"/>
              </w:rPr>
            </w:pPr>
            <w:r>
              <w:rPr>
                <w:w w:val="105"/>
                <w:sz w:val="14"/>
              </w:rPr>
              <w:t>2261</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7"/>
              <w:jc w:val="right"/>
              <w:rPr>
                <w:sz w:val="14"/>
              </w:rPr>
            </w:pPr>
            <w:r>
              <w:rPr>
                <w:w w:val="105"/>
                <w:sz w:val="14"/>
              </w:rPr>
              <w:t>21</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6"/>
              <w:jc w:val="right"/>
              <w:rPr>
                <w:sz w:val="14"/>
              </w:rPr>
            </w:pPr>
            <w:r>
              <w:rPr>
                <w:w w:val="105"/>
                <w:sz w:val="14"/>
              </w:rPr>
              <w:t>12041</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6"/>
              <w:jc w:val="right"/>
              <w:rPr>
                <w:sz w:val="14"/>
              </w:rPr>
            </w:pPr>
            <w:r>
              <w:rPr>
                <w:w w:val="105"/>
                <w:sz w:val="14"/>
              </w:rPr>
              <w:t>21</w:t>
            </w:r>
          </w:p>
        </w:tc>
        <w:tc>
          <w:tcPr>
            <w:tcW w:w="700" w:type="dxa"/>
            <w:tcBorders>
              <w:top w:val="single" w:sz="6" w:space="0" w:color="000000"/>
              <w:left w:val="single" w:sz="6" w:space="0" w:color="000000"/>
              <w:right w:val="single" w:sz="6" w:space="0" w:color="000000"/>
            </w:tcBorders>
            <w:shd w:val="clear" w:color="auto" w:fill="C0C0C0"/>
          </w:tcPr>
          <w:p>
            <w:pPr>
              <w:pStyle w:val="TableParagraph"/>
              <w:spacing w:before="16"/>
              <w:ind w:right="5"/>
              <w:jc w:val="right"/>
              <w:rPr>
                <w:b/>
                <w:sz w:val="14"/>
              </w:rPr>
            </w:pPr>
            <w:r>
              <w:rPr>
                <w:b/>
                <w:w w:val="105"/>
                <w:sz w:val="14"/>
              </w:rPr>
              <w:t>3</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5"/>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4"/>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4"/>
              <w:jc w:val="right"/>
              <w:rPr>
                <w:sz w:val="14"/>
              </w:rPr>
            </w:pPr>
            <w:r>
              <w:rPr>
                <w:w w:val="105"/>
                <w:sz w:val="14"/>
              </w:rPr>
              <w:t>3</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3"/>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3"/>
              <w:jc w:val="right"/>
              <w:rPr>
                <w:sz w:val="14"/>
              </w:rPr>
            </w:pPr>
            <w:r>
              <w:rPr>
                <w:w w:val="105"/>
                <w:sz w:val="14"/>
              </w:rPr>
              <w:t>1</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4"/>
              <w:jc w:val="right"/>
              <w:rPr>
                <w:sz w:val="14"/>
              </w:rPr>
            </w:pPr>
            <w:r>
              <w:rPr>
                <w:w w:val="105"/>
                <w:sz w:val="14"/>
              </w:rPr>
              <w:t>0</w:t>
            </w:r>
          </w:p>
        </w:tc>
        <w:tc>
          <w:tcPr>
            <w:tcW w:w="700" w:type="dxa"/>
            <w:tcBorders>
              <w:top w:val="single" w:sz="6" w:space="0" w:color="000000"/>
              <w:left w:val="single" w:sz="6" w:space="0" w:color="000000"/>
              <w:bottom w:val="single" w:sz="6" w:space="0" w:color="000000"/>
              <w:right w:val="single" w:sz="6" w:space="0" w:color="000000"/>
            </w:tcBorders>
          </w:tcPr>
          <w:p>
            <w:pPr>
              <w:pStyle w:val="TableParagraph"/>
              <w:spacing w:before="16"/>
              <w:ind w:right="2"/>
              <w:jc w:val="right"/>
              <w:rPr>
                <w:sz w:val="14"/>
              </w:rPr>
            </w:pPr>
            <w:r>
              <w:rPr>
                <w:w w:val="105"/>
                <w:sz w:val="14"/>
              </w:rPr>
              <w:t>0</w:t>
            </w:r>
          </w:p>
        </w:tc>
        <w:tc>
          <w:tcPr>
            <w:tcW w:w="696" w:type="dxa"/>
            <w:tcBorders>
              <w:top w:val="single" w:sz="6" w:space="0" w:color="000000"/>
              <w:left w:val="single" w:sz="6" w:space="0" w:color="000000"/>
              <w:bottom w:val="single" w:sz="6" w:space="0" w:color="000000"/>
              <w:right w:val="single" w:sz="6" w:space="0" w:color="000000"/>
            </w:tcBorders>
          </w:tcPr>
          <w:p>
            <w:pPr>
              <w:pStyle w:val="TableParagraph"/>
              <w:spacing w:before="16"/>
              <w:jc w:val="right"/>
              <w:rPr>
                <w:sz w:val="14"/>
              </w:rPr>
            </w:pPr>
            <w:r>
              <w:rPr>
                <w:w w:val="105"/>
                <w:sz w:val="14"/>
              </w:rPr>
              <w:t>152</w:t>
            </w:r>
          </w:p>
        </w:tc>
      </w:tr>
    </w:tbl>
    <w:p>
      <w:pPr>
        <w:spacing w:before="134"/>
        <w:ind w:left="1040" w:right="0" w:firstLine="0"/>
        <w:jc w:val="left"/>
        <w:rPr>
          <w:sz w:val="20"/>
        </w:rPr>
      </w:pPr>
      <w:r>
        <w:rPr>
          <w:sz w:val="20"/>
        </w:rPr>
        <w:t>In anul 2017 au fost inregistrati 12219 bolnavi psihici nou intrati iar ramasi in evidenta sunt 156283.</w:t>
      </w:r>
    </w:p>
    <w:p>
      <w:pPr>
        <w:pStyle w:val="Heading1"/>
        <w:spacing w:before="114"/>
        <w:ind w:left="680"/>
        <w:rPr>
          <w:u w:val="none"/>
        </w:rPr>
      </w:pPr>
      <w:r>
        <w:rPr>
          <w:u w:val="none"/>
        </w:rPr>
        <w:t>Alte boli cronice (în cabinetul medicului de familie -pentru 22 tipuri de diagnostic)</w:t>
      </w:r>
    </w:p>
    <w:p>
      <w:pPr>
        <w:spacing w:after="0"/>
        <w:sectPr>
          <w:pgSz w:w="11910" w:h="16840"/>
          <w:pgMar w:header="0" w:footer="658" w:top="1420" w:bottom="920" w:left="400" w:right="0"/>
        </w:sectPr>
      </w:pPr>
    </w:p>
    <w:p>
      <w:pPr>
        <w:pStyle w:val="BodyText"/>
        <w:ind w:left="1400"/>
        <w:rPr>
          <w:sz w:val="20"/>
        </w:rPr>
      </w:pPr>
      <w:r>
        <w:rPr>
          <w:sz w:val="20"/>
        </w:rPr>
        <w:drawing>
          <wp:inline distT="0" distB="0" distL="0" distR="0">
            <wp:extent cx="6296123" cy="2180844"/>
            <wp:effectExtent l="0" t="0" r="0" b="0"/>
            <wp:docPr id="17" name="image47.png"/>
            <wp:cNvGraphicFramePr>
              <a:graphicFrameLocks noChangeAspect="1"/>
            </wp:cNvGraphicFramePr>
            <a:graphic>
              <a:graphicData uri="http://schemas.openxmlformats.org/drawingml/2006/picture">
                <pic:pic>
                  <pic:nvPicPr>
                    <pic:cNvPr id="18" name="image47.png"/>
                    <pic:cNvPicPr/>
                  </pic:nvPicPr>
                  <pic:blipFill>
                    <a:blip r:embed="rId57" cstate="print"/>
                    <a:stretch>
                      <a:fillRect/>
                    </a:stretch>
                  </pic:blipFill>
                  <pic:spPr>
                    <a:xfrm>
                      <a:off x="0" y="0"/>
                      <a:ext cx="6296123" cy="2180844"/>
                    </a:xfrm>
                    <a:prstGeom prst="rect">
                      <a:avLst/>
                    </a:prstGeom>
                  </pic:spPr>
                </pic:pic>
              </a:graphicData>
            </a:graphic>
          </wp:inline>
        </w:drawing>
      </w:r>
      <w:r>
        <w:rPr>
          <w:sz w:val="20"/>
        </w:rPr>
      </w:r>
    </w:p>
    <w:p>
      <w:pPr>
        <w:pStyle w:val="BodyText"/>
        <w:spacing w:before="6"/>
        <w:ind w:left="0"/>
        <w:rPr>
          <w:b/>
          <w:sz w:val="20"/>
        </w:rPr>
      </w:pPr>
      <w:r>
        <w:rPr/>
        <w:drawing>
          <wp:anchor distT="0" distB="0" distL="0" distR="0" allowOverlap="1" layoutInCell="1" locked="0" behindDoc="0" simplePos="0" relativeHeight="292">
            <wp:simplePos x="0" y="0"/>
            <wp:positionH relativeFrom="page">
              <wp:posOffset>1143000</wp:posOffset>
            </wp:positionH>
            <wp:positionV relativeFrom="paragraph">
              <wp:posOffset>174625</wp:posOffset>
            </wp:positionV>
            <wp:extent cx="5531351" cy="4105275"/>
            <wp:effectExtent l="0" t="0" r="0" b="0"/>
            <wp:wrapTopAndBottom/>
            <wp:docPr id="19" name="image48.png"/>
            <wp:cNvGraphicFramePr>
              <a:graphicFrameLocks noChangeAspect="1"/>
            </wp:cNvGraphicFramePr>
            <a:graphic>
              <a:graphicData uri="http://schemas.openxmlformats.org/drawingml/2006/picture">
                <pic:pic>
                  <pic:nvPicPr>
                    <pic:cNvPr id="20" name="image48.png"/>
                    <pic:cNvPicPr/>
                  </pic:nvPicPr>
                  <pic:blipFill>
                    <a:blip r:embed="rId58" cstate="print"/>
                    <a:stretch>
                      <a:fillRect/>
                    </a:stretch>
                  </pic:blipFill>
                  <pic:spPr>
                    <a:xfrm>
                      <a:off x="0" y="0"/>
                      <a:ext cx="5531351" cy="4105275"/>
                    </a:xfrm>
                    <a:prstGeom prst="rect">
                      <a:avLst/>
                    </a:prstGeom>
                  </pic:spPr>
                </pic:pic>
              </a:graphicData>
            </a:graphic>
          </wp:anchor>
        </w:drawing>
      </w:r>
      <w:r>
        <w:rPr/>
        <w:drawing>
          <wp:anchor distT="0" distB="0" distL="0" distR="0" allowOverlap="1" layoutInCell="1" locked="0" behindDoc="0" simplePos="0" relativeHeight="293">
            <wp:simplePos x="0" y="0"/>
            <wp:positionH relativeFrom="page">
              <wp:posOffset>1143000</wp:posOffset>
            </wp:positionH>
            <wp:positionV relativeFrom="paragraph">
              <wp:posOffset>4464684</wp:posOffset>
            </wp:positionV>
            <wp:extent cx="5925184" cy="1876425"/>
            <wp:effectExtent l="0" t="0" r="0" b="0"/>
            <wp:wrapTopAndBottom/>
            <wp:docPr id="21" name="image49.jpeg"/>
            <wp:cNvGraphicFramePr>
              <a:graphicFrameLocks noChangeAspect="1"/>
            </wp:cNvGraphicFramePr>
            <a:graphic>
              <a:graphicData uri="http://schemas.openxmlformats.org/drawingml/2006/picture">
                <pic:pic>
                  <pic:nvPicPr>
                    <pic:cNvPr id="22" name="image49.jpeg"/>
                    <pic:cNvPicPr/>
                  </pic:nvPicPr>
                  <pic:blipFill>
                    <a:blip r:embed="rId59" cstate="print"/>
                    <a:stretch>
                      <a:fillRect/>
                    </a:stretch>
                  </pic:blipFill>
                  <pic:spPr>
                    <a:xfrm>
                      <a:off x="0" y="0"/>
                      <a:ext cx="5925184" cy="1876425"/>
                    </a:xfrm>
                    <a:prstGeom prst="rect">
                      <a:avLst/>
                    </a:prstGeom>
                  </pic:spPr>
                </pic:pic>
              </a:graphicData>
            </a:graphic>
          </wp:anchor>
        </w:drawing>
      </w:r>
    </w:p>
    <w:p>
      <w:pPr>
        <w:pStyle w:val="BodyText"/>
        <w:spacing w:before="4"/>
        <w:ind w:left="0"/>
        <w:rPr>
          <w:b/>
          <w:sz w:val="19"/>
        </w:rPr>
      </w:pPr>
    </w:p>
    <w:p>
      <w:pPr>
        <w:spacing w:after="0"/>
        <w:rPr>
          <w:sz w:val="19"/>
        </w:rPr>
        <w:sectPr>
          <w:pgSz w:w="11910" w:h="16840"/>
          <w:pgMar w:header="0" w:footer="658" w:top="1420" w:bottom="840" w:left="400" w:right="0"/>
        </w:sectPr>
      </w:pPr>
    </w:p>
    <w:p>
      <w:pPr>
        <w:pStyle w:val="BodyText"/>
        <w:spacing w:before="117"/>
        <w:jc w:val="both"/>
      </w:pPr>
      <w:r>
        <w:rPr/>
        <w:t>Raportarea statistică de Stat (“SAN”)</w:t>
      </w:r>
    </w:p>
    <w:p>
      <w:pPr>
        <w:pStyle w:val="BodyText"/>
        <w:ind w:right="1140"/>
        <w:jc w:val="both"/>
      </w:pPr>
      <w:r>
        <w:rPr/>
        <w:t>Se face către INS şi are ca scop acumularea de material statistic documentat şi cu arhive autentificate de surse, material utilizabil în cercetare.Are caracter obligatoriu prin lege şi comportă numai acele modificări certificate de INS.</w:t>
      </w:r>
    </w:p>
    <w:p>
      <w:pPr>
        <w:pStyle w:val="BodyText"/>
        <w:jc w:val="both"/>
      </w:pPr>
      <w:r>
        <w:rPr/>
        <w:t>SAN cuprinde pentru fiecare unitate raportoare:</w:t>
      </w:r>
    </w:p>
    <w:p>
      <w:pPr>
        <w:pStyle w:val="BodyText"/>
        <w:ind w:right="1139"/>
        <w:jc w:val="both"/>
      </w:pPr>
      <w:r>
        <w:rPr/>
        <w:t>Încadrarea unităţii într-unul din cele 39 de tipuri de unităţi sanitare; pentru spitale menţionarea numărului de internări efectuate până la 31 decembrie, pe sexe şi durată de spitalizare, iar pentru cele care au în structură spitalizare de zi, numărul internaţilor în acest regim pe</w:t>
      </w:r>
      <w:r>
        <w:rPr>
          <w:spacing w:val="-10"/>
        </w:rPr>
        <w:t> </w:t>
      </w:r>
      <w:r>
        <w:rPr/>
        <w:t>sexe</w:t>
      </w:r>
    </w:p>
    <w:p>
      <w:pPr>
        <w:pStyle w:val="BodyText"/>
        <w:ind w:right="1142"/>
        <w:jc w:val="both"/>
      </w:pPr>
      <w:r>
        <w:rPr/>
        <w:t>Numărul de cabinete medicale încadrate în unităţi sanitare complexe (spitale, ambulatorii, policlinici, centre medicale,</w:t>
      </w:r>
      <w:r>
        <w:rPr>
          <w:spacing w:val="-3"/>
        </w:rPr>
        <w:t> </w:t>
      </w:r>
      <w:r>
        <w:rPr/>
        <w:t>etc)</w:t>
      </w:r>
    </w:p>
    <w:p>
      <w:pPr>
        <w:pStyle w:val="BodyText"/>
        <w:ind w:right="1135"/>
        <w:jc w:val="both"/>
      </w:pPr>
      <w:r>
        <w:rPr/>
        <w:t>Numărul de paturi din fiecare unitate sanitară, calificate ca urban/clinic, paturi de copii şi paturi de cronici, precum şi numărul de paturi pentru spitalizarea de zi pe 39 de specialitati si sub-specialitati medicale</w:t>
      </w:r>
    </w:p>
    <w:p>
      <w:pPr>
        <w:pStyle w:val="BodyText"/>
        <w:spacing w:before="1"/>
        <w:ind w:right="1143"/>
        <w:jc w:val="both"/>
      </w:pPr>
      <w:r>
        <w:rPr/>
        <w:t>Numărul consultaţiilor acordate în unităţile sanitare defalcat urban/rural functie de domiciliul pacientului</w:t>
      </w:r>
    </w:p>
    <w:p>
      <w:pPr>
        <w:pStyle w:val="BodyText"/>
        <w:jc w:val="both"/>
      </w:pPr>
      <w:r>
        <w:rPr/>
        <w:t>Dotarea unităţilor sanitare cu aparatură de înaltă performanţă</w:t>
      </w:r>
    </w:p>
    <w:p>
      <w:pPr>
        <w:pStyle w:val="BodyText"/>
        <w:ind w:right="2578"/>
      </w:pPr>
      <w:r>
        <w:rPr/>
        <w:t>Personalul sanitar cu studii superioare existent la sfârşitul anului, pe grupe de vârstă Personalul sanitar cu studii medii existent la sfârşitul anului, pe grupe de vârstă Personalul sanitar existent la sfârşitul anului, după tipul programului de lucru Numărul medicilor (exclusiv stomatologi), după specialitatea medicală</w:t>
      </w:r>
    </w:p>
    <w:p>
      <w:pPr>
        <w:pStyle w:val="BodyText"/>
      </w:pPr>
      <w:r>
        <w:rPr/>
        <w:t>Numărul sălilor de operaţii şi al procedurilor chirurgicale efectuate pacienţilor, în spitale</w:t>
      </w:r>
    </w:p>
    <w:p>
      <w:pPr>
        <w:pStyle w:val="BodyText"/>
        <w:ind w:right="1140"/>
      </w:pPr>
      <w:r>
        <w:rPr/>
        <w:t>Cheltuielile unităţilor sanitare cu paturi, în anul financiar anterior anului pentru care se face raportarea, pe surse de finanţare, categorii de cheltuieli şi tipuri de unităţi</w:t>
      </w:r>
    </w:p>
    <w:p>
      <w:pPr>
        <w:pStyle w:val="BodyText"/>
        <w:ind w:right="1140"/>
      </w:pPr>
      <w:r>
        <w:rPr/>
        <w:t>Cheltuielile unităţilor sanitare cu paturi, în anul financiar anterior anului pentru care se face raportarea, pe tipuri de unităţi şi servicii</w:t>
      </w:r>
    </w:p>
    <w:p>
      <w:pPr>
        <w:pStyle w:val="BodyText"/>
        <w:ind w:right="1133"/>
        <w:jc w:val="both"/>
      </w:pPr>
      <w:r>
        <w:rPr/>
        <w:t>S-a primit câte un SAN pentru fiecare din cele 43 de spitale publice, 41 de spitale private, 15 institute fără paturi ale Ministerului Sănătăţii, cabinetele medicale care-şi desfăşoară activitatea în spaţii</w:t>
      </w:r>
      <w:r>
        <w:rPr>
          <w:spacing w:val="-1"/>
        </w:rPr>
        <w:t> </w:t>
      </w:r>
      <w:r>
        <w:rPr/>
        <w:t>private.</w:t>
      </w:r>
    </w:p>
    <w:p>
      <w:pPr>
        <w:pStyle w:val="BodyText"/>
        <w:spacing w:before="3"/>
        <w:ind w:left="0"/>
        <w:rPr>
          <w:sz w:val="16"/>
        </w:rPr>
      </w:pPr>
    </w:p>
    <w:p>
      <w:pPr>
        <w:spacing w:before="90"/>
        <w:ind w:left="1400" w:right="1248" w:firstLine="0"/>
        <w:jc w:val="left"/>
        <w:rPr>
          <w:b/>
          <w:sz w:val="24"/>
        </w:rPr>
      </w:pPr>
      <w:r>
        <w:rPr>
          <w:color w:val="000080"/>
          <w:sz w:val="24"/>
          <w:shd w:fill="808080" w:color="auto" w:val="clear"/>
        </w:rPr>
        <w:t>S I N T E Z A </w:t>
      </w:r>
      <w:r>
        <w:rPr>
          <w:b/>
          <w:color w:val="000080"/>
          <w:sz w:val="24"/>
          <w:shd w:fill="808080" w:color="auto" w:val="clear"/>
        </w:rPr>
        <w:t>STĂRII DE SĂNĂTATE A POPULAŢIEI ŞI ACTIVITĂŢII MEDICO-</w:t>
      </w:r>
      <w:r>
        <w:rPr>
          <w:b/>
          <w:color w:val="000080"/>
          <w:sz w:val="24"/>
        </w:rPr>
        <w:t> </w:t>
      </w:r>
      <w:r>
        <w:rPr>
          <w:b/>
          <w:color w:val="000080"/>
          <w:sz w:val="24"/>
          <w:shd w:fill="808080" w:color="auto" w:val="clear"/>
        </w:rPr>
        <w:t>SANITARE</w:t>
      </w:r>
    </w:p>
    <w:p>
      <w:pPr>
        <w:pStyle w:val="BodyText"/>
        <w:ind w:right="1130"/>
        <w:jc w:val="both"/>
      </w:pPr>
      <w:r>
        <w:rPr/>
        <w:t>Se transmite către Centrul Naţional de Statistică şi Informatică în Sănătate Publică şi către Conducerea Direcţiei de Sănătate Publică a Municipiului Bucureşti are ca scop sintetizarea în aprox.</w:t>
      </w:r>
    </w:p>
    <w:p>
      <w:pPr>
        <w:pStyle w:val="BodyText"/>
        <w:ind w:right="1134"/>
        <w:jc w:val="both"/>
      </w:pPr>
      <w:r>
        <w:rPr/>
        <w:t>50 de pagini şi 90 de tabele a întregii activităţi medico-sanitare de pe teritoriul Bucureşti; documentul pune la dispoziţia celor interesaţi date despre reţeaua civilă sanitară, unităţi, paturi, secţii, laboratoare, bolnavi, servicii medicale etc. Are la bază material statistic documentat şi cu arhive autentificate de surse, material utilizabil fie în cercetare, fie în activităţile</w:t>
      </w:r>
      <w:r>
        <w:rPr>
          <w:spacing w:val="-15"/>
        </w:rPr>
        <w:t> </w:t>
      </w:r>
      <w:r>
        <w:rPr/>
        <w:t>decizionale.</w:t>
      </w:r>
    </w:p>
    <w:p>
      <w:pPr>
        <w:pStyle w:val="Heading1"/>
        <w:ind w:left="680"/>
        <w:jc w:val="both"/>
        <w:rPr>
          <w:u w:val="none"/>
        </w:rPr>
      </w:pPr>
      <w:r>
        <w:rPr>
          <w:u w:val="none"/>
        </w:rPr>
        <w:t>Boli infecţioase şi parazitare</w:t>
      </w:r>
    </w:p>
    <w:p>
      <w:pPr>
        <w:spacing w:before="1" w:after="40"/>
        <w:ind w:left="0" w:right="957" w:firstLine="0"/>
        <w:jc w:val="right"/>
        <w:rPr>
          <w:sz w:val="16"/>
        </w:rPr>
      </w:pPr>
      <w:r>
        <w:rPr>
          <w:sz w:val="16"/>
        </w:rPr>
        <w:t>Tabel T04</w:t>
      </w: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399"/>
        <w:gridCol w:w="985"/>
        <w:gridCol w:w="987"/>
        <w:gridCol w:w="985"/>
        <w:gridCol w:w="987"/>
        <w:gridCol w:w="985"/>
        <w:gridCol w:w="984"/>
        <w:gridCol w:w="986"/>
        <w:gridCol w:w="986"/>
      </w:tblGrid>
      <w:tr>
        <w:trPr>
          <w:trHeight w:val="789" w:hRule="atLeast"/>
        </w:trPr>
        <w:tc>
          <w:tcPr>
            <w:tcW w:w="1700" w:type="dxa"/>
            <w:tcBorders>
              <w:right w:val="single" w:sz="6" w:space="0" w:color="000000"/>
            </w:tcBorders>
          </w:tcPr>
          <w:p>
            <w:pPr>
              <w:pStyle w:val="TableParagraph"/>
              <w:spacing w:before="5"/>
              <w:rPr>
                <w:sz w:val="24"/>
              </w:rPr>
            </w:pPr>
          </w:p>
          <w:p>
            <w:pPr>
              <w:pStyle w:val="TableParagraph"/>
              <w:ind w:left="398"/>
              <w:rPr>
                <w:sz w:val="20"/>
              </w:rPr>
            </w:pPr>
            <w:r>
              <w:rPr>
                <w:sz w:val="20"/>
              </w:rPr>
              <w:t>Specificare</w:t>
            </w:r>
          </w:p>
        </w:tc>
        <w:tc>
          <w:tcPr>
            <w:tcW w:w="399" w:type="dxa"/>
            <w:tcBorders>
              <w:left w:val="single" w:sz="6" w:space="0" w:color="000000"/>
              <w:right w:val="single" w:sz="6" w:space="0" w:color="000000"/>
            </w:tcBorders>
            <w:textDirection w:val="btLr"/>
          </w:tcPr>
          <w:p>
            <w:pPr>
              <w:pStyle w:val="TableParagraph"/>
              <w:spacing w:before="119"/>
              <w:ind w:left="148"/>
              <w:rPr>
                <w:sz w:val="18"/>
              </w:rPr>
            </w:pPr>
            <w:r>
              <w:rPr>
                <w:sz w:val="18"/>
              </w:rPr>
              <w:t>Rand</w:t>
            </w:r>
          </w:p>
        </w:tc>
        <w:tc>
          <w:tcPr>
            <w:tcW w:w="985" w:type="dxa"/>
            <w:tcBorders>
              <w:left w:val="single" w:sz="6" w:space="0" w:color="000000"/>
              <w:right w:val="single" w:sz="6" w:space="0" w:color="000000"/>
            </w:tcBorders>
          </w:tcPr>
          <w:p>
            <w:pPr>
              <w:pStyle w:val="TableParagraph"/>
              <w:spacing w:before="50"/>
              <w:ind w:left="75" w:right="66"/>
              <w:jc w:val="center"/>
              <w:rPr>
                <w:sz w:val="20"/>
              </w:rPr>
            </w:pPr>
            <w:r>
              <w:rPr>
                <w:sz w:val="20"/>
              </w:rPr>
              <w:t>Angină cu strepto- coci</w:t>
            </w:r>
          </w:p>
        </w:tc>
        <w:tc>
          <w:tcPr>
            <w:tcW w:w="987" w:type="dxa"/>
            <w:tcBorders>
              <w:left w:val="single" w:sz="6" w:space="0" w:color="000000"/>
              <w:right w:val="single" w:sz="6" w:space="0" w:color="000000"/>
            </w:tcBorders>
          </w:tcPr>
          <w:p>
            <w:pPr>
              <w:pStyle w:val="TableParagraph"/>
              <w:spacing w:before="50"/>
              <w:ind w:left="173" w:right="164" w:hanging="2"/>
              <w:jc w:val="center"/>
              <w:rPr>
                <w:sz w:val="20"/>
              </w:rPr>
            </w:pPr>
            <w:r>
              <w:rPr>
                <w:sz w:val="20"/>
              </w:rPr>
              <w:t>Boală </w:t>
            </w:r>
            <w:r>
              <w:rPr>
                <w:w w:val="95"/>
                <w:sz w:val="20"/>
              </w:rPr>
              <w:t>diareică </w:t>
            </w:r>
            <w:r>
              <w:rPr>
                <w:sz w:val="20"/>
              </w:rPr>
              <w:t>acută</w:t>
            </w:r>
          </w:p>
        </w:tc>
        <w:tc>
          <w:tcPr>
            <w:tcW w:w="985" w:type="dxa"/>
            <w:tcBorders>
              <w:left w:val="single" w:sz="6" w:space="0" w:color="000000"/>
              <w:right w:val="single" w:sz="6" w:space="0" w:color="000000"/>
            </w:tcBorders>
          </w:tcPr>
          <w:p>
            <w:pPr>
              <w:pStyle w:val="TableParagraph"/>
              <w:spacing w:before="7"/>
              <w:rPr>
                <w:sz w:val="19"/>
              </w:rPr>
            </w:pPr>
          </w:p>
          <w:p>
            <w:pPr>
              <w:pStyle w:val="TableParagraph"/>
              <w:ind w:left="254" w:right="232" w:hanging="3"/>
              <w:rPr>
                <w:sz w:val="20"/>
              </w:rPr>
            </w:pPr>
            <w:r>
              <w:rPr>
                <w:sz w:val="20"/>
              </w:rPr>
              <w:t>Boala </w:t>
            </w:r>
            <w:r>
              <w:rPr>
                <w:w w:val="95"/>
                <w:sz w:val="20"/>
              </w:rPr>
              <w:t>Lyme</w:t>
            </w:r>
          </w:p>
        </w:tc>
        <w:tc>
          <w:tcPr>
            <w:tcW w:w="987" w:type="dxa"/>
            <w:tcBorders>
              <w:left w:val="single" w:sz="6" w:space="0" w:color="000000"/>
              <w:right w:val="single" w:sz="6" w:space="0" w:color="000000"/>
            </w:tcBorders>
          </w:tcPr>
          <w:p>
            <w:pPr>
              <w:pStyle w:val="TableParagraph"/>
              <w:spacing w:before="7"/>
              <w:rPr>
                <w:sz w:val="29"/>
              </w:rPr>
            </w:pPr>
          </w:p>
          <w:p>
            <w:pPr>
              <w:pStyle w:val="TableParagraph"/>
              <w:ind w:left="119"/>
              <w:rPr>
                <w:sz w:val="20"/>
              </w:rPr>
            </w:pPr>
            <w:r>
              <w:rPr>
                <w:sz w:val="20"/>
              </w:rPr>
              <w:t>Botulism</w:t>
            </w:r>
          </w:p>
        </w:tc>
        <w:tc>
          <w:tcPr>
            <w:tcW w:w="985" w:type="dxa"/>
            <w:tcBorders>
              <w:left w:val="single" w:sz="6" w:space="0" w:color="000000"/>
              <w:right w:val="single" w:sz="6" w:space="0" w:color="000000"/>
            </w:tcBorders>
          </w:tcPr>
          <w:p>
            <w:pPr>
              <w:pStyle w:val="TableParagraph"/>
              <w:spacing w:before="7"/>
              <w:rPr>
                <w:sz w:val="19"/>
              </w:rPr>
            </w:pPr>
          </w:p>
          <w:p>
            <w:pPr>
              <w:pStyle w:val="TableParagraph"/>
              <w:ind w:left="169" w:hanging="99"/>
              <w:rPr>
                <w:sz w:val="20"/>
              </w:rPr>
            </w:pPr>
            <w:r>
              <w:rPr>
                <w:w w:val="95"/>
                <w:sz w:val="20"/>
              </w:rPr>
              <w:t>Dizenterie </w:t>
            </w:r>
            <w:r>
              <w:rPr>
                <w:sz w:val="20"/>
              </w:rPr>
              <w:t>bacilară</w:t>
            </w:r>
          </w:p>
        </w:tc>
        <w:tc>
          <w:tcPr>
            <w:tcW w:w="984" w:type="dxa"/>
            <w:tcBorders>
              <w:left w:val="single" w:sz="6" w:space="0" w:color="000000"/>
              <w:right w:val="single" w:sz="6" w:space="0" w:color="000000"/>
            </w:tcBorders>
          </w:tcPr>
          <w:p>
            <w:pPr>
              <w:pStyle w:val="TableParagraph"/>
              <w:spacing w:before="7"/>
              <w:rPr>
                <w:sz w:val="19"/>
              </w:rPr>
            </w:pPr>
          </w:p>
          <w:p>
            <w:pPr>
              <w:pStyle w:val="TableParagraph"/>
              <w:ind w:left="51" w:firstLine="28"/>
              <w:rPr>
                <w:sz w:val="20"/>
              </w:rPr>
            </w:pPr>
            <w:r>
              <w:rPr>
                <w:sz w:val="20"/>
              </w:rPr>
              <w:t>Encefalita </w:t>
            </w:r>
            <w:r>
              <w:rPr>
                <w:w w:val="95"/>
                <w:sz w:val="20"/>
              </w:rPr>
              <w:t>infecţioasă</w:t>
            </w:r>
          </w:p>
        </w:tc>
        <w:tc>
          <w:tcPr>
            <w:tcW w:w="986" w:type="dxa"/>
            <w:tcBorders>
              <w:left w:val="single" w:sz="6" w:space="0" w:color="000000"/>
              <w:right w:val="single" w:sz="6" w:space="0" w:color="000000"/>
            </w:tcBorders>
          </w:tcPr>
          <w:p>
            <w:pPr>
              <w:pStyle w:val="TableParagraph"/>
              <w:spacing w:before="7"/>
              <w:rPr>
                <w:sz w:val="29"/>
              </w:rPr>
            </w:pPr>
          </w:p>
          <w:p>
            <w:pPr>
              <w:pStyle w:val="TableParagraph"/>
              <w:ind w:left="171"/>
              <w:rPr>
                <w:sz w:val="20"/>
              </w:rPr>
            </w:pPr>
            <w:r>
              <w:rPr>
                <w:sz w:val="20"/>
              </w:rPr>
              <w:t>Erizipel</w:t>
            </w:r>
          </w:p>
        </w:tc>
        <w:tc>
          <w:tcPr>
            <w:tcW w:w="986" w:type="dxa"/>
            <w:tcBorders>
              <w:left w:val="single" w:sz="6" w:space="0" w:color="000000"/>
            </w:tcBorders>
          </w:tcPr>
          <w:p>
            <w:pPr>
              <w:pStyle w:val="TableParagraph"/>
              <w:spacing w:before="7"/>
              <w:rPr>
                <w:sz w:val="19"/>
              </w:rPr>
            </w:pPr>
          </w:p>
          <w:p>
            <w:pPr>
              <w:pStyle w:val="TableParagraph"/>
              <w:ind w:left="224" w:firstLine="33"/>
              <w:rPr>
                <w:sz w:val="20"/>
              </w:rPr>
            </w:pPr>
            <w:r>
              <w:rPr>
                <w:sz w:val="20"/>
              </w:rPr>
              <w:t>Febră </w:t>
            </w:r>
            <w:r>
              <w:rPr>
                <w:w w:val="95"/>
                <w:sz w:val="20"/>
              </w:rPr>
              <w:t>tifoidă</w:t>
            </w:r>
          </w:p>
        </w:tc>
      </w:tr>
      <w:tr>
        <w:trPr>
          <w:trHeight w:val="225" w:hRule="atLeast"/>
        </w:trPr>
        <w:tc>
          <w:tcPr>
            <w:tcW w:w="1700" w:type="dxa"/>
            <w:tcBorders>
              <w:bottom w:val="single" w:sz="6" w:space="0" w:color="000000"/>
              <w:right w:val="single" w:sz="6" w:space="0" w:color="000000"/>
            </w:tcBorders>
          </w:tcPr>
          <w:p>
            <w:pPr>
              <w:pStyle w:val="TableParagraph"/>
              <w:spacing w:before="21"/>
              <w:ind w:left="257"/>
              <w:rPr>
                <w:sz w:val="16"/>
              </w:rPr>
            </w:pPr>
            <w:r>
              <w:rPr>
                <w:w w:val="100"/>
                <w:sz w:val="16"/>
              </w:rPr>
              <w:t>A</w:t>
            </w:r>
          </w:p>
        </w:tc>
        <w:tc>
          <w:tcPr>
            <w:tcW w:w="399" w:type="dxa"/>
            <w:tcBorders>
              <w:left w:val="single" w:sz="6" w:space="0" w:color="000000"/>
              <w:bottom w:val="single" w:sz="6" w:space="0" w:color="000000"/>
              <w:right w:val="single" w:sz="6" w:space="0" w:color="000000"/>
            </w:tcBorders>
          </w:tcPr>
          <w:p>
            <w:pPr>
              <w:pStyle w:val="TableParagraph"/>
              <w:spacing w:before="21"/>
              <w:ind w:left="9"/>
              <w:jc w:val="center"/>
              <w:rPr>
                <w:sz w:val="16"/>
              </w:rPr>
            </w:pPr>
            <w:r>
              <w:rPr>
                <w:w w:val="100"/>
                <w:sz w:val="16"/>
              </w:rPr>
              <w:t>B</w:t>
            </w:r>
          </w:p>
        </w:tc>
        <w:tc>
          <w:tcPr>
            <w:tcW w:w="985" w:type="dxa"/>
            <w:tcBorders>
              <w:left w:val="single" w:sz="6" w:space="0" w:color="000000"/>
              <w:bottom w:val="single" w:sz="6" w:space="0" w:color="000000"/>
              <w:right w:val="single" w:sz="6" w:space="0" w:color="000000"/>
            </w:tcBorders>
          </w:tcPr>
          <w:p>
            <w:pPr>
              <w:pStyle w:val="TableParagraph"/>
              <w:spacing w:before="21"/>
              <w:ind w:left="73" w:right="66"/>
              <w:jc w:val="center"/>
              <w:rPr>
                <w:sz w:val="16"/>
              </w:rPr>
            </w:pPr>
            <w:r>
              <w:rPr>
                <w:sz w:val="16"/>
              </w:rPr>
              <w:t>01</w:t>
            </w:r>
          </w:p>
        </w:tc>
        <w:tc>
          <w:tcPr>
            <w:tcW w:w="987" w:type="dxa"/>
            <w:tcBorders>
              <w:left w:val="single" w:sz="6" w:space="0" w:color="000000"/>
              <w:bottom w:val="single" w:sz="6" w:space="0" w:color="000000"/>
              <w:right w:val="single" w:sz="6" w:space="0" w:color="000000"/>
            </w:tcBorders>
          </w:tcPr>
          <w:p>
            <w:pPr>
              <w:pStyle w:val="TableParagraph"/>
              <w:spacing w:before="21"/>
              <w:ind w:left="386" w:right="378"/>
              <w:jc w:val="center"/>
              <w:rPr>
                <w:sz w:val="16"/>
              </w:rPr>
            </w:pPr>
            <w:r>
              <w:rPr>
                <w:sz w:val="16"/>
              </w:rPr>
              <w:t>02</w:t>
            </w:r>
          </w:p>
        </w:tc>
        <w:tc>
          <w:tcPr>
            <w:tcW w:w="985" w:type="dxa"/>
            <w:tcBorders>
              <w:left w:val="single" w:sz="6" w:space="0" w:color="000000"/>
              <w:bottom w:val="single" w:sz="6" w:space="0" w:color="000000"/>
              <w:right w:val="single" w:sz="6" w:space="0" w:color="000000"/>
            </w:tcBorders>
          </w:tcPr>
          <w:p>
            <w:pPr>
              <w:pStyle w:val="TableParagraph"/>
              <w:spacing w:before="21"/>
              <w:ind w:left="70" w:right="66"/>
              <w:jc w:val="center"/>
              <w:rPr>
                <w:sz w:val="16"/>
              </w:rPr>
            </w:pPr>
            <w:r>
              <w:rPr>
                <w:sz w:val="16"/>
              </w:rPr>
              <w:t>03</w:t>
            </w:r>
          </w:p>
        </w:tc>
        <w:tc>
          <w:tcPr>
            <w:tcW w:w="987" w:type="dxa"/>
            <w:tcBorders>
              <w:left w:val="single" w:sz="6" w:space="0" w:color="000000"/>
              <w:bottom w:val="single" w:sz="6" w:space="0" w:color="000000"/>
              <w:right w:val="single" w:sz="6" w:space="0" w:color="000000"/>
            </w:tcBorders>
          </w:tcPr>
          <w:p>
            <w:pPr>
              <w:pStyle w:val="TableParagraph"/>
              <w:spacing w:before="21"/>
              <w:ind w:left="383" w:right="382"/>
              <w:jc w:val="center"/>
              <w:rPr>
                <w:sz w:val="16"/>
              </w:rPr>
            </w:pPr>
            <w:r>
              <w:rPr>
                <w:sz w:val="16"/>
              </w:rPr>
              <w:t>04</w:t>
            </w:r>
          </w:p>
        </w:tc>
        <w:tc>
          <w:tcPr>
            <w:tcW w:w="985" w:type="dxa"/>
            <w:tcBorders>
              <w:left w:val="single" w:sz="6" w:space="0" w:color="000000"/>
              <w:bottom w:val="single" w:sz="6" w:space="0" w:color="000000"/>
              <w:right w:val="single" w:sz="6" w:space="0" w:color="000000"/>
            </w:tcBorders>
          </w:tcPr>
          <w:p>
            <w:pPr>
              <w:pStyle w:val="TableParagraph"/>
              <w:spacing w:before="21"/>
              <w:ind w:left="68" w:right="66"/>
              <w:jc w:val="center"/>
              <w:rPr>
                <w:sz w:val="16"/>
              </w:rPr>
            </w:pPr>
            <w:r>
              <w:rPr>
                <w:sz w:val="16"/>
              </w:rPr>
              <w:t>05</w:t>
            </w:r>
          </w:p>
        </w:tc>
        <w:tc>
          <w:tcPr>
            <w:tcW w:w="984" w:type="dxa"/>
            <w:tcBorders>
              <w:left w:val="single" w:sz="6" w:space="0" w:color="000000"/>
              <w:bottom w:val="single" w:sz="6" w:space="0" w:color="000000"/>
              <w:right w:val="single" w:sz="6" w:space="0" w:color="000000"/>
            </w:tcBorders>
          </w:tcPr>
          <w:p>
            <w:pPr>
              <w:pStyle w:val="TableParagraph"/>
              <w:spacing w:before="21"/>
              <w:ind w:left="385" w:right="383"/>
              <w:jc w:val="center"/>
              <w:rPr>
                <w:sz w:val="16"/>
              </w:rPr>
            </w:pPr>
            <w:r>
              <w:rPr>
                <w:sz w:val="16"/>
              </w:rPr>
              <w:t>06</w:t>
            </w:r>
          </w:p>
        </w:tc>
        <w:tc>
          <w:tcPr>
            <w:tcW w:w="986" w:type="dxa"/>
            <w:tcBorders>
              <w:left w:val="single" w:sz="6" w:space="0" w:color="000000"/>
              <w:bottom w:val="single" w:sz="6" w:space="0" w:color="000000"/>
              <w:right w:val="single" w:sz="6" w:space="0" w:color="000000"/>
            </w:tcBorders>
          </w:tcPr>
          <w:p>
            <w:pPr>
              <w:pStyle w:val="TableParagraph"/>
              <w:spacing w:before="21"/>
              <w:ind w:left="388" w:right="383"/>
              <w:jc w:val="center"/>
              <w:rPr>
                <w:sz w:val="16"/>
              </w:rPr>
            </w:pPr>
            <w:r>
              <w:rPr>
                <w:sz w:val="16"/>
              </w:rPr>
              <w:t>07</w:t>
            </w:r>
          </w:p>
        </w:tc>
        <w:tc>
          <w:tcPr>
            <w:tcW w:w="986" w:type="dxa"/>
            <w:tcBorders>
              <w:left w:val="single" w:sz="6" w:space="0" w:color="000000"/>
              <w:bottom w:val="single" w:sz="6" w:space="0" w:color="000000"/>
            </w:tcBorders>
          </w:tcPr>
          <w:p>
            <w:pPr>
              <w:pStyle w:val="TableParagraph"/>
              <w:spacing w:before="21"/>
              <w:ind w:left="386" w:right="386"/>
              <w:jc w:val="center"/>
              <w:rPr>
                <w:sz w:val="16"/>
              </w:rPr>
            </w:pPr>
            <w:r>
              <w:rPr>
                <w:sz w:val="16"/>
              </w:rPr>
              <w:t>08</w:t>
            </w:r>
          </w:p>
        </w:tc>
      </w:tr>
      <w:tr>
        <w:trPr>
          <w:trHeight w:val="469" w:hRule="atLeast"/>
        </w:trPr>
        <w:tc>
          <w:tcPr>
            <w:tcW w:w="1700" w:type="dxa"/>
            <w:tcBorders>
              <w:top w:val="single" w:sz="6" w:space="0" w:color="000000"/>
              <w:bottom w:val="single" w:sz="6" w:space="0" w:color="000000"/>
              <w:right w:val="single" w:sz="6" w:space="0" w:color="000000"/>
            </w:tcBorders>
          </w:tcPr>
          <w:p>
            <w:pPr>
              <w:pStyle w:val="TableParagraph"/>
              <w:spacing w:before="120"/>
              <w:ind w:left="55"/>
              <w:rPr>
                <w:sz w:val="20"/>
              </w:rPr>
            </w:pPr>
            <w:r>
              <w:rPr>
                <w:sz w:val="20"/>
              </w:rPr>
              <w:t>Total</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145"/>
              <w:ind w:left="98" w:right="85"/>
              <w:jc w:val="center"/>
              <w:rPr>
                <w:sz w:val="16"/>
              </w:rPr>
            </w:pPr>
            <w:r>
              <w:rPr>
                <w:sz w:val="16"/>
              </w:rPr>
              <w:t>01</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sz w:val="16"/>
              </w:rPr>
              <w:t>1075</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sz w:val="16"/>
              </w:rPr>
              <w:t>3261</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w w:val="100"/>
                <w:sz w:val="16"/>
              </w:rPr>
              <w:t>1</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42"/>
              <w:ind w:right="45"/>
              <w:jc w:val="right"/>
              <w:rPr>
                <w:rFonts w:ascii="Arial"/>
                <w:sz w:val="16"/>
              </w:rPr>
            </w:pPr>
            <w:r>
              <w:rPr>
                <w:rFonts w:ascii="Arial"/>
                <w:w w:val="100"/>
                <w:sz w:val="16"/>
              </w:rPr>
              <w:t>0</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3"/>
              <w:jc w:val="right"/>
              <w:rPr>
                <w:rFonts w:ascii="Arial"/>
                <w:sz w:val="16"/>
              </w:rPr>
            </w:pPr>
            <w:r>
              <w:rPr>
                <w:rFonts w:ascii="Arial"/>
                <w:w w:val="100"/>
                <w:sz w:val="16"/>
              </w:rPr>
              <w:t>1</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142"/>
              <w:ind w:right="43"/>
              <w:jc w:val="right"/>
              <w:rPr>
                <w:rFonts w:ascii="Arial"/>
                <w:sz w:val="16"/>
              </w:rPr>
            </w:pPr>
            <w:r>
              <w:rPr>
                <w:rFonts w:ascii="Arial"/>
                <w:w w:val="100"/>
                <w:sz w:val="16"/>
              </w:rPr>
              <w:t>0</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before="142"/>
              <w:ind w:right="43"/>
              <w:jc w:val="right"/>
              <w:rPr>
                <w:rFonts w:ascii="Arial"/>
                <w:sz w:val="16"/>
              </w:rPr>
            </w:pPr>
            <w:r>
              <w:rPr>
                <w:rFonts w:ascii="Arial"/>
                <w:w w:val="100"/>
                <w:sz w:val="16"/>
              </w:rPr>
              <w:t>0</w:t>
            </w:r>
          </w:p>
        </w:tc>
        <w:tc>
          <w:tcPr>
            <w:tcW w:w="986" w:type="dxa"/>
            <w:tcBorders>
              <w:top w:val="single" w:sz="6" w:space="0" w:color="000000"/>
              <w:left w:val="single" w:sz="6" w:space="0" w:color="000000"/>
              <w:bottom w:val="single" w:sz="6" w:space="0" w:color="000000"/>
            </w:tcBorders>
          </w:tcPr>
          <w:p>
            <w:pPr>
              <w:pStyle w:val="TableParagraph"/>
              <w:spacing w:before="142"/>
              <w:ind w:right="47"/>
              <w:jc w:val="right"/>
              <w:rPr>
                <w:rFonts w:ascii="Arial"/>
                <w:sz w:val="16"/>
              </w:rPr>
            </w:pPr>
            <w:r>
              <w:rPr>
                <w:rFonts w:ascii="Arial"/>
                <w:w w:val="100"/>
                <w:sz w:val="16"/>
              </w:rPr>
              <w:t>0</w:t>
            </w:r>
          </w:p>
        </w:tc>
      </w:tr>
      <w:tr>
        <w:trPr>
          <w:trHeight w:val="469" w:hRule="atLeast"/>
        </w:trPr>
        <w:tc>
          <w:tcPr>
            <w:tcW w:w="1700" w:type="dxa"/>
            <w:tcBorders>
              <w:top w:val="single" w:sz="6" w:space="0" w:color="000000"/>
              <w:bottom w:val="single" w:sz="6" w:space="0" w:color="000000"/>
              <w:right w:val="single" w:sz="6" w:space="0" w:color="000000"/>
            </w:tcBorders>
          </w:tcPr>
          <w:p>
            <w:pPr>
              <w:pStyle w:val="TableParagraph"/>
              <w:spacing w:before="120"/>
              <w:ind w:left="55"/>
              <w:rPr>
                <w:sz w:val="20"/>
              </w:rPr>
            </w:pPr>
            <w:r>
              <w:rPr>
                <w:sz w:val="20"/>
              </w:rPr>
              <w:t>Urban</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145"/>
              <w:ind w:left="98" w:right="85"/>
              <w:jc w:val="center"/>
              <w:rPr>
                <w:sz w:val="16"/>
              </w:rPr>
            </w:pPr>
            <w:r>
              <w:rPr>
                <w:sz w:val="16"/>
              </w:rPr>
              <w:t>02</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sz w:val="16"/>
              </w:rPr>
              <w:t>1075</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sz w:val="16"/>
              </w:rPr>
              <w:t>3261</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2"/>
              <w:jc w:val="right"/>
              <w:rPr>
                <w:rFonts w:ascii="Arial"/>
                <w:sz w:val="16"/>
              </w:rPr>
            </w:pPr>
            <w:r>
              <w:rPr>
                <w:rFonts w:ascii="Arial"/>
                <w:w w:val="100"/>
                <w:sz w:val="16"/>
              </w:rPr>
              <w:t>1</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42"/>
              <w:ind w:right="45"/>
              <w:jc w:val="right"/>
              <w:rPr>
                <w:rFonts w:ascii="Arial"/>
                <w:sz w:val="16"/>
              </w:rPr>
            </w:pPr>
            <w:r>
              <w:rPr>
                <w:rFonts w:ascii="Arial"/>
                <w:w w:val="100"/>
                <w:sz w:val="16"/>
              </w:rPr>
              <w:t>0</w:t>
            </w:r>
          </w:p>
        </w:tc>
        <w:tc>
          <w:tcPr>
            <w:tcW w:w="985" w:type="dxa"/>
            <w:tcBorders>
              <w:top w:val="single" w:sz="6" w:space="0" w:color="000000"/>
              <w:left w:val="single" w:sz="6" w:space="0" w:color="000000"/>
              <w:bottom w:val="single" w:sz="6" w:space="0" w:color="000000"/>
              <w:right w:val="single" w:sz="6" w:space="0" w:color="000000"/>
            </w:tcBorders>
          </w:tcPr>
          <w:p>
            <w:pPr>
              <w:pStyle w:val="TableParagraph"/>
              <w:spacing w:before="142"/>
              <w:ind w:right="43"/>
              <w:jc w:val="right"/>
              <w:rPr>
                <w:rFonts w:ascii="Arial"/>
                <w:sz w:val="16"/>
              </w:rPr>
            </w:pPr>
            <w:r>
              <w:rPr>
                <w:rFonts w:ascii="Arial"/>
                <w:w w:val="100"/>
                <w:sz w:val="16"/>
              </w:rPr>
              <w:t>1</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986" w:type="dxa"/>
            <w:tcBorders>
              <w:top w:val="single" w:sz="6" w:space="0" w:color="000000"/>
              <w:left w:val="single" w:sz="6" w:space="0" w:color="000000"/>
              <w:bottom w:val="single" w:sz="6" w:space="0" w:color="000000"/>
            </w:tcBorders>
          </w:tcPr>
          <w:p>
            <w:pPr>
              <w:pStyle w:val="TableParagraph"/>
              <w:rPr>
                <w:sz w:val="22"/>
              </w:rPr>
            </w:pPr>
          </w:p>
        </w:tc>
      </w:tr>
      <w:tr>
        <w:trPr>
          <w:trHeight w:val="469" w:hRule="atLeast"/>
        </w:trPr>
        <w:tc>
          <w:tcPr>
            <w:tcW w:w="1700" w:type="dxa"/>
            <w:tcBorders>
              <w:top w:val="single" w:sz="6" w:space="0" w:color="000000"/>
              <w:right w:val="single" w:sz="6" w:space="0" w:color="000000"/>
            </w:tcBorders>
          </w:tcPr>
          <w:p>
            <w:pPr>
              <w:pStyle w:val="TableParagraph"/>
              <w:spacing w:before="120"/>
              <w:ind w:left="55"/>
              <w:rPr>
                <w:sz w:val="20"/>
              </w:rPr>
            </w:pPr>
            <w:r>
              <w:rPr>
                <w:sz w:val="20"/>
              </w:rPr>
              <w:t>Rural</w:t>
            </w:r>
          </w:p>
        </w:tc>
        <w:tc>
          <w:tcPr>
            <w:tcW w:w="399" w:type="dxa"/>
            <w:tcBorders>
              <w:top w:val="single" w:sz="6" w:space="0" w:color="000000"/>
              <w:left w:val="single" w:sz="6" w:space="0" w:color="000000"/>
              <w:right w:val="single" w:sz="6" w:space="0" w:color="000000"/>
            </w:tcBorders>
          </w:tcPr>
          <w:p>
            <w:pPr>
              <w:pStyle w:val="TableParagraph"/>
              <w:spacing w:before="145"/>
              <w:ind w:left="98" w:right="85"/>
              <w:jc w:val="center"/>
              <w:rPr>
                <w:sz w:val="16"/>
              </w:rPr>
            </w:pPr>
            <w:r>
              <w:rPr>
                <w:sz w:val="16"/>
              </w:rPr>
              <w:t>03</w:t>
            </w:r>
          </w:p>
        </w:tc>
        <w:tc>
          <w:tcPr>
            <w:tcW w:w="985" w:type="dxa"/>
            <w:tcBorders>
              <w:top w:val="single" w:sz="6" w:space="0" w:color="000000"/>
              <w:left w:val="single" w:sz="6" w:space="0" w:color="000000"/>
              <w:right w:val="single" w:sz="6" w:space="0" w:color="000000"/>
            </w:tcBorders>
          </w:tcPr>
          <w:p>
            <w:pPr>
              <w:pStyle w:val="TableParagraph"/>
              <w:rPr>
                <w:sz w:val="22"/>
              </w:rPr>
            </w:pPr>
          </w:p>
        </w:tc>
        <w:tc>
          <w:tcPr>
            <w:tcW w:w="987" w:type="dxa"/>
            <w:tcBorders>
              <w:top w:val="single" w:sz="6" w:space="0" w:color="000000"/>
              <w:left w:val="single" w:sz="6" w:space="0" w:color="000000"/>
              <w:right w:val="single" w:sz="6" w:space="0" w:color="000000"/>
            </w:tcBorders>
          </w:tcPr>
          <w:p>
            <w:pPr>
              <w:pStyle w:val="TableParagraph"/>
              <w:rPr>
                <w:sz w:val="22"/>
              </w:rPr>
            </w:pPr>
          </w:p>
        </w:tc>
        <w:tc>
          <w:tcPr>
            <w:tcW w:w="985" w:type="dxa"/>
            <w:tcBorders>
              <w:top w:val="single" w:sz="6" w:space="0" w:color="000000"/>
              <w:left w:val="single" w:sz="6" w:space="0" w:color="000000"/>
              <w:right w:val="single" w:sz="6" w:space="0" w:color="000000"/>
            </w:tcBorders>
          </w:tcPr>
          <w:p>
            <w:pPr>
              <w:pStyle w:val="TableParagraph"/>
              <w:rPr>
                <w:sz w:val="22"/>
              </w:rPr>
            </w:pPr>
          </w:p>
        </w:tc>
        <w:tc>
          <w:tcPr>
            <w:tcW w:w="987" w:type="dxa"/>
            <w:tcBorders>
              <w:top w:val="single" w:sz="6" w:space="0" w:color="000000"/>
              <w:left w:val="single" w:sz="6" w:space="0" w:color="000000"/>
              <w:right w:val="single" w:sz="6" w:space="0" w:color="000000"/>
            </w:tcBorders>
          </w:tcPr>
          <w:p>
            <w:pPr>
              <w:pStyle w:val="TableParagraph"/>
              <w:rPr>
                <w:sz w:val="22"/>
              </w:rPr>
            </w:pPr>
          </w:p>
        </w:tc>
        <w:tc>
          <w:tcPr>
            <w:tcW w:w="985" w:type="dxa"/>
            <w:tcBorders>
              <w:top w:val="single" w:sz="6" w:space="0" w:color="000000"/>
              <w:left w:val="single" w:sz="6" w:space="0" w:color="000000"/>
              <w:right w:val="single" w:sz="6" w:space="0" w:color="000000"/>
            </w:tcBorders>
          </w:tcPr>
          <w:p>
            <w:pPr>
              <w:pStyle w:val="TableParagraph"/>
              <w:rPr>
                <w:sz w:val="22"/>
              </w:rPr>
            </w:pPr>
          </w:p>
        </w:tc>
        <w:tc>
          <w:tcPr>
            <w:tcW w:w="984" w:type="dxa"/>
            <w:tcBorders>
              <w:top w:val="single" w:sz="6" w:space="0" w:color="000000"/>
              <w:left w:val="single" w:sz="6" w:space="0" w:color="000000"/>
              <w:right w:val="single" w:sz="6" w:space="0" w:color="000000"/>
            </w:tcBorders>
          </w:tcPr>
          <w:p>
            <w:pPr>
              <w:pStyle w:val="TableParagraph"/>
              <w:rPr>
                <w:sz w:val="22"/>
              </w:rPr>
            </w:pPr>
          </w:p>
        </w:tc>
        <w:tc>
          <w:tcPr>
            <w:tcW w:w="986" w:type="dxa"/>
            <w:tcBorders>
              <w:top w:val="single" w:sz="6" w:space="0" w:color="000000"/>
              <w:left w:val="single" w:sz="6" w:space="0" w:color="000000"/>
              <w:right w:val="single" w:sz="6" w:space="0" w:color="000000"/>
            </w:tcBorders>
          </w:tcPr>
          <w:p>
            <w:pPr>
              <w:pStyle w:val="TableParagraph"/>
              <w:rPr>
                <w:sz w:val="22"/>
              </w:rPr>
            </w:pPr>
          </w:p>
        </w:tc>
        <w:tc>
          <w:tcPr>
            <w:tcW w:w="986" w:type="dxa"/>
            <w:tcBorders>
              <w:top w:val="single" w:sz="6" w:space="0" w:color="000000"/>
              <w:left w:val="single" w:sz="6" w:space="0" w:color="000000"/>
            </w:tcBorders>
          </w:tcPr>
          <w:p>
            <w:pPr>
              <w:pStyle w:val="TableParagraph"/>
              <w:rPr>
                <w:sz w:val="22"/>
              </w:rPr>
            </w:pPr>
          </w:p>
        </w:tc>
      </w:tr>
    </w:tbl>
    <w:p>
      <w:pPr>
        <w:pStyle w:val="BodyText"/>
        <w:ind w:left="0"/>
        <w:rPr>
          <w:sz w:val="20"/>
        </w:rPr>
      </w:pPr>
    </w:p>
    <w:p>
      <w:pPr>
        <w:pStyle w:val="ListParagraph"/>
        <w:numPr>
          <w:ilvl w:val="0"/>
          <w:numId w:val="16"/>
        </w:numPr>
        <w:tabs>
          <w:tab w:pos="796" w:val="left" w:leader="none"/>
        </w:tabs>
        <w:spacing w:line="240" w:lineRule="auto" w:before="1" w:after="0"/>
        <w:ind w:left="795" w:right="0" w:hanging="116"/>
        <w:jc w:val="left"/>
        <w:rPr>
          <w:sz w:val="20"/>
        </w:rPr>
      </w:pPr>
      <w:r>
        <w:rPr>
          <w:sz w:val="20"/>
        </w:rPr>
        <w:t>continuare -</w:t>
      </w:r>
    </w:p>
    <w:p>
      <w:pPr>
        <w:spacing w:after="0" w:line="240" w:lineRule="auto"/>
        <w:jc w:val="left"/>
        <w:rPr>
          <w:sz w:val="20"/>
        </w:rPr>
        <w:sectPr>
          <w:pgSz w:w="11910" w:h="16840"/>
          <w:pgMar w:header="0" w:footer="658" w:top="1580" w:bottom="840" w:left="400" w:right="0"/>
        </w:sectPr>
      </w:pP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953"/>
        <w:gridCol w:w="954"/>
        <w:gridCol w:w="817"/>
        <w:gridCol w:w="992"/>
        <w:gridCol w:w="992"/>
        <w:gridCol w:w="852"/>
        <w:gridCol w:w="992"/>
        <w:gridCol w:w="1073"/>
        <w:gridCol w:w="953"/>
        <w:gridCol w:w="953"/>
      </w:tblGrid>
      <w:tr>
        <w:trPr>
          <w:trHeight w:val="775" w:hRule="atLeast"/>
        </w:trPr>
        <w:tc>
          <w:tcPr>
            <w:tcW w:w="454" w:type="dxa"/>
            <w:tcBorders>
              <w:bottom w:val="single" w:sz="6" w:space="0" w:color="000000"/>
              <w:right w:val="single" w:sz="6" w:space="0" w:color="000000"/>
            </w:tcBorders>
            <w:textDirection w:val="btLr"/>
          </w:tcPr>
          <w:p>
            <w:pPr>
              <w:pStyle w:val="TableParagraph"/>
              <w:spacing w:before="149"/>
              <w:ind w:left="138"/>
              <w:rPr>
                <w:sz w:val="18"/>
              </w:rPr>
            </w:pPr>
            <w:r>
              <w:rPr>
                <w:sz w:val="18"/>
              </w:rPr>
              <w:t>Rand</w:t>
            </w:r>
          </w:p>
        </w:tc>
        <w:tc>
          <w:tcPr>
            <w:tcW w:w="953" w:type="dxa"/>
            <w:tcBorders>
              <w:left w:val="single" w:sz="6" w:space="0" w:color="000000"/>
              <w:bottom w:val="single" w:sz="6" w:space="0" w:color="000000"/>
              <w:right w:val="single" w:sz="6" w:space="0" w:color="000000"/>
            </w:tcBorders>
          </w:tcPr>
          <w:p>
            <w:pPr>
              <w:pStyle w:val="TableParagraph"/>
              <w:spacing w:before="43"/>
              <w:ind w:left="210" w:right="204" w:firstLine="33"/>
              <w:jc w:val="both"/>
              <w:rPr>
                <w:sz w:val="20"/>
              </w:rPr>
            </w:pPr>
            <w:r>
              <w:rPr>
                <w:sz w:val="20"/>
              </w:rPr>
              <w:t>Febră para- tifoidă</w:t>
            </w:r>
          </w:p>
        </w:tc>
        <w:tc>
          <w:tcPr>
            <w:tcW w:w="954" w:type="dxa"/>
            <w:tcBorders>
              <w:left w:val="single" w:sz="6" w:space="0" w:color="000000"/>
              <w:bottom w:val="single" w:sz="6" w:space="0" w:color="000000"/>
              <w:right w:val="single" w:sz="6" w:space="0" w:color="000000"/>
            </w:tcBorders>
          </w:tcPr>
          <w:p>
            <w:pPr>
              <w:pStyle w:val="TableParagraph"/>
              <w:spacing w:before="7"/>
              <w:rPr>
                <w:sz w:val="23"/>
              </w:rPr>
            </w:pPr>
          </w:p>
          <w:p>
            <w:pPr>
              <w:pStyle w:val="TableParagraph"/>
              <w:ind w:left="244"/>
              <w:rPr>
                <w:sz w:val="20"/>
              </w:rPr>
            </w:pPr>
            <w:r>
              <w:rPr>
                <w:sz w:val="20"/>
              </w:rPr>
              <w:t>Gripă</w:t>
            </w:r>
          </w:p>
        </w:tc>
        <w:tc>
          <w:tcPr>
            <w:tcW w:w="817" w:type="dxa"/>
            <w:tcBorders>
              <w:left w:val="single" w:sz="6" w:space="0" w:color="000000"/>
              <w:bottom w:val="single" w:sz="6" w:space="0" w:color="000000"/>
              <w:right w:val="single" w:sz="6" w:space="0" w:color="000000"/>
            </w:tcBorders>
          </w:tcPr>
          <w:p>
            <w:pPr>
              <w:pStyle w:val="TableParagraph"/>
              <w:spacing w:before="156"/>
              <w:ind w:left="174" w:right="41" w:hanging="111"/>
              <w:rPr>
                <w:sz w:val="20"/>
              </w:rPr>
            </w:pPr>
            <w:r>
              <w:rPr>
                <w:sz w:val="20"/>
              </w:rPr>
              <w:t>Hepatită virală</w:t>
            </w:r>
          </w:p>
        </w:tc>
        <w:tc>
          <w:tcPr>
            <w:tcW w:w="992" w:type="dxa"/>
            <w:tcBorders>
              <w:left w:val="single" w:sz="6" w:space="0" w:color="000000"/>
              <w:bottom w:val="single" w:sz="6" w:space="0" w:color="000000"/>
              <w:right w:val="single" w:sz="6" w:space="0" w:color="000000"/>
            </w:tcBorders>
          </w:tcPr>
          <w:p>
            <w:pPr>
              <w:pStyle w:val="TableParagraph"/>
              <w:spacing w:before="43"/>
              <w:ind w:left="290" w:right="41" w:hanging="224"/>
              <w:rPr>
                <w:sz w:val="20"/>
              </w:rPr>
            </w:pPr>
            <w:r>
              <w:rPr>
                <w:sz w:val="20"/>
              </w:rPr>
              <w:t>Infecţia cu virus</w:t>
            </w:r>
          </w:p>
          <w:p>
            <w:pPr>
              <w:pStyle w:val="TableParagraph"/>
              <w:spacing w:line="229" w:lineRule="exact"/>
              <w:ind w:left="55"/>
              <w:rPr>
                <w:sz w:val="20"/>
              </w:rPr>
            </w:pPr>
            <w:r>
              <w:rPr>
                <w:sz w:val="20"/>
              </w:rPr>
              <w:t>West- Nile</w:t>
            </w:r>
          </w:p>
        </w:tc>
        <w:tc>
          <w:tcPr>
            <w:tcW w:w="992" w:type="dxa"/>
            <w:tcBorders>
              <w:left w:val="single" w:sz="6" w:space="0" w:color="000000"/>
              <w:bottom w:val="single" w:sz="6" w:space="0" w:color="000000"/>
              <w:right w:val="single" w:sz="6" w:space="0" w:color="000000"/>
            </w:tcBorders>
          </w:tcPr>
          <w:p>
            <w:pPr>
              <w:pStyle w:val="TableParagraph"/>
              <w:spacing w:before="156"/>
              <w:ind w:left="201" w:right="178" w:firstLine="21"/>
              <w:rPr>
                <w:sz w:val="20"/>
              </w:rPr>
            </w:pPr>
            <w:r>
              <w:rPr>
                <w:sz w:val="20"/>
              </w:rPr>
              <w:t>Lepto- spiroză</w:t>
            </w:r>
          </w:p>
        </w:tc>
        <w:tc>
          <w:tcPr>
            <w:tcW w:w="852" w:type="dxa"/>
            <w:tcBorders>
              <w:left w:val="single" w:sz="6" w:space="0" w:color="000000"/>
              <w:bottom w:val="single" w:sz="6" w:space="0" w:color="000000"/>
              <w:right w:val="single" w:sz="6" w:space="0" w:color="000000"/>
            </w:tcBorders>
          </w:tcPr>
          <w:p>
            <w:pPr>
              <w:pStyle w:val="TableParagraph"/>
              <w:spacing w:before="7"/>
              <w:rPr>
                <w:sz w:val="23"/>
              </w:rPr>
            </w:pPr>
          </w:p>
          <w:p>
            <w:pPr>
              <w:pStyle w:val="TableParagraph"/>
              <w:ind w:left="109"/>
              <w:rPr>
                <w:sz w:val="20"/>
              </w:rPr>
            </w:pPr>
            <w:r>
              <w:rPr>
                <w:sz w:val="20"/>
              </w:rPr>
              <w:t>Malarie</w:t>
            </w:r>
          </w:p>
        </w:tc>
        <w:tc>
          <w:tcPr>
            <w:tcW w:w="992" w:type="dxa"/>
            <w:tcBorders>
              <w:left w:val="single" w:sz="6" w:space="0" w:color="000000"/>
              <w:bottom w:val="single" w:sz="6" w:space="0" w:color="000000"/>
              <w:right w:val="single" w:sz="6" w:space="0" w:color="000000"/>
            </w:tcBorders>
          </w:tcPr>
          <w:p>
            <w:pPr>
              <w:pStyle w:val="TableParagraph"/>
              <w:spacing w:before="43"/>
              <w:ind w:left="78" w:right="76"/>
              <w:jc w:val="center"/>
              <w:rPr>
                <w:sz w:val="20"/>
              </w:rPr>
            </w:pPr>
            <w:r>
              <w:rPr>
                <w:sz w:val="20"/>
              </w:rPr>
              <w:t>Meningită cerebro- spinală</w:t>
            </w:r>
          </w:p>
        </w:tc>
        <w:tc>
          <w:tcPr>
            <w:tcW w:w="1073" w:type="dxa"/>
            <w:tcBorders>
              <w:left w:val="single" w:sz="6" w:space="0" w:color="000000"/>
              <w:bottom w:val="single" w:sz="6" w:space="0" w:color="000000"/>
              <w:right w:val="single" w:sz="6" w:space="0" w:color="000000"/>
            </w:tcBorders>
          </w:tcPr>
          <w:p>
            <w:pPr>
              <w:pStyle w:val="TableParagraph"/>
              <w:spacing w:before="43"/>
              <w:ind w:left="97" w:right="95" w:firstLine="2"/>
              <w:jc w:val="center"/>
              <w:rPr>
                <w:sz w:val="20"/>
              </w:rPr>
            </w:pPr>
            <w:r>
              <w:rPr>
                <w:sz w:val="20"/>
              </w:rPr>
              <w:t>Mono- nucleoză </w:t>
            </w:r>
            <w:r>
              <w:rPr>
                <w:spacing w:val="-1"/>
                <w:sz w:val="20"/>
              </w:rPr>
              <w:t>infecţioasă</w:t>
            </w:r>
          </w:p>
        </w:tc>
        <w:tc>
          <w:tcPr>
            <w:tcW w:w="953" w:type="dxa"/>
            <w:tcBorders>
              <w:left w:val="single" w:sz="6" w:space="0" w:color="000000"/>
              <w:bottom w:val="single" w:sz="6" w:space="0" w:color="000000"/>
              <w:right w:val="single" w:sz="6" w:space="0" w:color="000000"/>
            </w:tcBorders>
          </w:tcPr>
          <w:p>
            <w:pPr>
              <w:pStyle w:val="TableParagraph"/>
              <w:spacing w:before="156"/>
              <w:ind w:left="58" w:right="33" w:firstLine="21"/>
              <w:rPr>
                <w:sz w:val="20"/>
              </w:rPr>
            </w:pPr>
            <w:r>
              <w:rPr>
                <w:sz w:val="20"/>
              </w:rPr>
              <w:t>Parotidită </w:t>
            </w:r>
            <w:r>
              <w:rPr>
                <w:w w:val="95"/>
                <w:sz w:val="20"/>
              </w:rPr>
              <w:t>epidemică</w:t>
            </w:r>
          </w:p>
        </w:tc>
        <w:tc>
          <w:tcPr>
            <w:tcW w:w="953" w:type="dxa"/>
            <w:tcBorders>
              <w:left w:val="single" w:sz="6" w:space="0" w:color="000000"/>
              <w:bottom w:val="single" w:sz="6" w:space="0" w:color="000000"/>
            </w:tcBorders>
          </w:tcPr>
          <w:p>
            <w:pPr>
              <w:pStyle w:val="TableParagraph"/>
              <w:spacing w:before="7"/>
              <w:rPr>
                <w:sz w:val="23"/>
              </w:rPr>
            </w:pPr>
          </w:p>
          <w:p>
            <w:pPr>
              <w:pStyle w:val="TableParagraph"/>
              <w:ind w:left="135"/>
              <w:rPr>
                <w:sz w:val="20"/>
              </w:rPr>
            </w:pPr>
            <w:r>
              <w:rPr>
                <w:sz w:val="20"/>
              </w:rPr>
              <w:t>Rubeolă</w:t>
            </w:r>
          </w:p>
        </w:tc>
      </w:tr>
      <w:tr>
        <w:trPr>
          <w:trHeight w:val="222" w:hRule="atLeast"/>
        </w:trPr>
        <w:tc>
          <w:tcPr>
            <w:tcW w:w="454" w:type="dxa"/>
            <w:tcBorders>
              <w:top w:val="single" w:sz="6" w:space="0" w:color="000000"/>
              <w:bottom w:val="single" w:sz="6" w:space="0" w:color="000000"/>
              <w:right w:val="single" w:sz="6" w:space="0" w:color="000000"/>
            </w:tcBorders>
          </w:tcPr>
          <w:p>
            <w:pPr>
              <w:pStyle w:val="TableParagraph"/>
              <w:spacing w:line="182" w:lineRule="exact" w:before="20"/>
              <w:ind w:left="11"/>
              <w:jc w:val="center"/>
              <w:rPr>
                <w:sz w:val="16"/>
              </w:rPr>
            </w:pPr>
            <w:r>
              <w:rPr>
                <w:w w:val="100"/>
                <w:sz w:val="16"/>
              </w:rPr>
              <w:t>B</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369" w:right="362"/>
              <w:jc w:val="center"/>
              <w:rPr>
                <w:sz w:val="16"/>
              </w:rPr>
            </w:pPr>
            <w:r>
              <w:rPr>
                <w:sz w:val="16"/>
              </w:rPr>
              <w:t>09</w:t>
            </w:r>
          </w:p>
        </w:tc>
        <w:tc>
          <w:tcPr>
            <w:tcW w:w="954"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372" w:right="367"/>
              <w:jc w:val="center"/>
              <w:rPr>
                <w:sz w:val="16"/>
              </w:rPr>
            </w:pPr>
            <w:r>
              <w:rPr>
                <w:sz w:val="16"/>
              </w:rPr>
              <w:t>10</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304" w:right="297"/>
              <w:jc w:val="center"/>
              <w:rPr>
                <w:sz w:val="16"/>
              </w:rPr>
            </w:pPr>
            <w:r>
              <w:rPr>
                <w:sz w:val="16"/>
              </w:rPr>
              <w:t>11</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78" w:right="71"/>
              <w:jc w:val="center"/>
              <w:rPr>
                <w:sz w:val="16"/>
              </w:rPr>
            </w:pPr>
            <w:r>
              <w:rPr>
                <w:sz w:val="16"/>
              </w:rPr>
              <w:t>12</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78" w:right="72"/>
              <w:jc w:val="center"/>
              <w:rPr>
                <w:sz w:val="16"/>
              </w:rPr>
            </w:pPr>
            <w:r>
              <w:rPr>
                <w:sz w:val="16"/>
              </w:rPr>
              <w:t>13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321" w:right="315"/>
              <w:jc w:val="center"/>
              <w:rPr>
                <w:sz w:val="16"/>
              </w:rPr>
            </w:pPr>
            <w:r>
              <w:rPr>
                <w:sz w:val="16"/>
              </w:rPr>
              <w:t>14</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78" w:right="73"/>
              <w:jc w:val="center"/>
              <w:rPr>
                <w:sz w:val="16"/>
              </w:rPr>
            </w:pPr>
            <w:r>
              <w:rPr>
                <w:sz w:val="16"/>
              </w:rPr>
              <w:t>15</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431" w:right="426"/>
              <w:jc w:val="center"/>
              <w:rPr>
                <w:sz w:val="16"/>
              </w:rPr>
            </w:pPr>
            <w:r>
              <w:rPr>
                <w:sz w:val="16"/>
              </w:rPr>
              <w:t>16</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82" w:lineRule="exact" w:before="20"/>
              <w:ind w:left="363" w:right="363"/>
              <w:jc w:val="center"/>
              <w:rPr>
                <w:sz w:val="16"/>
              </w:rPr>
            </w:pPr>
            <w:r>
              <w:rPr>
                <w:sz w:val="16"/>
              </w:rPr>
              <w:t>17</w:t>
            </w:r>
          </w:p>
        </w:tc>
        <w:tc>
          <w:tcPr>
            <w:tcW w:w="953" w:type="dxa"/>
            <w:tcBorders>
              <w:top w:val="single" w:sz="6" w:space="0" w:color="000000"/>
              <w:left w:val="single" w:sz="6" w:space="0" w:color="000000"/>
              <w:bottom w:val="single" w:sz="6" w:space="0" w:color="000000"/>
            </w:tcBorders>
          </w:tcPr>
          <w:p>
            <w:pPr>
              <w:pStyle w:val="TableParagraph"/>
              <w:spacing w:line="182" w:lineRule="exact" w:before="20"/>
              <w:ind w:left="369" w:right="370"/>
              <w:jc w:val="center"/>
              <w:rPr>
                <w:sz w:val="16"/>
              </w:rPr>
            </w:pPr>
            <w:r>
              <w:rPr>
                <w:sz w:val="16"/>
              </w:rPr>
              <w:t>18</w:t>
            </w:r>
          </w:p>
        </w:tc>
      </w:tr>
      <w:tr>
        <w:trPr>
          <w:trHeight w:val="184" w:hRule="atLeast"/>
        </w:trPr>
        <w:tc>
          <w:tcPr>
            <w:tcW w:w="454" w:type="dxa"/>
            <w:tcBorders>
              <w:top w:val="single" w:sz="6" w:space="0" w:color="000000"/>
              <w:bottom w:val="single" w:sz="6" w:space="0" w:color="000000"/>
              <w:right w:val="single" w:sz="6" w:space="0" w:color="000000"/>
            </w:tcBorders>
          </w:tcPr>
          <w:p>
            <w:pPr>
              <w:pStyle w:val="TableParagraph"/>
              <w:spacing w:line="163" w:lineRule="exact" w:before="1"/>
              <w:ind w:left="128" w:right="113"/>
              <w:jc w:val="center"/>
              <w:rPr>
                <w:sz w:val="16"/>
              </w:rPr>
            </w:pPr>
            <w:r>
              <w:rPr>
                <w:sz w:val="16"/>
              </w:rPr>
              <w:t>01</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2"/>
              <w:jc w:val="right"/>
              <w:rPr>
                <w:rFonts w:ascii="Arial"/>
                <w:sz w:val="16"/>
              </w:rPr>
            </w:pPr>
            <w:r>
              <w:rPr>
                <w:rFonts w:ascii="Arial"/>
                <w:w w:val="100"/>
                <w:sz w:val="16"/>
              </w:rPr>
              <w:t>0</w:t>
            </w:r>
          </w:p>
        </w:tc>
        <w:tc>
          <w:tcPr>
            <w:tcW w:w="954"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4"/>
              <w:jc w:val="right"/>
              <w:rPr>
                <w:rFonts w:ascii="Arial"/>
                <w:sz w:val="16"/>
              </w:rPr>
            </w:pPr>
            <w:r>
              <w:rPr>
                <w:rFonts w:ascii="Arial"/>
                <w:sz w:val="16"/>
              </w:rPr>
              <w:t>438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5"/>
              <w:jc w:val="right"/>
              <w:rPr>
                <w:rFonts w:ascii="Arial"/>
                <w:sz w:val="16"/>
              </w:rPr>
            </w:pPr>
            <w:r>
              <w:rPr>
                <w:rFonts w:ascii="Arial"/>
                <w:sz w:val="16"/>
              </w:rPr>
              <w:t>69</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sz w:val="16"/>
              </w:rPr>
              <w:t>18</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1</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9</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4"/>
              <w:jc w:val="right"/>
              <w:rPr>
                <w:rFonts w:ascii="Arial"/>
                <w:sz w:val="16"/>
              </w:rPr>
            </w:pPr>
            <w:r>
              <w:rPr>
                <w:rFonts w:ascii="Arial"/>
                <w:sz w:val="16"/>
              </w:rPr>
              <w:t>70</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6"/>
              <w:jc w:val="right"/>
              <w:rPr>
                <w:rFonts w:ascii="Arial"/>
                <w:sz w:val="16"/>
              </w:rPr>
            </w:pPr>
            <w:r>
              <w:rPr>
                <w:rFonts w:ascii="Arial"/>
                <w:w w:val="100"/>
                <w:sz w:val="16"/>
              </w:rPr>
              <w:t>0</w:t>
            </w:r>
          </w:p>
        </w:tc>
        <w:tc>
          <w:tcPr>
            <w:tcW w:w="953" w:type="dxa"/>
            <w:tcBorders>
              <w:top w:val="single" w:sz="6" w:space="0" w:color="000000"/>
              <w:left w:val="single" w:sz="6" w:space="0" w:color="000000"/>
              <w:bottom w:val="single" w:sz="6" w:space="0" w:color="000000"/>
            </w:tcBorders>
          </w:tcPr>
          <w:p>
            <w:pPr>
              <w:pStyle w:val="TableParagraph"/>
              <w:spacing w:line="163" w:lineRule="exact" w:before="1"/>
              <w:ind w:right="48"/>
              <w:jc w:val="right"/>
              <w:rPr>
                <w:rFonts w:ascii="Arial"/>
                <w:sz w:val="16"/>
              </w:rPr>
            </w:pPr>
            <w:r>
              <w:rPr>
                <w:rFonts w:ascii="Arial"/>
                <w:w w:val="100"/>
                <w:sz w:val="16"/>
              </w:rPr>
              <w:t>3</w:t>
            </w:r>
          </w:p>
        </w:tc>
      </w:tr>
      <w:tr>
        <w:trPr>
          <w:trHeight w:val="184" w:hRule="atLeast"/>
        </w:trPr>
        <w:tc>
          <w:tcPr>
            <w:tcW w:w="454" w:type="dxa"/>
            <w:tcBorders>
              <w:top w:val="single" w:sz="6" w:space="0" w:color="000000"/>
              <w:bottom w:val="single" w:sz="6" w:space="0" w:color="000000"/>
              <w:right w:val="single" w:sz="6" w:space="0" w:color="000000"/>
            </w:tcBorders>
          </w:tcPr>
          <w:p>
            <w:pPr>
              <w:pStyle w:val="TableParagraph"/>
              <w:spacing w:line="163" w:lineRule="exact" w:before="1"/>
              <w:ind w:left="128" w:right="113"/>
              <w:jc w:val="center"/>
              <w:rPr>
                <w:sz w:val="16"/>
              </w:rPr>
            </w:pPr>
            <w:r>
              <w:rPr>
                <w:sz w:val="16"/>
              </w:rPr>
              <w:t>02</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rPr>
                <w:sz w:val="12"/>
              </w:rPr>
            </w:pPr>
          </w:p>
        </w:tc>
        <w:tc>
          <w:tcPr>
            <w:tcW w:w="954"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4"/>
              <w:jc w:val="right"/>
              <w:rPr>
                <w:rFonts w:ascii="Arial"/>
                <w:sz w:val="16"/>
              </w:rPr>
            </w:pPr>
            <w:r>
              <w:rPr>
                <w:rFonts w:ascii="Arial"/>
                <w:sz w:val="16"/>
              </w:rPr>
              <w:t>438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5"/>
              <w:jc w:val="right"/>
              <w:rPr>
                <w:rFonts w:ascii="Arial"/>
                <w:sz w:val="16"/>
              </w:rPr>
            </w:pPr>
            <w:r>
              <w:rPr>
                <w:rFonts w:ascii="Arial"/>
                <w:sz w:val="16"/>
              </w:rPr>
              <w:t>69</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sz w:val="16"/>
              </w:rPr>
              <w:t>18</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1</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9</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3"/>
              <w:jc w:val="right"/>
              <w:rPr>
                <w:rFonts w:ascii="Arial"/>
                <w:sz w:val="16"/>
              </w:rPr>
            </w:pPr>
            <w:r>
              <w:rPr>
                <w:rFonts w:ascii="Arial"/>
                <w:w w:val="100"/>
                <w:sz w:val="16"/>
              </w:rPr>
              <w:t>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4"/>
              <w:jc w:val="right"/>
              <w:rPr>
                <w:rFonts w:ascii="Arial"/>
                <w:sz w:val="16"/>
              </w:rPr>
            </w:pPr>
            <w:r>
              <w:rPr>
                <w:rFonts w:ascii="Arial"/>
                <w:sz w:val="16"/>
              </w:rPr>
              <w:t>70</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6"/>
              <w:jc w:val="right"/>
              <w:rPr>
                <w:rFonts w:ascii="Arial"/>
                <w:sz w:val="16"/>
              </w:rPr>
            </w:pPr>
            <w:r>
              <w:rPr>
                <w:rFonts w:ascii="Arial"/>
                <w:w w:val="100"/>
                <w:sz w:val="16"/>
              </w:rPr>
              <w:t>0</w:t>
            </w:r>
          </w:p>
        </w:tc>
        <w:tc>
          <w:tcPr>
            <w:tcW w:w="953" w:type="dxa"/>
            <w:tcBorders>
              <w:top w:val="single" w:sz="6" w:space="0" w:color="000000"/>
              <w:left w:val="single" w:sz="6" w:space="0" w:color="000000"/>
              <w:bottom w:val="single" w:sz="6" w:space="0" w:color="000000"/>
            </w:tcBorders>
          </w:tcPr>
          <w:p>
            <w:pPr>
              <w:pStyle w:val="TableParagraph"/>
              <w:spacing w:line="163" w:lineRule="exact" w:before="1"/>
              <w:ind w:right="48"/>
              <w:jc w:val="right"/>
              <w:rPr>
                <w:rFonts w:ascii="Arial"/>
                <w:sz w:val="16"/>
              </w:rPr>
            </w:pPr>
            <w:r>
              <w:rPr>
                <w:rFonts w:ascii="Arial"/>
                <w:w w:val="100"/>
                <w:sz w:val="16"/>
              </w:rPr>
              <w:t>3</w:t>
            </w:r>
          </w:p>
        </w:tc>
      </w:tr>
      <w:tr>
        <w:trPr>
          <w:trHeight w:val="424" w:hRule="atLeast"/>
        </w:trPr>
        <w:tc>
          <w:tcPr>
            <w:tcW w:w="454" w:type="dxa"/>
            <w:tcBorders>
              <w:top w:val="single" w:sz="6" w:space="0" w:color="000000"/>
              <w:right w:val="single" w:sz="6" w:space="0" w:color="000000"/>
            </w:tcBorders>
          </w:tcPr>
          <w:p>
            <w:pPr>
              <w:pStyle w:val="TableParagraph"/>
              <w:spacing w:before="121"/>
              <w:ind w:left="128" w:right="113"/>
              <w:jc w:val="center"/>
              <w:rPr>
                <w:sz w:val="16"/>
              </w:rPr>
            </w:pPr>
            <w:r>
              <w:rPr>
                <w:sz w:val="16"/>
              </w:rPr>
              <w:t>03</w:t>
            </w:r>
          </w:p>
        </w:tc>
        <w:tc>
          <w:tcPr>
            <w:tcW w:w="953" w:type="dxa"/>
            <w:tcBorders>
              <w:top w:val="single" w:sz="6" w:space="0" w:color="000000"/>
              <w:left w:val="single" w:sz="6" w:space="0" w:color="000000"/>
              <w:right w:val="single" w:sz="6" w:space="0" w:color="000000"/>
            </w:tcBorders>
          </w:tcPr>
          <w:p>
            <w:pPr>
              <w:pStyle w:val="TableParagraph"/>
              <w:rPr>
                <w:sz w:val="18"/>
              </w:rPr>
            </w:pPr>
          </w:p>
        </w:tc>
        <w:tc>
          <w:tcPr>
            <w:tcW w:w="954" w:type="dxa"/>
            <w:tcBorders>
              <w:top w:val="single" w:sz="6" w:space="0" w:color="000000"/>
              <w:left w:val="single" w:sz="6" w:space="0" w:color="000000"/>
              <w:right w:val="single" w:sz="6" w:space="0" w:color="000000"/>
            </w:tcBorders>
          </w:tcPr>
          <w:p>
            <w:pPr>
              <w:pStyle w:val="TableParagraph"/>
              <w:rPr>
                <w:sz w:val="18"/>
              </w:rPr>
            </w:pPr>
          </w:p>
        </w:tc>
        <w:tc>
          <w:tcPr>
            <w:tcW w:w="817" w:type="dxa"/>
            <w:tcBorders>
              <w:top w:val="single" w:sz="6" w:space="0" w:color="000000"/>
              <w:left w:val="single" w:sz="6" w:space="0" w:color="000000"/>
              <w:right w:val="single" w:sz="6" w:space="0" w:color="000000"/>
            </w:tcBorders>
          </w:tcPr>
          <w:p>
            <w:pPr>
              <w:pStyle w:val="TableParagraph"/>
              <w:rPr>
                <w:sz w:val="18"/>
              </w:rPr>
            </w:pPr>
          </w:p>
        </w:tc>
        <w:tc>
          <w:tcPr>
            <w:tcW w:w="992" w:type="dxa"/>
            <w:tcBorders>
              <w:top w:val="single" w:sz="6" w:space="0" w:color="000000"/>
              <w:left w:val="single" w:sz="6" w:space="0" w:color="000000"/>
              <w:right w:val="single" w:sz="6" w:space="0" w:color="000000"/>
            </w:tcBorders>
          </w:tcPr>
          <w:p>
            <w:pPr>
              <w:pStyle w:val="TableParagraph"/>
              <w:rPr>
                <w:sz w:val="18"/>
              </w:rPr>
            </w:pPr>
          </w:p>
        </w:tc>
        <w:tc>
          <w:tcPr>
            <w:tcW w:w="992" w:type="dxa"/>
            <w:tcBorders>
              <w:top w:val="single" w:sz="6" w:space="0" w:color="000000"/>
              <w:left w:val="single" w:sz="6" w:space="0" w:color="000000"/>
              <w:right w:val="single" w:sz="6" w:space="0" w:color="000000"/>
            </w:tcBorders>
          </w:tcPr>
          <w:p>
            <w:pPr>
              <w:pStyle w:val="TableParagraph"/>
              <w:rPr>
                <w:sz w:val="18"/>
              </w:rPr>
            </w:pPr>
          </w:p>
        </w:tc>
        <w:tc>
          <w:tcPr>
            <w:tcW w:w="852" w:type="dxa"/>
            <w:tcBorders>
              <w:top w:val="single" w:sz="6" w:space="0" w:color="000000"/>
              <w:left w:val="single" w:sz="6" w:space="0" w:color="000000"/>
              <w:right w:val="single" w:sz="6" w:space="0" w:color="000000"/>
            </w:tcBorders>
          </w:tcPr>
          <w:p>
            <w:pPr>
              <w:pStyle w:val="TableParagraph"/>
              <w:rPr>
                <w:sz w:val="18"/>
              </w:rPr>
            </w:pPr>
          </w:p>
        </w:tc>
        <w:tc>
          <w:tcPr>
            <w:tcW w:w="992" w:type="dxa"/>
            <w:tcBorders>
              <w:top w:val="single" w:sz="6" w:space="0" w:color="000000"/>
              <w:left w:val="single" w:sz="6" w:space="0" w:color="000000"/>
              <w:right w:val="single" w:sz="6" w:space="0" w:color="000000"/>
            </w:tcBorders>
          </w:tcPr>
          <w:p>
            <w:pPr>
              <w:pStyle w:val="TableParagraph"/>
              <w:rPr>
                <w:sz w:val="18"/>
              </w:rPr>
            </w:pPr>
          </w:p>
        </w:tc>
        <w:tc>
          <w:tcPr>
            <w:tcW w:w="1073" w:type="dxa"/>
            <w:tcBorders>
              <w:top w:val="single" w:sz="6" w:space="0" w:color="000000"/>
              <w:left w:val="single" w:sz="6" w:space="0" w:color="000000"/>
              <w:right w:val="single" w:sz="6" w:space="0" w:color="000000"/>
            </w:tcBorders>
          </w:tcPr>
          <w:p>
            <w:pPr>
              <w:pStyle w:val="TableParagraph"/>
              <w:rPr>
                <w:sz w:val="18"/>
              </w:rPr>
            </w:pPr>
          </w:p>
        </w:tc>
        <w:tc>
          <w:tcPr>
            <w:tcW w:w="953" w:type="dxa"/>
            <w:tcBorders>
              <w:top w:val="single" w:sz="6" w:space="0" w:color="000000"/>
              <w:left w:val="single" w:sz="6" w:space="0" w:color="000000"/>
              <w:right w:val="single" w:sz="6" w:space="0" w:color="000000"/>
            </w:tcBorders>
          </w:tcPr>
          <w:p>
            <w:pPr>
              <w:pStyle w:val="TableParagraph"/>
              <w:rPr>
                <w:sz w:val="18"/>
              </w:rPr>
            </w:pPr>
          </w:p>
        </w:tc>
        <w:tc>
          <w:tcPr>
            <w:tcW w:w="953" w:type="dxa"/>
            <w:tcBorders>
              <w:top w:val="single" w:sz="6" w:space="0" w:color="000000"/>
              <w:left w:val="single" w:sz="6" w:space="0" w:color="000000"/>
            </w:tcBorders>
          </w:tcPr>
          <w:p>
            <w:pPr>
              <w:pStyle w:val="TableParagraph"/>
              <w:rPr>
                <w:sz w:val="18"/>
              </w:rPr>
            </w:pPr>
          </w:p>
        </w:tc>
      </w:tr>
    </w:tbl>
    <w:p>
      <w:pPr>
        <w:pStyle w:val="BodyText"/>
        <w:spacing w:before="2"/>
        <w:ind w:left="0"/>
        <w:rPr>
          <w:sz w:val="12"/>
        </w:rPr>
      </w:pPr>
    </w:p>
    <w:p>
      <w:pPr>
        <w:pStyle w:val="ListParagraph"/>
        <w:numPr>
          <w:ilvl w:val="0"/>
          <w:numId w:val="16"/>
        </w:numPr>
        <w:tabs>
          <w:tab w:pos="796" w:val="left" w:leader="none"/>
        </w:tabs>
        <w:spacing w:line="240" w:lineRule="auto" w:before="91" w:after="38"/>
        <w:ind w:left="795" w:right="0" w:hanging="116"/>
        <w:jc w:val="left"/>
        <w:rPr>
          <w:sz w:val="20"/>
        </w:rPr>
      </w:pPr>
      <w:r>
        <w:rPr>
          <w:sz w:val="20"/>
        </w:rPr>
        <w:t>continuare -</w:t>
      </w: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058"/>
        <w:gridCol w:w="953"/>
        <w:gridCol w:w="1058"/>
        <w:gridCol w:w="1210"/>
        <w:gridCol w:w="1135"/>
        <w:gridCol w:w="1059"/>
        <w:gridCol w:w="1058"/>
        <w:gridCol w:w="1058"/>
        <w:gridCol w:w="960"/>
      </w:tblGrid>
      <w:tr>
        <w:trPr>
          <w:trHeight w:val="690" w:hRule="atLeast"/>
        </w:trPr>
        <w:tc>
          <w:tcPr>
            <w:tcW w:w="454" w:type="dxa"/>
            <w:tcBorders>
              <w:bottom w:val="single" w:sz="6" w:space="0" w:color="000000"/>
              <w:right w:val="single" w:sz="6" w:space="0" w:color="000000"/>
            </w:tcBorders>
            <w:textDirection w:val="btLr"/>
          </w:tcPr>
          <w:p>
            <w:pPr>
              <w:pStyle w:val="TableParagraph"/>
              <w:spacing w:before="149"/>
              <w:ind w:left="98"/>
              <w:rPr>
                <w:sz w:val="18"/>
              </w:rPr>
            </w:pPr>
            <w:r>
              <w:rPr>
                <w:sz w:val="18"/>
              </w:rPr>
              <w:t>Rand</w:t>
            </w:r>
          </w:p>
        </w:tc>
        <w:tc>
          <w:tcPr>
            <w:tcW w:w="1058" w:type="dxa"/>
            <w:tcBorders>
              <w:left w:val="single" w:sz="6" w:space="0" w:color="000000"/>
              <w:bottom w:val="single" w:sz="6" w:space="0" w:color="000000"/>
              <w:right w:val="single" w:sz="6" w:space="0" w:color="000000"/>
            </w:tcBorders>
          </w:tcPr>
          <w:p>
            <w:pPr>
              <w:pStyle w:val="TableParagraph"/>
              <w:rPr>
                <w:sz w:val="20"/>
              </w:rPr>
            </w:pPr>
          </w:p>
          <w:p>
            <w:pPr>
              <w:pStyle w:val="TableParagraph"/>
              <w:ind w:left="213"/>
              <w:rPr>
                <w:sz w:val="20"/>
              </w:rPr>
            </w:pPr>
            <w:r>
              <w:rPr>
                <w:sz w:val="20"/>
              </w:rPr>
              <w:t>Rujeola</w:t>
            </w:r>
          </w:p>
        </w:tc>
        <w:tc>
          <w:tcPr>
            <w:tcW w:w="953" w:type="dxa"/>
            <w:tcBorders>
              <w:left w:val="single" w:sz="6" w:space="0" w:color="000000"/>
              <w:bottom w:val="single" w:sz="6" w:space="0" w:color="000000"/>
              <w:right w:val="single" w:sz="6" w:space="0" w:color="000000"/>
            </w:tcBorders>
          </w:tcPr>
          <w:p>
            <w:pPr>
              <w:pStyle w:val="TableParagraph"/>
              <w:spacing w:before="115"/>
              <w:ind w:left="307" w:right="33" w:hanging="245"/>
              <w:rPr>
                <w:sz w:val="20"/>
              </w:rPr>
            </w:pPr>
            <w:r>
              <w:rPr>
                <w:sz w:val="20"/>
              </w:rPr>
              <w:t>Salmonel- loze</w:t>
            </w:r>
          </w:p>
        </w:tc>
        <w:tc>
          <w:tcPr>
            <w:tcW w:w="1058" w:type="dxa"/>
            <w:tcBorders>
              <w:left w:val="single" w:sz="6" w:space="0" w:color="000000"/>
              <w:bottom w:val="single" w:sz="6" w:space="0" w:color="000000"/>
              <w:right w:val="single" w:sz="6" w:space="0" w:color="000000"/>
            </w:tcBorders>
          </w:tcPr>
          <w:p>
            <w:pPr>
              <w:pStyle w:val="TableParagraph"/>
              <w:rPr>
                <w:sz w:val="20"/>
              </w:rPr>
            </w:pPr>
          </w:p>
          <w:p>
            <w:pPr>
              <w:pStyle w:val="TableParagraph"/>
              <w:ind w:left="262"/>
              <w:rPr>
                <w:sz w:val="20"/>
              </w:rPr>
            </w:pPr>
            <w:r>
              <w:rPr>
                <w:sz w:val="20"/>
              </w:rPr>
              <w:t>Scabie</w:t>
            </w:r>
          </w:p>
        </w:tc>
        <w:tc>
          <w:tcPr>
            <w:tcW w:w="1210" w:type="dxa"/>
            <w:tcBorders>
              <w:left w:val="single" w:sz="6" w:space="0" w:color="000000"/>
              <w:bottom w:val="single" w:sz="6" w:space="0" w:color="000000"/>
              <w:right w:val="single" w:sz="6" w:space="0" w:color="000000"/>
            </w:tcBorders>
          </w:tcPr>
          <w:p>
            <w:pPr>
              <w:pStyle w:val="TableParagraph"/>
              <w:rPr>
                <w:sz w:val="20"/>
              </w:rPr>
            </w:pPr>
          </w:p>
          <w:p>
            <w:pPr>
              <w:pStyle w:val="TableParagraph"/>
              <w:ind w:left="204"/>
              <w:rPr>
                <w:sz w:val="20"/>
              </w:rPr>
            </w:pPr>
            <w:r>
              <w:rPr>
                <w:sz w:val="20"/>
              </w:rPr>
              <w:t>Scarlatină</w:t>
            </w:r>
          </w:p>
        </w:tc>
        <w:tc>
          <w:tcPr>
            <w:tcW w:w="1135" w:type="dxa"/>
            <w:tcBorders>
              <w:left w:val="single" w:sz="6" w:space="0" w:color="000000"/>
              <w:bottom w:val="single" w:sz="6" w:space="0" w:color="000000"/>
              <w:right w:val="single" w:sz="6" w:space="0" w:color="000000"/>
            </w:tcBorders>
          </w:tcPr>
          <w:p>
            <w:pPr>
              <w:pStyle w:val="TableParagraph"/>
              <w:rPr>
                <w:sz w:val="20"/>
              </w:rPr>
            </w:pPr>
          </w:p>
          <w:p>
            <w:pPr>
              <w:pStyle w:val="TableParagraph"/>
              <w:ind w:left="248"/>
              <w:rPr>
                <w:sz w:val="20"/>
              </w:rPr>
            </w:pPr>
            <w:r>
              <w:rPr>
                <w:sz w:val="20"/>
              </w:rPr>
              <w:t>Tetanos</w:t>
            </w:r>
          </w:p>
        </w:tc>
        <w:tc>
          <w:tcPr>
            <w:tcW w:w="1059" w:type="dxa"/>
            <w:tcBorders>
              <w:left w:val="single" w:sz="6" w:space="0" w:color="000000"/>
              <w:bottom w:val="single" w:sz="6" w:space="0" w:color="000000"/>
              <w:right w:val="single" w:sz="6" w:space="0" w:color="000000"/>
            </w:tcBorders>
          </w:tcPr>
          <w:p>
            <w:pPr>
              <w:pStyle w:val="TableParagraph"/>
              <w:spacing w:before="115"/>
              <w:ind w:left="104" w:hanging="48"/>
              <w:rPr>
                <w:sz w:val="20"/>
              </w:rPr>
            </w:pPr>
            <w:r>
              <w:rPr>
                <w:w w:val="95"/>
                <w:sz w:val="20"/>
              </w:rPr>
              <w:t>Toxiinfecţii </w:t>
            </w:r>
            <w:r>
              <w:rPr>
                <w:sz w:val="20"/>
              </w:rPr>
              <w:t>alimentare</w:t>
            </w:r>
          </w:p>
        </w:tc>
        <w:tc>
          <w:tcPr>
            <w:tcW w:w="1058" w:type="dxa"/>
            <w:tcBorders>
              <w:left w:val="single" w:sz="6" w:space="0" w:color="000000"/>
              <w:bottom w:val="single" w:sz="6" w:space="0" w:color="000000"/>
              <w:right w:val="single" w:sz="6" w:space="0" w:color="000000"/>
            </w:tcBorders>
          </w:tcPr>
          <w:p>
            <w:pPr>
              <w:pStyle w:val="TableParagraph"/>
              <w:spacing w:before="115"/>
              <w:ind w:left="53" w:right="414"/>
              <w:rPr>
                <w:sz w:val="20"/>
              </w:rPr>
            </w:pPr>
            <w:r>
              <w:rPr>
                <w:sz w:val="20"/>
              </w:rPr>
              <w:t>Trichi- neloză</w:t>
            </w:r>
          </w:p>
        </w:tc>
        <w:tc>
          <w:tcPr>
            <w:tcW w:w="1058" w:type="dxa"/>
            <w:tcBorders>
              <w:left w:val="single" w:sz="6" w:space="0" w:color="000000"/>
              <w:bottom w:val="single" w:sz="6" w:space="0" w:color="000000"/>
              <w:right w:val="single" w:sz="6" w:space="0" w:color="000000"/>
            </w:tcBorders>
          </w:tcPr>
          <w:p>
            <w:pPr>
              <w:pStyle w:val="TableParagraph"/>
              <w:spacing w:before="115"/>
              <w:ind w:left="92" w:firstLine="240"/>
              <w:rPr>
                <w:sz w:val="20"/>
              </w:rPr>
            </w:pPr>
            <w:r>
              <w:rPr>
                <w:sz w:val="20"/>
              </w:rPr>
              <w:t>Tuse </w:t>
            </w:r>
            <w:r>
              <w:rPr>
                <w:w w:val="95"/>
                <w:sz w:val="20"/>
              </w:rPr>
              <w:t>convulsivă</w:t>
            </w:r>
          </w:p>
        </w:tc>
        <w:tc>
          <w:tcPr>
            <w:tcW w:w="960" w:type="dxa"/>
            <w:tcBorders>
              <w:left w:val="single" w:sz="6" w:space="0" w:color="000000"/>
              <w:bottom w:val="single" w:sz="6" w:space="0" w:color="000000"/>
            </w:tcBorders>
          </w:tcPr>
          <w:p>
            <w:pPr>
              <w:pStyle w:val="TableParagraph"/>
              <w:rPr>
                <w:sz w:val="20"/>
              </w:rPr>
            </w:pPr>
          </w:p>
          <w:p>
            <w:pPr>
              <w:pStyle w:val="TableParagraph"/>
              <w:ind w:left="141"/>
              <w:rPr>
                <w:sz w:val="20"/>
              </w:rPr>
            </w:pPr>
            <w:r>
              <w:rPr>
                <w:sz w:val="20"/>
              </w:rPr>
              <w:t>Varicelă</w:t>
            </w:r>
          </w:p>
        </w:tc>
      </w:tr>
      <w:tr>
        <w:trPr>
          <w:trHeight w:val="225" w:hRule="atLeast"/>
        </w:trPr>
        <w:tc>
          <w:tcPr>
            <w:tcW w:w="454" w:type="dxa"/>
            <w:tcBorders>
              <w:top w:val="single" w:sz="6" w:space="0" w:color="000000"/>
              <w:bottom w:val="single" w:sz="6" w:space="0" w:color="000000"/>
              <w:right w:val="single" w:sz="6" w:space="0" w:color="000000"/>
            </w:tcBorders>
          </w:tcPr>
          <w:p>
            <w:pPr>
              <w:pStyle w:val="TableParagraph"/>
              <w:spacing w:before="20"/>
              <w:ind w:left="11"/>
              <w:jc w:val="center"/>
              <w:rPr>
                <w:sz w:val="16"/>
              </w:rPr>
            </w:pPr>
            <w:r>
              <w:rPr>
                <w:w w:val="100"/>
                <w:sz w:val="16"/>
              </w:rPr>
              <w:t>B</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20"/>
              <w:ind w:left="419" w:right="412"/>
              <w:jc w:val="center"/>
              <w:rPr>
                <w:sz w:val="16"/>
              </w:rPr>
            </w:pPr>
            <w:r>
              <w:rPr>
                <w:sz w:val="16"/>
              </w:rPr>
              <w:t>19</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before="20"/>
              <w:ind w:left="369" w:right="357"/>
              <w:jc w:val="center"/>
              <w:rPr>
                <w:sz w:val="16"/>
              </w:rPr>
            </w:pPr>
            <w:r>
              <w:rPr>
                <w:sz w:val="16"/>
              </w:rPr>
              <w:t>20</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20"/>
              <w:ind w:left="425" w:right="407"/>
              <w:jc w:val="center"/>
              <w:rPr>
                <w:sz w:val="16"/>
              </w:rPr>
            </w:pPr>
            <w:r>
              <w:rPr>
                <w:sz w:val="16"/>
              </w:rPr>
              <w:t>21</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20"/>
              <w:ind w:left="505" w:right="489"/>
              <w:jc w:val="center"/>
              <w:rPr>
                <w:sz w:val="16"/>
              </w:rPr>
            </w:pPr>
            <w:r>
              <w:rPr>
                <w:sz w:val="16"/>
              </w:rPr>
              <w:t>22</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20"/>
              <w:ind w:left="464" w:right="455"/>
              <w:jc w:val="center"/>
              <w:rPr>
                <w:sz w:val="16"/>
              </w:rPr>
            </w:pPr>
            <w:r>
              <w:rPr>
                <w:sz w:val="16"/>
              </w:rPr>
              <w:t>23</w:t>
            </w:r>
          </w:p>
        </w:tc>
        <w:tc>
          <w:tcPr>
            <w:tcW w:w="1059" w:type="dxa"/>
            <w:tcBorders>
              <w:top w:val="single" w:sz="6" w:space="0" w:color="000000"/>
              <w:left w:val="single" w:sz="6" w:space="0" w:color="000000"/>
              <w:bottom w:val="single" w:sz="6" w:space="0" w:color="000000"/>
              <w:right w:val="single" w:sz="6" w:space="0" w:color="000000"/>
            </w:tcBorders>
          </w:tcPr>
          <w:p>
            <w:pPr>
              <w:pStyle w:val="TableParagraph"/>
              <w:spacing w:before="20"/>
              <w:ind w:left="429" w:right="415"/>
              <w:jc w:val="center"/>
              <w:rPr>
                <w:sz w:val="16"/>
              </w:rPr>
            </w:pPr>
            <w:r>
              <w:rPr>
                <w:sz w:val="16"/>
              </w:rPr>
              <w:t>24</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20"/>
              <w:ind w:left="422" w:right="412"/>
              <w:jc w:val="center"/>
              <w:rPr>
                <w:sz w:val="16"/>
              </w:rPr>
            </w:pPr>
            <w:r>
              <w:rPr>
                <w:sz w:val="16"/>
              </w:rPr>
              <w:t>25</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20"/>
              <w:ind w:left="423" w:right="412"/>
              <w:jc w:val="center"/>
              <w:rPr>
                <w:sz w:val="16"/>
              </w:rPr>
            </w:pPr>
            <w:r>
              <w:rPr>
                <w:sz w:val="16"/>
              </w:rPr>
              <w:t>26</w:t>
            </w:r>
          </w:p>
        </w:tc>
        <w:tc>
          <w:tcPr>
            <w:tcW w:w="960" w:type="dxa"/>
            <w:tcBorders>
              <w:top w:val="single" w:sz="6" w:space="0" w:color="000000"/>
              <w:left w:val="single" w:sz="6" w:space="0" w:color="000000"/>
              <w:bottom w:val="single" w:sz="6" w:space="0" w:color="000000"/>
            </w:tcBorders>
          </w:tcPr>
          <w:p>
            <w:pPr>
              <w:pStyle w:val="TableParagraph"/>
              <w:spacing w:before="20"/>
              <w:ind w:left="379" w:right="367"/>
              <w:jc w:val="center"/>
              <w:rPr>
                <w:sz w:val="16"/>
              </w:rPr>
            </w:pPr>
            <w:r>
              <w:rPr>
                <w:sz w:val="16"/>
              </w:rPr>
              <w:t>27</w:t>
            </w:r>
          </w:p>
        </w:tc>
      </w:tr>
      <w:tr>
        <w:trPr>
          <w:trHeight w:val="184" w:hRule="atLeast"/>
        </w:trPr>
        <w:tc>
          <w:tcPr>
            <w:tcW w:w="454" w:type="dxa"/>
            <w:tcBorders>
              <w:top w:val="single" w:sz="6" w:space="0" w:color="000000"/>
              <w:bottom w:val="single" w:sz="6" w:space="0" w:color="000000"/>
              <w:right w:val="single" w:sz="6" w:space="0" w:color="000000"/>
            </w:tcBorders>
          </w:tcPr>
          <w:p>
            <w:pPr>
              <w:pStyle w:val="TableParagraph"/>
              <w:spacing w:line="163" w:lineRule="exact" w:before="1"/>
              <w:ind w:left="128" w:right="113"/>
              <w:jc w:val="center"/>
              <w:rPr>
                <w:sz w:val="16"/>
              </w:rPr>
            </w:pPr>
            <w:r>
              <w:rPr>
                <w:sz w:val="16"/>
              </w:rPr>
              <w:t>01</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2"/>
              <w:jc w:val="right"/>
              <w:rPr>
                <w:rFonts w:ascii="Arial"/>
                <w:sz w:val="16"/>
              </w:rPr>
            </w:pPr>
            <w:r>
              <w:rPr>
                <w:rFonts w:ascii="Arial"/>
                <w:sz w:val="16"/>
              </w:rPr>
              <w:t>24</w:t>
            </w:r>
          </w:p>
        </w:tc>
        <w:tc>
          <w:tcPr>
            <w:tcW w:w="953"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0"/>
              <w:jc w:val="right"/>
              <w:rPr>
                <w:rFonts w:ascii="Arial"/>
                <w:sz w:val="16"/>
              </w:rPr>
            </w:pPr>
            <w:r>
              <w:rPr>
                <w:rFonts w:ascii="Arial"/>
                <w:sz w:val="16"/>
              </w:rPr>
              <w:t>120</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36"/>
              <w:jc w:val="right"/>
              <w:rPr>
                <w:rFonts w:ascii="Arial"/>
                <w:sz w:val="16"/>
              </w:rPr>
            </w:pPr>
            <w:r>
              <w:rPr>
                <w:rFonts w:ascii="Arial"/>
                <w:w w:val="100"/>
                <w:sz w:val="16"/>
              </w:rPr>
              <w:t>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0"/>
              <w:jc w:val="right"/>
              <w:rPr>
                <w:rFonts w:ascii="Arial"/>
                <w:sz w:val="16"/>
              </w:rPr>
            </w:pPr>
            <w:r>
              <w:rPr>
                <w:rFonts w:ascii="Arial"/>
                <w:sz w:val="16"/>
              </w:rPr>
              <w:t>453</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1"/>
              <w:jc w:val="right"/>
              <w:rPr>
                <w:rFonts w:ascii="Arial"/>
                <w:sz w:val="16"/>
              </w:rPr>
            </w:pPr>
            <w:r>
              <w:rPr>
                <w:rFonts w:ascii="Arial"/>
                <w:w w:val="100"/>
                <w:sz w:val="16"/>
              </w:rPr>
              <w:t>0</w:t>
            </w:r>
          </w:p>
        </w:tc>
        <w:tc>
          <w:tcPr>
            <w:tcW w:w="1059"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39"/>
              <w:jc w:val="right"/>
              <w:rPr>
                <w:rFonts w:ascii="Arial"/>
                <w:sz w:val="16"/>
              </w:rPr>
            </w:pPr>
            <w:r>
              <w:rPr>
                <w:rFonts w:ascii="Arial"/>
                <w:w w:val="100"/>
                <w:sz w:val="16"/>
              </w:rPr>
              <w:t>6</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0"/>
              <w:jc w:val="right"/>
              <w:rPr>
                <w:rFonts w:ascii="Arial"/>
                <w:sz w:val="16"/>
              </w:rPr>
            </w:pPr>
            <w:r>
              <w:rPr>
                <w:rFonts w:ascii="Arial"/>
                <w:w w:val="100"/>
                <w:sz w:val="16"/>
              </w:rPr>
              <w:t>0</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line="163" w:lineRule="exact" w:before="1"/>
              <w:ind w:right="41"/>
              <w:jc w:val="right"/>
              <w:rPr>
                <w:rFonts w:ascii="Arial"/>
                <w:sz w:val="16"/>
              </w:rPr>
            </w:pPr>
            <w:r>
              <w:rPr>
                <w:rFonts w:ascii="Arial"/>
                <w:sz w:val="16"/>
              </w:rPr>
              <w:t>10</w:t>
            </w:r>
          </w:p>
        </w:tc>
        <w:tc>
          <w:tcPr>
            <w:tcW w:w="960" w:type="dxa"/>
            <w:tcBorders>
              <w:top w:val="single" w:sz="6" w:space="0" w:color="000000"/>
              <w:left w:val="single" w:sz="6" w:space="0" w:color="000000"/>
              <w:bottom w:val="single" w:sz="6" w:space="0" w:color="000000"/>
            </w:tcBorders>
          </w:tcPr>
          <w:p>
            <w:pPr>
              <w:pStyle w:val="TableParagraph"/>
              <w:spacing w:line="163" w:lineRule="exact" w:before="1"/>
              <w:ind w:right="40"/>
              <w:jc w:val="right"/>
              <w:rPr>
                <w:rFonts w:ascii="Arial"/>
                <w:sz w:val="16"/>
              </w:rPr>
            </w:pPr>
            <w:r>
              <w:rPr>
                <w:rFonts w:ascii="Arial"/>
                <w:sz w:val="16"/>
              </w:rPr>
              <w:t>2940</w:t>
            </w:r>
          </w:p>
        </w:tc>
      </w:tr>
      <w:tr>
        <w:trPr>
          <w:trHeight w:val="184" w:hRule="atLeast"/>
        </w:trPr>
        <w:tc>
          <w:tcPr>
            <w:tcW w:w="454" w:type="dxa"/>
            <w:tcBorders>
              <w:top w:val="single" w:sz="6" w:space="0" w:color="000000"/>
              <w:right w:val="single" w:sz="6" w:space="0" w:color="000000"/>
            </w:tcBorders>
          </w:tcPr>
          <w:p>
            <w:pPr>
              <w:pStyle w:val="TableParagraph"/>
              <w:spacing w:line="163" w:lineRule="exact" w:before="1"/>
              <w:ind w:left="128" w:right="113"/>
              <w:jc w:val="center"/>
              <w:rPr>
                <w:sz w:val="16"/>
              </w:rPr>
            </w:pPr>
            <w:r>
              <w:rPr>
                <w:sz w:val="16"/>
              </w:rPr>
              <w:t>02</w:t>
            </w:r>
          </w:p>
        </w:tc>
        <w:tc>
          <w:tcPr>
            <w:tcW w:w="1058" w:type="dxa"/>
            <w:tcBorders>
              <w:top w:val="single" w:sz="6" w:space="0" w:color="000000"/>
              <w:left w:val="single" w:sz="6" w:space="0" w:color="000000"/>
              <w:right w:val="single" w:sz="6" w:space="0" w:color="000000"/>
            </w:tcBorders>
          </w:tcPr>
          <w:p>
            <w:pPr>
              <w:pStyle w:val="TableParagraph"/>
              <w:spacing w:line="163" w:lineRule="exact" w:before="1"/>
              <w:ind w:right="42"/>
              <w:jc w:val="right"/>
              <w:rPr>
                <w:rFonts w:ascii="Arial"/>
                <w:sz w:val="16"/>
              </w:rPr>
            </w:pPr>
            <w:r>
              <w:rPr>
                <w:rFonts w:ascii="Arial"/>
                <w:sz w:val="16"/>
              </w:rPr>
              <w:t>24</w:t>
            </w:r>
          </w:p>
        </w:tc>
        <w:tc>
          <w:tcPr>
            <w:tcW w:w="953" w:type="dxa"/>
            <w:tcBorders>
              <w:top w:val="single" w:sz="6" w:space="0" w:color="000000"/>
              <w:left w:val="single" w:sz="6" w:space="0" w:color="000000"/>
              <w:right w:val="single" w:sz="6" w:space="0" w:color="000000"/>
            </w:tcBorders>
          </w:tcPr>
          <w:p>
            <w:pPr>
              <w:pStyle w:val="TableParagraph"/>
              <w:spacing w:line="163" w:lineRule="exact" w:before="1"/>
              <w:ind w:right="40"/>
              <w:jc w:val="right"/>
              <w:rPr>
                <w:rFonts w:ascii="Arial"/>
                <w:sz w:val="16"/>
              </w:rPr>
            </w:pPr>
            <w:r>
              <w:rPr>
                <w:rFonts w:ascii="Arial"/>
                <w:sz w:val="16"/>
              </w:rPr>
              <w:t>120</w:t>
            </w:r>
          </w:p>
        </w:tc>
        <w:tc>
          <w:tcPr>
            <w:tcW w:w="1058" w:type="dxa"/>
            <w:tcBorders>
              <w:top w:val="single" w:sz="6" w:space="0" w:color="000000"/>
              <w:left w:val="single" w:sz="6" w:space="0" w:color="000000"/>
              <w:right w:val="single" w:sz="6" w:space="0" w:color="000000"/>
            </w:tcBorders>
          </w:tcPr>
          <w:p>
            <w:pPr>
              <w:pStyle w:val="TableParagraph"/>
              <w:spacing w:line="163" w:lineRule="exact" w:before="1"/>
              <w:ind w:right="36"/>
              <w:jc w:val="right"/>
              <w:rPr>
                <w:rFonts w:ascii="Arial"/>
                <w:sz w:val="16"/>
              </w:rPr>
            </w:pPr>
            <w:r>
              <w:rPr>
                <w:rFonts w:ascii="Arial"/>
                <w:w w:val="100"/>
                <w:sz w:val="16"/>
              </w:rPr>
              <w:t>0</w:t>
            </w:r>
          </w:p>
        </w:tc>
        <w:tc>
          <w:tcPr>
            <w:tcW w:w="1210" w:type="dxa"/>
            <w:tcBorders>
              <w:top w:val="single" w:sz="6" w:space="0" w:color="000000"/>
              <w:left w:val="single" w:sz="6" w:space="0" w:color="000000"/>
              <w:right w:val="single" w:sz="6" w:space="0" w:color="000000"/>
            </w:tcBorders>
          </w:tcPr>
          <w:p>
            <w:pPr>
              <w:pStyle w:val="TableParagraph"/>
              <w:spacing w:line="163" w:lineRule="exact" w:before="1"/>
              <w:ind w:right="40"/>
              <w:jc w:val="right"/>
              <w:rPr>
                <w:rFonts w:ascii="Arial"/>
                <w:sz w:val="16"/>
              </w:rPr>
            </w:pPr>
            <w:r>
              <w:rPr>
                <w:rFonts w:ascii="Arial"/>
                <w:sz w:val="16"/>
              </w:rPr>
              <w:t>453</w:t>
            </w:r>
          </w:p>
        </w:tc>
        <w:tc>
          <w:tcPr>
            <w:tcW w:w="1135" w:type="dxa"/>
            <w:tcBorders>
              <w:top w:val="single" w:sz="6" w:space="0" w:color="000000"/>
              <w:left w:val="single" w:sz="6" w:space="0" w:color="000000"/>
              <w:right w:val="single" w:sz="6" w:space="0" w:color="000000"/>
            </w:tcBorders>
          </w:tcPr>
          <w:p>
            <w:pPr>
              <w:pStyle w:val="TableParagraph"/>
              <w:spacing w:line="163" w:lineRule="exact" w:before="1"/>
              <w:ind w:right="41"/>
              <w:jc w:val="right"/>
              <w:rPr>
                <w:rFonts w:ascii="Arial"/>
                <w:sz w:val="16"/>
              </w:rPr>
            </w:pPr>
            <w:r>
              <w:rPr>
                <w:rFonts w:ascii="Arial"/>
                <w:w w:val="100"/>
                <w:sz w:val="16"/>
              </w:rPr>
              <w:t>0</w:t>
            </w:r>
          </w:p>
        </w:tc>
        <w:tc>
          <w:tcPr>
            <w:tcW w:w="1059" w:type="dxa"/>
            <w:tcBorders>
              <w:top w:val="single" w:sz="6" w:space="0" w:color="000000"/>
              <w:left w:val="single" w:sz="6" w:space="0" w:color="000000"/>
              <w:right w:val="single" w:sz="6" w:space="0" w:color="000000"/>
            </w:tcBorders>
          </w:tcPr>
          <w:p>
            <w:pPr>
              <w:pStyle w:val="TableParagraph"/>
              <w:spacing w:line="163" w:lineRule="exact" w:before="1"/>
              <w:ind w:right="39"/>
              <w:jc w:val="right"/>
              <w:rPr>
                <w:rFonts w:ascii="Arial"/>
                <w:sz w:val="16"/>
              </w:rPr>
            </w:pPr>
            <w:r>
              <w:rPr>
                <w:rFonts w:ascii="Arial"/>
                <w:w w:val="100"/>
                <w:sz w:val="16"/>
              </w:rPr>
              <w:t>6</w:t>
            </w:r>
          </w:p>
        </w:tc>
        <w:tc>
          <w:tcPr>
            <w:tcW w:w="1058" w:type="dxa"/>
            <w:tcBorders>
              <w:top w:val="single" w:sz="6" w:space="0" w:color="000000"/>
              <w:left w:val="single" w:sz="6" w:space="0" w:color="000000"/>
              <w:right w:val="single" w:sz="6" w:space="0" w:color="000000"/>
            </w:tcBorders>
          </w:tcPr>
          <w:p>
            <w:pPr>
              <w:pStyle w:val="TableParagraph"/>
              <w:spacing w:line="163" w:lineRule="exact" w:before="1"/>
              <w:ind w:right="40"/>
              <w:jc w:val="right"/>
              <w:rPr>
                <w:rFonts w:ascii="Arial"/>
                <w:sz w:val="16"/>
              </w:rPr>
            </w:pPr>
            <w:r>
              <w:rPr>
                <w:rFonts w:ascii="Arial"/>
                <w:w w:val="100"/>
                <w:sz w:val="16"/>
              </w:rPr>
              <w:t>0</w:t>
            </w:r>
          </w:p>
        </w:tc>
        <w:tc>
          <w:tcPr>
            <w:tcW w:w="1058" w:type="dxa"/>
            <w:tcBorders>
              <w:top w:val="single" w:sz="6" w:space="0" w:color="000000"/>
              <w:left w:val="single" w:sz="6" w:space="0" w:color="000000"/>
              <w:right w:val="single" w:sz="6" w:space="0" w:color="000000"/>
            </w:tcBorders>
          </w:tcPr>
          <w:p>
            <w:pPr>
              <w:pStyle w:val="TableParagraph"/>
              <w:spacing w:line="163" w:lineRule="exact" w:before="1"/>
              <w:ind w:right="41"/>
              <w:jc w:val="right"/>
              <w:rPr>
                <w:rFonts w:ascii="Arial"/>
                <w:sz w:val="16"/>
              </w:rPr>
            </w:pPr>
            <w:r>
              <w:rPr>
                <w:rFonts w:ascii="Arial"/>
                <w:sz w:val="16"/>
              </w:rPr>
              <w:t>10</w:t>
            </w:r>
          </w:p>
        </w:tc>
        <w:tc>
          <w:tcPr>
            <w:tcW w:w="960" w:type="dxa"/>
            <w:tcBorders>
              <w:top w:val="single" w:sz="6" w:space="0" w:color="000000"/>
              <w:left w:val="single" w:sz="6" w:space="0" w:color="000000"/>
            </w:tcBorders>
          </w:tcPr>
          <w:p>
            <w:pPr>
              <w:pStyle w:val="TableParagraph"/>
              <w:spacing w:line="163" w:lineRule="exact" w:before="1"/>
              <w:ind w:right="40"/>
              <w:jc w:val="right"/>
              <w:rPr>
                <w:rFonts w:ascii="Arial"/>
                <w:sz w:val="16"/>
              </w:rPr>
            </w:pPr>
            <w:r>
              <w:rPr>
                <w:rFonts w:ascii="Arial"/>
                <w:sz w:val="16"/>
              </w:rPr>
              <w:t>2940</w:t>
            </w:r>
          </w:p>
        </w:tc>
      </w:tr>
    </w:tbl>
    <w:p>
      <w:pPr>
        <w:pStyle w:val="BodyText"/>
        <w:spacing w:before="2"/>
        <w:ind w:left="0"/>
        <w:rPr>
          <w:sz w:val="12"/>
        </w:rPr>
      </w:pPr>
    </w:p>
    <w:p>
      <w:pPr>
        <w:pStyle w:val="Heading1"/>
        <w:spacing w:line="275" w:lineRule="exact" w:before="90"/>
        <w:ind w:left="680"/>
        <w:rPr>
          <w:u w:val="none"/>
        </w:rPr>
      </w:pPr>
      <w:r>
        <w:rPr>
          <w:u w:val="none"/>
        </w:rPr>
        <w:t>Tuberculoza</w:t>
      </w:r>
    </w:p>
    <w:p>
      <w:pPr>
        <w:spacing w:line="229" w:lineRule="exact" w:before="0"/>
        <w:ind w:left="730" w:right="0" w:firstLine="0"/>
        <w:jc w:val="left"/>
        <w:rPr>
          <w:b/>
          <w:sz w:val="20"/>
        </w:rPr>
      </w:pPr>
      <w:r>
        <w:rPr>
          <w:b/>
          <w:sz w:val="20"/>
        </w:rPr>
        <w:t>Evidenţa bolnavilor tuberculoşi. Incidenţa (bolnavi noi şi recidive)</w:t>
      </w:r>
    </w:p>
    <w:p>
      <w:pPr>
        <w:spacing w:before="2"/>
        <w:ind w:left="0" w:right="1135" w:firstLine="0"/>
        <w:jc w:val="right"/>
        <w:rPr>
          <w:sz w:val="16"/>
        </w:rPr>
      </w:pPr>
      <w:r>
        <w:rPr>
          <w:sz w:val="16"/>
          <w:shd w:fill="00FF00" w:color="auto" w:val="clear"/>
        </w:rPr>
        <w:t>Tabel T05</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1135"/>
        <w:gridCol w:w="984"/>
        <w:gridCol w:w="935"/>
        <w:gridCol w:w="755"/>
        <w:gridCol w:w="724"/>
        <w:gridCol w:w="738"/>
        <w:gridCol w:w="920"/>
        <w:gridCol w:w="808"/>
        <w:gridCol w:w="723"/>
        <w:gridCol w:w="709"/>
        <w:gridCol w:w="659"/>
        <w:gridCol w:w="719"/>
      </w:tblGrid>
      <w:tr>
        <w:trPr>
          <w:trHeight w:val="270" w:hRule="atLeast"/>
        </w:trPr>
        <w:tc>
          <w:tcPr>
            <w:tcW w:w="1001" w:type="dxa"/>
            <w:vMerge w:val="restart"/>
            <w:textDirection w:val="btLr"/>
          </w:tcPr>
          <w:p>
            <w:pPr>
              <w:pStyle w:val="TableParagraph"/>
              <w:rPr>
                <w:sz w:val="22"/>
              </w:rPr>
            </w:pPr>
          </w:p>
          <w:p>
            <w:pPr>
              <w:pStyle w:val="TableParagraph"/>
              <w:spacing w:before="165"/>
              <w:ind w:left="21"/>
              <w:rPr>
                <w:sz w:val="20"/>
              </w:rPr>
            </w:pPr>
            <w:r>
              <w:rPr>
                <w:sz w:val="20"/>
              </w:rPr>
              <w:t>Domiciliul bolnavului</w:t>
            </w:r>
          </w:p>
        </w:tc>
        <w:tc>
          <w:tcPr>
            <w:tcW w:w="9809" w:type="dxa"/>
            <w:gridSpan w:val="12"/>
          </w:tcPr>
          <w:p>
            <w:pPr>
              <w:pStyle w:val="TableParagraph"/>
              <w:ind w:left="3436" w:right="3423"/>
              <w:jc w:val="center"/>
              <w:rPr>
                <w:sz w:val="20"/>
              </w:rPr>
            </w:pPr>
            <w:r>
              <w:rPr>
                <w:sz w:val="20"/>
              </w:rPr>
              <w:t>Bolnavi înregistraţi în cursul anului:</w:t>
            </w:r>
          </w:p>
        </w:tc>
      </w:tr>
      <w:tr>
        <w:trPr>
          <w:trHeight w:val="230" w:hRule="atLeast"/>
        </w:trPr>
        <w:tc>
          <w:tcPr>
            <w:tcW w:w="1001" w:type="dxa"/>
            <w:vMerge/>
            <w:tcBorders>
              <w:top w:val="nil"/>
            </w:tcBorders>
            <w:textDirection w:val="btLr"/>
          </w:tcPr>
          <w:p>
            <w:pPr>
              <w:rPr>
                <w:sz w:val="2"/>
                <w:szCs w:val="2"/>
              </w:rPr>
            </w:pPr>
          </w:p>
        </w:tc>
        <w:tc>
          <w:tcPr>
            <w:tcW w:w="1135" w:type="dxa"/>
            <w:vMerge w:val="restart"/>
          </w:tcPr>
          <w:p>
            <w:pPr>
              <w:pStyle w:val="TableParagraph"/>
              <w:ind w:left="259" w:right="252"/>
              <w:jc w:val="center"/>
              <w:rPr>
                <w:sz w:val="20"/>
              </w:rPr>
            </w:pPr>
            <w:r>
              <w:rPr>
                <w:sz w:val="20"/>
              </w:rPr>
              <w:t>Total bolnavi înregis-</w:t>
            </w:r>
            <w:r>
              <w:rPr>
                <w:w w:val="99"/>
                <w:sz w:val="20"/>
              </w:rPr>
              <w:t> </w:t>
            </w:r>
            <w:r>
              <w:rPr>
                <w:sz w:val="20"/>
              </w:rPr>
              <w:t>traţi</w:t>
            </w:r>
          </w:p>
          <w:p>
            <w:pPr>
              <w:pStyle w:val="TableParagraph"/>
              <w:spacing w:before="11"/>
              <w:rPr>
                <w:sz w:val="19"/>
              </w:rPr>
            </w:pPr>
          </w:p>
          <w:p>
            <w:pPr>
              <w:pStyle w:val="TableParagraph"/>
              <w:ind w:left="228" w:right="218"/>
              <w:jc w:val="center"/>
              <w:rPr>
                <w:sz w:val="20"/>
              </w:rPr>
            </w:pPr>
            <w:r>
              <w:rPr>
                <w:sz w:val="20"/>
              </w:rPr>
              <w:t>(col.01= 02+13)</w:t>
            </w:r>
          </w:p>
        </w:tc>
        <w:tc>
          <w:tcPr>
            <w:tcW w:w="8674" w:type="dxa"/>
            <w:gridSpan w:val="11"/>
          </w:tcPr>
          <w:p>
            <w:pPr>
              <w:pStyle w:val="TableParagraph"/>
              <w:spacing w:line="210" w:lineRule="exact"/>
              <w:ind w:left="3853" w:right="3832"/>
              <w:jc w:val="center"/>
              <w:rPr>
                <w:sz w:val="20"/>
              </w:rPr>
            </w:pPr>
            <w:r>
              <w:rPr>
                <w:sz w:val="20"/>
              </w:rPr>
              <w:t>Bolnavi noi</w:t>
            </w:r>
          </w:p>
        </w:tc>
      </w:tr>
      <w:tr>
        <w:trPr>
          <w:trHeight w:val="230" w:hRule="atLeast"/>
        </w:trPr>
        <w:tc>
          <w:tcPr>
            <w:tcW w:w="1001" w:type="dxa"/>
            <w:vMerge/>
            <w:tcBorders>
              <w:top w:val="nil"/>
            </w:tcBorders>
            <w:textDirection w:val="btLr"/>
          </w:tcPr>
          <w:p>
            <w:pPr>
              <w:rPr>
                <w:sz w:val="2"/>
                <w:szCs w:val="2"/>
              </w:rPr>
            </w:pPr>
          </w:p>
        </w:tc>
        <w:tc>
          <w:tcPr>
            <w:tcW w:w="1135" w:type="dxa"/>
            <w:vMerge/>
            <w:tcBorders>
              <w:top w:val="nil"/>
            </w:tcBorders>
          </w:tcPr>
          <w:p>
            <w:pPr>
              <w:rPr>
                <w:sz w:val="2"/>
                <w:szCs w:val="2"/>
              </w:rPr>
            </w:pPr>
          </w:p>
        </w:tc>
        <w:tc>
          <w:tcPr>
            <w:tcW w:w="984" w:type="dxa"/>
            <w:vMerge w:val="restart"/>
          </w:tcPr>
          <w:p>
            <w:pPr>
              <w:pStyle w:val="TableParagraph"/>
              <w:ind w:left="192" w:right="182" w:hanging="1"/>
              <w:jc w:val="center"/>
              <w:rPr>
                <w:sz w:val="20"/>
              </w:rPr>
            </w:pPr>
            <w:r>
              <w:rPr>
                <w:sz w:val="20"/>
              </w:rPr>
              <w:t>Total </w:t>
            </w:r>
            <w:r>
              <w:rPr>
                <w:w w:val="95"/>
                <w:sz w:val="20"/>
              </w:rPr>
              <w:t>bolnavi </w:t>
            </w:r>
            <w:r>
              <w:rPr>
                <w:sz w:val="20"/>
              </w:rPr>
              <w:t>noi</w:t>
            </w:r>
          </w:p>
          <w:p>
            <w:pPr>
              <w:pStyle w:val="TableParagraph"/>
              <w:spacing w:before="11"/>
              <w:rPr>
                <w:sz w:val="19"/>
              </w:rPr>
            </w:pPr>
          </w:p>
          <w:p>
            <w:pPr>
              <w:pStyle w:val="TableParagraph"/>
              <w:ind w:left="153" w:right="141"/>
              <w:jc w:val="center"/>
              <w:rPr>
                <w:sz w:val="20"/>
              </w:rPr>
            </w:pPr>
            <w:r>
              <w:rPr>
                <w:sz w:val="20"/>
              </w:rPr>
              <w:t>(col.02= 04+08)</w:t>
            </w:r>
          </w:p>
        </w:tc>
        <w:tc>
          <w:tcPr>
            <w:tcW w:w="935" w:type="dxa"/>
            <w:vMerge w:val="restart"/>
          </w:tcPr>
          <w:p>
            <w:pPr>
              <w:pStyle w:val="TableParagraph"/>
              <w:spacing w:before="120"/>
              <w:ind w:left="120"/>
              <w:rPr>
                <w:sz w:val="20"/>
              </w:rPr>
            </w:pPr>
            <w:r>
              <w:rPr>
                <w:sz w:val="20"/>
              </w:rPr>
              <w:t>din care:</w:t>
            </w:r>
          </w:p>
        </w:tc>
        <w:tc>
          <w:tcPr>
            <w:tcW w:w="3137" w:type="dxa"/>
            <w:gridSpan w:val="4"/>
          </w:tcPr>
          <w:p>
            <w:pPr>
              <w:pStyle w:val="TableParagraph"/>
              <w:spacing w:line="210" w:lineRule="exact"/>
              <w:ind w:left="738"/>
              <w:rPr>
                <w:sz w:val="20"/>
              </w:rPr>
            </w:pPr>
            <w:r>
              <w:rPr>
                <w:sz w:val="20"/>
              </w:rPr>
              <w:t>Tbc aparat respirator</w:t>
            </w:r>
          </w:p>
        </w:tc>
        <w:tc>
          <w:tcPr>
            <w:tcW w:w="3618" w:type="dxa"/>
            <w:gridSpan w:val="5"/>
          </w:tcPr>
          <w:p>
            <w:pPr>
              <w:pStyle w:val="TableParagraph"/>
              <w:spacing w:line="210" w:lineRule="exact"/>
              <w:ind w:left="1056"/>
              <w:rPr>
                <w:sz w:val="20"/>
              </w:rPr>
            </w:pPr>
            <w:r>
              <w:rPr>
                <w:sz w:val="20"/>
              </w:rPr>
              <w:t>Tbc extrarespirator</w:t>
            </w:r>
          </w:p>
        </w:tc>
      </w:tr>
      <w:tr>
        <w:trPr>
          <w:trHeight w:val="230" w:hRule="atLeast"/>
        </w:trPr>
        <w:tc>
          <w:tcPr>
            <w:tcW w:w="1001" w:type="dxa"/>
            <w:vMerge/>
            <w:tcBorders>
              <w:top w:val="nil"/>
            </w:tcBorders>
            <w:textDirection w:val="btLr"/>
          </w:tcPr>
          <w:p>
            <w:pPr>
              <w:rPr>
                <w:sz w:val="2"/>
                <w:szCs w:val="2"/>
              </w:rPr>
            </w:pPr>
          </w:p>
        </w:tc>
        <w:tc>
          <w:tcPr>
            <w:tcW w:w="1135" w:type="dxa"/>
            <w:vMerge/>
            <w:tcBorders>
              <w:top w:val="nil"/>
            </w:tcBorders>
          </w:tcPr>
          <w:p>
            <w:pPr>
              <w:rPr>
                <w:sz w:val="2"/>
                <w:szCs w:val="2"/>
              </w:rPr>
            </w:pPr>
          </w:p>
        </w:tc>
        <w:tc>
          <w:tcPr>
            <w:tcW w:w="984" w:type="dxa"/>
            <w:vMerge/>
            <w:tcBorders>
              <w:top w:val="nil"/>
            </w:tcBorders>
          </w:tcPr>
          <w:p>
            <w:pPr>
              <w:rPr>
                <w:sz w:val="2"/>
                <w:szCs w:val="2"/>
              </w:rPr>
            </w:pPr>
          </w:p>
        </w:tc>
        <w:tc>
          <w:tcPr>
            <w:tcW w:w="935" w:type="dxa"/>
            <w:vMerge/>
            <w:tcBorders>
              <w:top w:val="nil"/>
            </w:tcBorders>
          </w:tcPr>
          <w:p>
            <w:pPr>
              <w:rPr>
                <w:sz w:val="2"/>
                <w:szCs w:val="2"/>
              </w:rPr>
            </w:pPr>
          </w:p>
        </w:tc>
        <w:tc>
          <w:tcPr>
            <w:tcW w:w="755" w:type="dxa"/>
            <w:vMerge w:val="restart"/>
          </w:tcPr>
          <w:p>
            <w:pPr>
              <w:pStyle w:val="TableParagraph"/>
              <w:ind w:left="167"/>
              <w:rPr>
                <w:sz w:val="20"/>
              </w:rPr>
            </w:pPr>
            <w:r>
              <w:rPr>
                <w:sz w:val="20"/>
              </w:rPr>
              <w:t>Total</w:t>
            </w:r>
          </w:p>
        </w:tc>
        <w:tc>
          <w:tcPr>
            <w:tcW w:w="2382" w:type="dxa"/>
            <w:gridSpan w:val="3"/>
          </w:tcPr>
          <w:p>
            <w:pPr>
              <w:pStyle w:val="TableParagraph"/>
              <w:spacing w:line="210" w:lineRule="exact"/>
              <w:ind w:left="293"/>
              <w:rPr>
                <w:sz w:val="20"/>
              </w:rPr>
            </w:pPr>
            <w:r>
              <w:rPr>
                <w:sz w:val="20"/>
              </w:rPr>
              <w:t>din care: tbc pulmonar</w:t>
            </w:r>
          </w:p>
        </w:tc>
        <w:tc>
          <w:tcPr>
            <w:tcW w:w="808" w:type="dxa"/>
            <w:vMerge w:val="restart"/>
            <w:textDirection w:val="btLr"/>
          </w:tcPr>
          <w:p>
            <w:pPr>
              <w:pStyle w:val="TableParagraph"/>
              <w:spacing w:before="118"/>
              <w:ind w:left="12" w:right="123"/>
              <w:jc w:val="center"/>
              <w:rPr>
                <w:sz w:val="20"/>
              </w:rPr>
            </w:pPr>
            <w:r>
              <w:rPr>
                <w:sz w:val="20"/>
              </w:rPr>
              <w:t>Total</w:t>
            </w:r>
          </w:p>
          <w:p>
            <w:pPr>
              <w:pStyle w:val="TableParagraph"/>
              <w:spacing w:before="45"/>
              <w:ind w:left="12" w:right="126"/>
              <w:jc w:val="center"/>
              <w:rPr>
                <w:sz w:val="16"/>
              </w:rPr>
            </w:pPr>
            <w:r>
              <w:rPr>
                <w:sz w:val="16"/>
              </w:rPr>
              <w:t>(c.ol 08=09+ ...</w:t>
            </w:r>
          </w:p>
          <w:p>
            <w:pPr>
              <w:pStyle w:val="TableParagraph"/>
              <w:spacing w:before="6"/>
              <w:ind w:left="12" w:right="120"/>
              <w:jc w:val="center"/>
              <w:rPr>
                <w:sz w:val="16"/>
              </w:rPr>
            </w:pPr>
            <w:r>
              <w:rPr>
                <w:sz w:val="16"/>
              </w:rPr>
              <w:t>+12)</w:t>
            </w:r>
          </w:p>
        </w:tc>
        <w:tc>
          <w:tcPr>
            <w:tcW w:w="723" w:type="dxa"/>
            <w:vMerge w:val="restart"/>
          </w:tcPr>
          <w:p>
            <w:pPr>
              <w:pStyle w:val="TableParagraph"/>
              <w:ind w:left="125" w:right="96"/>
              <w:jc w:val="center"/>
              <w:rPr>
                <w:sz w:val="20"/>
              </w:rPr>
            </w:pPr>
            <w:r>
              <w:rPr>
                <w:sz w:val="20"/>
              </w:rPr>
              <w:t>osteo-</w:t>
            </w:r>
            <w:r>
              <w:rPr>
                <w:w w:val="99"/>
                <w:sz w:val="20"/>
              </w:rPr>
              <w:t> </w:t>
            </w:r>
            <w:r>
              <w:rPr>
                <w:sz w:val="20"/>
              </w:rPr>
              <w:t>arti- cular</w:t>
            </w:r>
          </w:p>
        </w:tc>
        <w:tc>
          <w:tcPr>
            <w:tcW w:w="709" w:type="dxa"/>
            <w:vMerge w:val="restart"/>
          </w:tcPr>
          <w:p>
            <w:pPr>
              <w:pStyle w:val="TableParagraph"/>
              <w:ind w:left="185" w:right="157"/>
              <w:jc w:val="both"/>
              <w:rPr>
                <w:sz w:val="20"/>
              </w:rPr>
            </w:pPr>
            <w:r>
              <w:rPr>
                <w:sz w:val="20"/>
              </w:rPr>
              <w:t>gan-</w:t>
            </w:r>
            <w:r>
              <w:rPr>
                <w:w w:val="99"/>
                <w:sz w:val="20"/>
              </w:rPr>
              <w:t> </w:t>
            </w:r>
            <w:r>
              <w:rPr>
                <w:sz w:val="20"/>
              </w:rPr>
              <w:t>gli- onar</w:t>
            </w:r>
          </w:p>
        </w:tc>
        <w:tc>
          <w:tcPr>
            <w:tcW w:w="659" w:type="dxa"/>
            <w:vMerge w:val="restart"/>
          </w:tcPr>
          <w:p>
            <w:pPr>
              <w:pStyle w:val="TableParagraph"/>
              <w:ind w:left="133" w:right="103" w:firstLine="38"/>
              <w:jc w:val="both"/>
              <w:rPr>
                <w:sz w:val="20"/>
              </w:rPr>
            </w:pPr>
            <w:r>
              <w:rPr>
                <w:sz w:val="20"/>
              </w:rPr>
              <w:t>uro- geni- tal</w:t>
            </w:r>
          </w:p>
        </w:tc>
        <w:tc>
          <w:tcPr>
            <w:tcW w:w="719" w:type="dxa"/>
            <w:vMerge w:val="restart"/>
          </w:tcPr>
          <w:p>
            <w:pPr>
              <w:pStyle w:val="TableParagraph"/>
              <w:ind w:left="147" w:right="97" w:firstLine="79"/>
              <w:rPr>
                <w:sz w:val="20"/>
              </w:rPr>
            </w:pPr>
            <w:r>
              <w:rPr>
                <w:sz w:val="20"/>
              </w:rPr>
              <w:t>alte locali</w:t>
            </w:r>
          </w:p>
          <w:p>
            <w:pPr>
              <w:pStyle w:val="TableParagraph"/>
              <w:spacing w:line="228" w:lineRule="exact"/>
              <w:ind w:left="185"/>
              <w:rPr>
                <w:sz w:val="20"/>
              </w:rPr>
            </w:pPr>
            <w:r>
              <w:rPr>
                <w:sz w:val="20"/>
              </w:rPr>
              <w:t>-zări</w:t>
            </w:r>
          </w:p>
        </w:tc>
      </w:tr>
      <w:tr>
        <w:trPr>
          <w:trHeight w:val="230" w:hRule="atLeast"/>
        </w:trPr>
        <w:tc>
          <w:tcPr>
            <w:tcW w:w="1001" w:type="dxa"/>
            <w:vMerge/>
            <w:tcBorders>
              <w:top w:val="nil"/>
            </w:tcBorders>
            <w:textDirection w:val="btLr"/>
          </w:tcPr>
          <w:p>
            <w:pPr>
              <w:rPr>
                <w:sz w:val="2"/>
                <w:szCs w:val="2"/>
              </w:rPr>
            </w:pPr>
          </w:p>
        </w:tc>
        <w:tc>
          <w:tcPr>
            <w:tcW w:w="1135" w:type="dxa"/>
            <w:vMerge/>
            <w:tcBorders>
              <w:top w:val="nil"/>
            </w:tcBorders>
          </w:tcPr>
          <w:p>
            <w:pPr>
              <w:rPr>
                <w:sz w:val="2"/>
                <w:szCs w:val="2"/>
              </w:rPr>
            </w:pPr>
          </w:p>
        </w:tc>
        <w:tc>
          <w:tcPr>
            <w:tcW w:w="984" w:type="dxa"/>
            <w:vMerge/>
            <w:tcBorders>
              <w:top w:val="nil"/>
            </w:tcBorders>
          </w:tcPr>
          <w:p>
            <w:pPr>
              <w:rPr>
                <w:sz w:val="2"/>
                <w:szCs w:val="2"/>
              </w:rPr>
            </w:pPr>
          </w:p>
        </w:tc>
        <w:tc>
          <w:tcPr>
            <w:tcW w:w="935" w:type="dxa"/>
            <w:vMerge w:val="restart"/>
          </w:tcPr>
          <w:p>
            <w:pPr>
              <w:pStyle w:val="TableParagraph"/>
              <w:spacing w:before="5"/>
              <w:rPr>
                <w:sz w:val="20"/>
              </w:rPr>
            </w:pPr>
          </w:p>
          <w:p>
            <w:pPr>
              <w:pStyle w:val="TableParagraph"/>
              <w:ind w:left="137" w:right="125" w:firstLine="108"/>
              <w:rPr>
                <w:sz w:val="20"/>
              </w:rPr>
            </w:pPr>
            <w:r>
              <w:rPr>
                <w:sz w:val="20"/>
              </w:rPr>
              <w:t>Copii 0-14 ani</w:t>
            </w:r>
          </w:p>
        </w:tc>
        <w:tc>
          <w:tcPr>
            <w:tcW w:w="755" w:type="dxa"/>
            <w:vMerge/>
            <w:tcBorders>
              <w:top w:val="nil"/>
            </w:tcBorders>
          </w:tcPr>
          <w:p>
            <w:pPr>
              <w:rPr>
                <w:sz w:val="2"/>
                <w:szCs w:val="2"/>
              </w:rPr>
            </w:pPr>
          </w:p>
        </w:tc>
        <w:tc>
          <w:tcPr>
            <w:tcW w:w="724" w:type="dxa"/>
            <w:vMerge w:val="restart"/>
          </w:tcPr>
          <w:p>
            <w:pPr>
              <w:pStyle w:val="TableParagraph"/>
              <w:ind w:left="153"/>
              <w:rPr>
                <w:sz w:val="20"/>
              </w:rPr>
            </w:pPr>
            <w:r>
              <w:rPr>
                <w:sz w:val="20"/>
              </w:rPr>
              <w:t>Total</w:t>
            </w:r>
          </w:p>
        </w:tc>
        <w:tc>
          <w:tcPr>
            <w:tcW w:w="1658" w:type="dxa"/>
            <w:gridSpan w:val="2"/>
          </w:tcPr>
          <w:p>
            <w:pPr>
              <w:pStyle w:val="TableParagraph"/>
              <w:spacing w:line="210" w:lineRule="exact"/>
              <w:ind w:left="164"/>
              <w:rPr>
                <w:sz w:val="20"/>
              </w:rPr>
            </w:pPr>
            <w:r>
              <w:rPr>
                <w:sz w:val="20"/>
              </w:rPr>
              <w:t>din care: cu bK+</w:t>
            </w:r>
          </w:p>
        </w:tc>
        <w:tc>
          <w:tcPr>
            <w:tcW w:w="808" w:type="dxa"/>
            <w:vMerge/>
            <w:tcBorders>
              <w:top w:val="nil"/>
            </w:tcBorders>
            <w:textDirection w:val="btLr"/>
          </w:tcPr>
          <w:p>
            <w:pPr>
              <w:rPr>
                <w:sz w:val="2"/>
                <w:szCs w:val="2"/>
              </w:rPr>
            </w:pPr>
          </w:p>
        </w:tc>
        <w:tc>
          <w:tcPr>
            <w:tcW w:w="723" w:type="dxa"/>
            <w:vMerge/>
            <w:tcBorders>
              <w:top w:val="nil"/>
            </w:tcBorders>
          </w:tcPr>
          <w:p>
            <w:pPr>
              <w:rPr>
                <w:sz w:val="2"/>
                <w:szCs w:val="2"/>
              </w:rPr>
            </w:pPr>
          </w:p>
        </w:tc>
        <w:tc>
          <w:tcPr>
            <w:tcW w:w="709" w:type="dxa"/>
            <w:vMerge/>
            <w:tcBorders>
              <w:top w:val="nil"/>
            </w:tcBorders>
          </w:tcPr>
          <w:p>
            <w:pPr>
              <w:rPr>
                <w:sz w:val="2"/>
                <w:szCs w:val="2"/>
              </w:rPr>
            </w:pPr>
          </w:p>
        </w:tc>
        <w:tc>
          <w:tcPr>
            <w:tcW w:w="659" w:type="dxa"/>
            <w:vMerge/>
            <w:tcBorders>
              <w:top w:val="nil"/>
            </w:tcBorders>
          </w:tcPr>
          <w:p>
            <w:pPr>
              <w:rPr>
                <w:sz w:val="2"/>
                <w:szCs w:val="2"/>
              </w:rPr>
            </w:pPr>
          </w:p>
        </w:tc>
        <w:tc>
          <w:tcPr>
            <w:tcW w:w="719" w:type="dxa"/>
            <w:vMerge/>
            <w:tcBorders>
              <w:top w:val="nil"/>
            </w:tcBorders>
          </w:tcPr>
          <w:p>
            <w:pPr>
              <w:rPr>
                <w:sz w:val="2"/>
                <w:szCs w:val="2"/>
              </w:rPr>
            </w:pPr>
          </w:p>
        </w:tc>
      </w:tr>
      <w:tr>
        <w:trPr>
          <w:trHeight w:val="688" w:hRule="atLeast"/>
        </w:trPr>
        <w:tc>
          <w:tcPr>
            <w:tcW w:w="1001" w:type="dxa"/>
            <w:vMerge/>
            <w:tcBorders>
              <w:top w:val="nil"/>
            </w:tcBorders>
            <w:textDirection w:val="btLr"/>
          </w:tcPr>
          <w:p>
            <w:pPr>
              <w:rPr>
                <w:sz w:val="2"/>
                <w:szCs w:val="2"/>
              </w:rPr>
            </w:pPr>
          </w:p>
        </w:tc>
        <w:tc>
          <w:tcPr>
            <w:tcW w:w="1135" w:type="dxa"/>
            <w:vMerge/>
            <w:tcBorders>
              <w:top w:val="nil"/>
            </w:tcBorders>
          </w:tcPr>
          <w:p>
            <w:pPr>
              <w:rPr>
                <w:sz w:val="2"/>
                <w:szCs w:val="2"/>
              </w:rPr>
            </w:pPr>
          </w:p>
        </w:tc>
        <w:tc>
          <w:tcPr>
            <w:tcW w:w="984" w:type="dxa"/>
            <w:vMerge/>
            <w:tcBorders>
              <w:top w:val="nil"/>
            </w:tcBorders>
          </w:tcPr>
          <w:p>
            <w:pPr>
              <w:rPr>
                <w:sz w:val="2"/>
                <w:szCs w:val="2"/>
              </w:rPr>
            </w:pPr>
          </w:p>
        </w:tc>
        <w:tc>
          <w:tcPr>
            <w:tcW w:w="935" w:type="dxa"/>
            <w:vMerge/>
            <w:tcBorders>
              <w:top w:val="nil"/>
            </w:tcBorders>
          </w:tcPr>
          <w:p>
            <w:pPr>
              <w:rPr>
                <w:sz w:val="2"/>
                <w:szCs w:val="2"/>
              </w:rPr>
            </w:pPr>
          </w:p>
        </w:tc>
        <w:tc>
          <w:tcPr>
            <w:tcW w:w="755" w:type="dxa"/>
            <w:vMerge/>
            <w:tcBorders>
              <w:top w:val="nil"/>
            </w:tcBorders>
          </w:tcPr>
          <w:p>
            <w:pPr>
              <w:rPr>
                <w:sz w:val="2"/>
                <w:szCs w:val="2"/>
              </w:rPr>
            </w:pPr>
          </w:p>
        </w:tc>
        <w:tc>
          <w:tcPr>
            <w:tcW w:w="724" w:type="dxa"/>
            <w:vMerge/>
            <w:tcBorders>
              <w:top w:val="nil"/>
            </w:tcBorders>
          </w:tcPr>
          <w:p>
            <w:pPr>
              <w:rPr>
                <w:sz w:val="2"/>
                <w:szCs w:val="2"/>
              </w:rPr>
            </w:pPr>
          </w:p>
        </w:tc>
        <w:tc>
          <w:tcPr>
            <w:tcW w:w="738" w:type="dxa"/>
          </w:tcPr>
          <w:p>
            <w:pPr>
              <w:pStyle w:val="TableParagraph"/>
              <w:ind w:left="162"/>
              <w:rPr>
                <w:sz w:val="20"/>
              </w:rPr>
            </w:pPr>
            <w:r>
              <w:rPr>
                <w:sz w:val="20"/>
              </w:rPr>
              <w:t>Total</w:t>
            </w:r>
          </w:p>
        </w:tc>
        <w:tc>
          <w:tcPr>
            <w:tcW w:w="920" w:type="dxa"/>
          </w:tcPr>
          <w:p>
            <w:pPr>
              <w:pStyle w:val="TableParagraph"/>
              <w:ind w:left="120" w:firstLine="196"/>
              <w:rPr>
                <w:sz w:val="20"/>
              </w:rPr>
            </w:pPr>
            <w:r>
              <w:rPr>
                <w:sz w:val="20"/>
              </w:rPr>
              <w:t>d c: numai</w:t>
            </w:r>
            <w:r>
              <w:rPr>
                <w:spacing w:val="-5"/>
                <w:sz w:val="20"/>
              </w:rPr>
              <w:t> </w:t>
            </w:r>
            <w:r>
              <w:rPr>
                <w:spacing w:val="-9"/>
                <w:sz w:val="20"/>
              </w:rPr>
              <w:t>la</w:t>
            </w:r>
          </w:p>
          <w:p>
            <w:pPr>
              <w:pStyle w:val="TableParagraph"/>
              <w:spacing w:line="208" w:lineRule="exact"/>
              <w:ind w:left="204"/>
              <w:rPr>
                <w:sz w:val="20"/>
              </w:rPr>
            </w:pPr>
            <w:r>
              <w:rPr>
                <w:sz w:val="20"/>
              </w:rPr>
              <w:t>culturi</w:t>
            </w:r>
          </w:p>
        </w:tc>
        <w:tc>
          <w:tcPr>
            <w:tcW w:w="808" w:type="dxa"/>
            <w:vMerge/>
            <w:tcBorders>
              <w:top w:val="nil"/>
            </w:tcBorders>
            <w:textDirection w:val="btLr"/>
          </w:tcPr>
          <w:p>
            <w:pPr>
              <w:rPr>
                <w:sz w:val="2"/>
                <w:szCs w:val="2"/>
              </w:rPr>
            </w:pPr>
          </w:p>
        </w:tc>
        <w:tc>
          <w:tcPr>
            <w:tcW w:w="723" w:type="dxa"/>
            <w:vMerge/>
            <w:tcBorders>
              <w:top w:val="nil"/>
            </w:tcBorders>
          </w:tcPr>
          <w:p>
            <w:pPr>
              <w:rPr>
                <w:sz w:val="2"/>
                <w:szCs w:val="2"/>
              </w:rPr>
            </w:pPr>
          </w:p>
        </w:tc>
        <w:tc>
          <w:tcPr>
            <w:tcW w:w="709" w:type="dxa"/>
            <w:vMerge/>
            <w:tcBorders>
              <w:top w:val="nil"/>
            </w:tcBorders>
          </w:tcPr>
          <w:p>
            <w:pPr>
              <w:rPr>
                <w:sz w:val="2"/>
                <w:szCs w:val="2"/>
              </w:rPr>
            </w:pPr>
          </w:p>
        </w:tc>
        <w:tc>
          <w:tcPr>
            <w:tcW w:w="659" w:type="dxa"/>
            <w:vMerge/>
            <w:tcBorders>
              <w:top w:val="nil"/>
            </w:tcBorders>
          </w:tcPr>
          <w:p>
            <w:pPr>
              <w:rPr>
                <w:sz w:val="2"/>
                <w:szCs w:val="2"/>
              </w:rPr>
            </w:pPr>
          </w:p>
        </w:tc>
        <w:tc>
          <w:tcPr>
            <w:tcW w:w="719" w:type="dxa"/>
            <w:vMerge/>
            <w:tcBorders>
              <w:top w:val="nil"/>
            </w:tcBorders>
          </w:tcPr>
          <w:p>
            <w:pPr>
              <w:rPr>
                <w:sz w:val="2"/>
                <w:szCs w:val="2"/>
              </w:rPr>
            </w:pPr>
          </w:p>
        </w:tc>
      </w:tr>
      <w:tr>
        <w:trPr>
          <w:trHeight w:val="270" w:hRule="atLeast"/>
        </w:trPr>
        <w:tc>
          <w:tcPr>
            <w:tcW w:w="1001" w:type="dxa"/>
          </w:tcPr>
          <w:p>
            <w:pPr>
              <w:pStyle w:val="TableParagraph"/>
              <w:ind w:left="6"/>
              <w:jc w:val="center"/>
              <w:rPr>
                <w:sz w:val="20"/>
              </w:rPr>
            </w:pPr>
            <w:r>
              <w:rPr>
                <w:w w:val="99"/>
                <w:sz w:val="20"/>
              </w:rPr>
              <w:t>A</w:t>
            </w:r>
          </w:p>
        </w:tc>
        <w:tc>
          <w:tcPr>
            <w:tcW w:w="1135" w:type="dxa"/>
          </w:tcPr>
          <w:p>
            <w:pPr>
              <w:pStyle w:val="TableParagraph"/>
              <w:ind w:left="259" w:right="252"/>
              <w:jc w:val="center"/>
              <w:rPr>
                <w:sz w:val="20"/>
              </w:rPr>
            </w:pPr>
            <w:r>
              <w:rPr>
                <w:sz w:val="20"/>
              </w:rPr>
              <w:t>01</w:t>
            </w:r>
          </w:p>
        </w:tc>
        <w:tc>
          <w:tcPr>
            <w:tcW w:w="984" w:type="dxa"/>
          </w:tcPr>
          <w:p>
            <w:pPr>
              <w:pStyle w:val="TableParagraph"/>
              <w:ind w:left="151" w:right="141"/>
              <w:jc w:val="center"/>
              <w:rPr>
                <w:sz w:val="20"/>
              </w:rPr>
            </w:pPr>
            <w:r>
              <w:rPr>
                <w:sz w:val="20"/>
              </w:rPr>
              <w:t>02</w:t>
            </w:r>
          </w:p>
        </w:tc>
        <w:tc>
          <w:tcPr>
            <w:tcW w:w="935" w:type="dxa"/>
          </w:tcPr>
          <w:p>
            <w:pPr>
              <w:pStyle w:val="TableParagraph"/>
              <w:ind w:left="348" w:right="336"/>
              <w:jc w:val="center"/>
              <w:rPr>
                <w:sz w:val="20"/>
              </w:rPr>
            </w:pPr>
            <w:r>
              <w:rPr>
                <w:sz w:val="20"/>
              </w:rPr>
              <w:t>03</w:t>
            </w:r>
          </w:p>
        </w:tc>
        <w:tc>
          <w:tcPr>
            <w:tcW w:w="755" w:type="dxa"/>
          </w:tcPr>
          <w:p>
            <w:pPr>
              <w:pStyle w:val="TableParagraph"/>
              <w:ind w:left="280"/>
              <w:rPr>
                <w:sz w:val="20"/>
              </w:rPr>
            </w:pPr>
            <w:r>
              <w:rPr>
                <w:sz w:val="20"/>
              </w:rPr>
              <w:t>04</w:t>
            </w:r>
          </w:p>
        </w:tc>
        <w:tc>
          <w:tcPr>
            <w:tcW w:w="724" w:type="dxa"/>
          </w:tcPr>
          <w:p>
            <w:pPr>
              <w:pStyle w:val="TableParagraph"/>
              <w:ind w:left="109" w:right="88"/>
              <w:jc w:val="center"/>
              <w:rPr>
                <w:sz w:val="20"/>
              </w:rPr>
            </w:pPr>
            <w:r>
              <w:rPr>
                <w:sz w:val="20"/>
              </w:rPr>
              <w:t>05</w:t>
            </w:r>
          </w:p>
        </w:tc>
        <w:tc>
          <w:tcPr>
            <w:tcW w:w="738" w:type="dxa"/>
          </w:tcPr>
          <w:p>
            <w:pPr>
              <w:pStyle w:val="TableParagraph"/>
              <w:ind w:left="253" w:right="234"/>
              <w:jc w:val="center"/>
              <w:rPr>
                <w:sz w:val="20"/>
              </w:rPr>
            </w:pPr>
            <w:r>
              <w:rPr>
                <w:sz w:val="20"/>
              </w:rPr>
              <w:t>06</w:t>
            </w:r>
          </w:p>
        </w:tc>
        <w:tc>
          <w:tcPr>
            <w:tcW w:w="920" w:type="dxa"/>
          </w:tcPr>
          <w:p>
            <w:pPr>
              <w:pStyle w:val="TableParagraph"/>
              <w:ind w:left="346" w:right="324"/>
              <w:jc w:val="center"/>
              <w:rPr>
                <w:sz w:val="20"/>
              </w:rPr>
            </w:pPr>
            <w:r>
              <w:rPr>
                <w:sz w:val="20"/>
              </w:rPr>
              <w:t>07</w:t>
            </w:r>
          </w:p>
        </w:tc>
        <w:tc>
          <w:tcPr>
            <w:tcW w:w="808" w:type="dxa"/>
          </w:tcPr>
          <w:p>
            <w:pPr>
              <w:pStyle w:val="TableParagraph"/>
              <w:ind w:left="293" w:right="265"/>
              <w:jc w:val="center"/>
              <w:rPr>
                <w:sz w:val="20"/>
              </w:rPr>
            </w:pPr>
            <w:r>
              <w:rPr>
                <w:sz w:val="20"/>
              </w:rPr>
              <w:t>08</w:t>
            </w:r>
          </w:p>
        </w:tc>
        <w:tc>
          <w:tcPr>
            <w:tcW w:w="723" w:type="dxa"/>
          </w:tcPr>
          <w:p>
            <w:pPr>
              <w:pStyle w:val="TableParagraph"/>
              <w:ind w:left="124" w:right="96"/>
              <w:jc w:val="center"/>
              <w:rPr>
                <w:sz w:val="20"/>
              </w:rPr>
            </w:pPr>
            <w:r>
              <w:rPr>
                <w:sz w:val="20"/>
              </w:rPr>
              <w:t>09</w:t>
            </w:r>
          </w:p>
        </w:tc>
        <w:tc>
          <w:tcPr>
            <w:tcW w:w="709" w:type="dxa"/>
          </w:tcPr>
          <w:p>
            <w:pPr>
              <w:pStyle w:val="TableParagraph"/>
              <w:ind w:left="264"/>
              <w:rPr>
                <w:sz w:val="20"/>
              </w:rPr>
            </w:pPr>
            <w:r>
              <w:rPr>
                <w:sz w:val="20"/>
              </w:rPr>
              <w:t>10</w:t>
            </w:r>
          </w:p>
        </w:tc>
        <w:tc>
          <w:tcPr>
            <w:tcW w:w="659" w:type="dxa"/>
          </w:tcPr>
          <w:p>
            <w:pPr>
              <w:pStyle w:val="TableParagraph"/>
              <w:ind w:left="239"/>
              <w:rPr>
                <w:sz w:val="20"/>
              </w:rPr>
            </w:pPr>
            <w:r>
              <w:rPr>
                <w:sz w:val="20"/>
              </w:rPr>
              <w:t>11</w:t>
            </w:r>
          </w:p>
        </w:tc>
        <w:tc>
          <w:tcPr>
            <w:tcW w:w="719" w:type="dxa"/>
          </w:tcPr>
          <w:p>
            <w:pPr>
              <w:pStyle w:val="TableParagraph"/>
              <w:ind w:left="249" w:right="219"/>
              <w:jc w:val="center"/>
              <w:rPr>
                <w:sz w:val="20"/>
              </w:rPr>
            </w:pPr>
            <w:r>
              <w:rPr>
                <w:sz w:val="20"/>
              </w:rPr>
              <w:t>12</w:t>
            </w:r>
          </w:p>
        </w:tc>
      </w:tr>
      <w:tr>
        <w:trPr>
          <w:trHeight w:val="420" w:hRule="atLeast"/>
        </w:trPr>
        <w:tc>
          <w:tcPr>
            <w:tcW w:w="1001" w:type="dxa"/>
          </w:tcPr>
          <w:p>
            <w:pPr>
              <w:pStyle w:val="TableParagraph"/>
              <w:spacing w:before="94"/>
              <w:ind w:left="107"/>
              <w:rPr>
                <w:sz w:val="20"/>
              </w:rPr>
            </w:pPr>
            <w:r>
              <w:rPr>
                <w:sz w:val="20"/>
              </w:rPr>
              <w:t>Total</w:t>
            </w:r>
          </w:p>
        </w:tc>
        <w:tc>
          <w:tcPr>
            <w:tcW w:w="1135" w:type="dxa"/>
          </w:tcPr>
          <w:p>
            <w:pPr>
              <w:pStyle w:val="TableParagraph"/>
              <w:spacing w:before="104"/>
              <w:ind w:right="95"/>
              <w:jc w:val="right"/>
              <w:rPr>
                <w:rFonts w:ascii="Arial"/>
                <w:sz w:val="18"/>
              </w:rPr>
            </w:pPr>
            <w:r>
              <w:rPr>
                <w:rFonts w:ascii="Arial"/>
                <w:w w:val="95"/>
                <w:sz w:val="18"/>
              </w:rPr>
              <w:t>1081</w:t>
            </w:r>
          </w:p>
        </w:tc>
        <w:tc>
          <w:tcPr>
            <w:tcW w:w="984" w:type="dxa"/>
          </w:tcPr>
          <w:p>
            <w:pPr>
              <w:pStyle w:val="TableParagraph"/>
              <w:spacing w:before="104"/>
              <w:ind w:right="93"/>
              <w:jc w:val="right"/>
              <w:rPr>
                <w:rFonts w:ascii="Arial"/>
                <w:sz w:val="18"/>
              </w:rPr>
            </w:pPr>
            <w:r>
              <w:rPr>
                <w:rFonts w:ascii="Arial"/>
                <w:w w:val="95"/>
                <w:sz w:val="18"/>
              </w:rPr>
              <w:t>924</w:t>
            </w:r>
          </w:p>
        </w:tc>
        <w:tc>
          <w:tcPr>
            <w:tcW w:w="935" w:type="dxa"/>
          </w:tcPr>
          <w:p>
            <w:pPr>
              <w:pStyle w:val="TableParagraph"/>
              <w:spacing w:before="104"/>
              <w:ind w:right="91"/>
              <w:jc w:val="right"/>
              <w:rPr>
                <w:rFonts w:ascii="Arial"/>
                <w:sz w:val="18"/>
              </w:rPr>
            </w:pPr>
            <w:r>
              <w:rPr>
                <w:rFonts w:ascii="Arial"/>
                <w:w w:val="95"/>
                <w:sz w:val="18"/>
              </w:rPr>
              <w:t>61</w:t>
            </w:r>
          </w:p>
        </w:tc>
        <w:tc>
          <w:tcPr>
            <w:tcW w:w="755" w:type="dxa"/>
          </w:tcPr>
          <w:p>
            <w:pPr>
              <w:pStyle w:val="TableParagraph"/>
              <w:spacing w:before="104"/>
              <w:ind w:left="349"/>
              <w:rPr>
                <w:rFonts w:ascii="Arial"/>
                <w:sz w:val="18"/>
              </w:rPr>
            </w:pPr>
            <w:r>
              <w:rPr>
                <w:rFonts w:ascii="Arial"/>
                <w:sz w:val="18"/>
              </w:rPr>
              <w:t>820</w:t>
            </w:r>
          </w:p>
        </w:tc>
        <w:tc>
          <w:tcPr>
            <w:tcW w:w="724" w:type="dxa"/>
          </w:tcPr>
          <w:p>
            <w:pPr>
              <w:pStyle w:val="TableParagraph"/>
              <w:spacing w:before="104"/>
              <w:ind w:right="87"/>
              <w:jc w:val="right"/>
              <w:rPr>
                <w:rFonts w:ascii="Arial"/>
                <w:sz w:val="18"/>
              </w:rPr>
            </w:pPr>
            <w:r>
              <w:rPr>
                <w:rFonts w:ascii="Arial"/>
                <w:w w:val="95"/>
                <w:sz w:val="18"/>
              </w:rPr>
              <w:t>676</w:t>
            </w:r>
          </w:p>
        </w:tc>
        <w:tc>
          <w:tcPr>
            <w:tcW w:w="738" w:type="dxa"/>
          </w:tcPr>
          <w:p>
            <w:pPr>
              <w:pStyle w:val="TableParagraph"/>
              <w:spacing w:before="104"/>
              <w:ind w:right="88"/>
              <w:jc w:val="right"/>
              <w:rPr>
                <w:rFonts w:ascii="Arial"/>
                <w:sz w:val="18"/>
              </w:rPr>
            </w:pPr>
            <w:r>
              <w:rPr>
                <w:rFonts w:ascii="Arial"/>
                <w:w w:val="95"/>
                <w:sz w:val="18"/>
              </w:rPr>
              <w:t>513</w:t>
            </w:r>
          </w:p>
        </w:tc>
        <w:tc>
          <w:tcPr>
            <w:tcW w:w="920" w:type="dxa"/>
          </w:tcPr>
          <w:p>
            <w:pPr>
              <w:pStyle w:val="TableParagraph"/>
              <w:spacing w:before="104"/>
              <w:ind w:right="86"/>
              <w:jc w:val="right"/>
              <w:rPr>
                <w:rFonts w:ascii="Arial"/>
                <w:sz w:val="18"/>
              </w:rPr>
            </w:pPr>
            <w:r>
              <w:rPr>
                <w:rFonts w:ascii="Arial"/>
                <w:w w:val="95"/>
                <w:sz w:val="18"/>
              </w:rPr>
              <w:t>107</w:t>
            </w:r>
          </w:p>
        </w:tc>
        <w:tc>
          <w:tcPr>
            <w:tcW w:w="808" w:type="dxa"/>
          </w:tcPr>
          <w:p>
            <w:pPr>
              <w:pStyle w:val="TableParagraph"/>
              <w:spacing w:before="104"/>
              <w:ind w:right="85"/>
              <w:jc w:val="right"/>
              <w:rPr>
                <w:rFonts w:ascii="Arial"/>
                <w:sz w:val="18"/>
              </w:rPr>
            </w:pPr>
            <w:r>
              <w:rPr>
                <w:rFonts w:ascii="Arial"/>
                <w:w w:val="95"/>
                <w:sz w:val="18"/>
              </w:rPr>
              <w:t>104</w:t>
            </w:r>
          </w:p>
        </w:tc>
        <w:tc>
          <w:tcPr>
            <w:tcW w:w="723" w:type="dxa"/>
          </w:tcPr>
          <w:p>
            <w:pPr>
              <w:pStyle w:val="TableParagraph"/>
              <w:spacing w:before="104"/>
              <w:ind w:right="86"/>
              <w:jc w:val="right"/>
              <w:rPr>
                <w:rFonts w:ascii="Arial"/>
                <w:sz w:val="18"/>
              </w:rPr>
            </w:pPr>
            <w:r>
              <w:rPr>
                <w:rFonts w:ascii="Arial"/>
                <w:w w:val="99"/>
                <w:sz w:val="18"/>
              </w:rPr>
              <w:t>6</w:t>
            </w:r>
          </w:p>
        </w:tc>
        <w:tc>
          <w:tcPr>
            <w:tcW w:w="709" w:type="dxa"/>
          </w:tcPr>
          <w:p>
            <w:pPr>
              <w:pStyle w:val="TableParagraph"/>
              <w:spacing w:before="104"/>
              <w:ind w:right="84"/>
              <w:jc w:val="right"/>
              <w:rPr>
                <w:rFonts w:ascii="Arial"/>
                <w:sz w:val="18"/>
              </w:rPr>
            </w:pPr>
            <w:r>
              <w:rPr>
                <w:rFonts w:ascii="Arial"/>
                <w:w w:val="95"/>
                <w:sz w:val="18"/>
              </w:rPr>
              <w:t>65</w:t>
            </w:r>
          </w:p>
        </w:tc>
        <w:tc>
          <w:tcPr>
            <w:tcW w:w="659" w:type="dxa"/>
          </w:tcPr>
          <w:p>
            <w:pPr>
              <w:pStyle w:val="TableParagraph"/>
              <w:spacing w:before="104"/>
              <w:ind w:right="86"/>
              <w:jc w:val="right"/>
              <w:rPr>
                <w:rFonts w:ascii="Arial"/>
                <w:sz w:val="18"/>
              </w:rPr>
            </w:pPr>
            <w:r>
              <w:rPr>
                <w:rFonts w:ascii="Arial"/>
                <w:w w:val="99"/>
                <w:sz w:val="18"/>
              </w:rPr>
              <w:t>4</w:t>
            </w:r>
          </w:p>
        </w:tc>
        <w:tc>
          <w:tcPr>
            <w:tcW w:w="719" w:type="dxa"/>
          </w:tcPr>
          <w:p>
            <w:pPr>
              <w:pStyle w:val="TableParagraph"/>
              <w:spacing w:before="104"/>
              <w:ind w:right="82"/>
              <w:jc w:val="right"/>
              <w:rPr>
                <w:rFonts w:ascii="Arial"/>
                <w:sz w:val="18"/>
              </w:rPr>
            </w:pPr>
            <w:r>
              <w:rPr>
                <w:rFonts w:ascii="Arial"/>
                <w:w w:val="95"/>
                <w:sz w:val="18"/>
              </w:rPr>
              <w:t>29</w:t>
            </w:r>
          </w:p>
        </w:tc>
      </w:tr>
      <w:tr>
        <w:trPr>
          <w:trHeight w:val="419" w:hRule="atLeast"/>
        </w:trPr>
        <w:tc>
          <w:tcPr>
            <w:tcW w:w="1001" w:type="dxa"/>
          </w:tcPr>
          <w:p>
            <w:pPr>
              <w:pStyle w:val="TableParagraph"/>
              <w:spacing w:before="96"/>
              <w:ind w:left="107"/>
              <w:rPr>
                <w:sz w:val="20"/>
              </w:rPr>
            </w:pPr>
            <w:r>
              <w:rPr>
                <w:sz w:val="20"/>
              </w:rPr>
              <w:t>Urban</w:t>
            </w:r>
          </w:p>
        </w:tc>
        <w:tc>
          <w:tcPr>
            <w:tcW w:w="1135" w:type="dxa"/>
          </w:tcPr>
          <w:p>
            <w:pPr>
              <w:pStyle w:val="TableParagraph"/>
              <w:spacing w:before="107"/>
              <w:ind w:right="95"/>
              <w:jc w:val="right"/>
              <w:rPr>
                <w:rFonts w:ascii="Arial"/>
                <w:sz w:val="18"/>
              </w:rPr>
            </w:pPr>
            <w:r>
              <w:rPr>
                <w:rFonts w:ascii="Arial"/>
                <w:w w:val="95"/>
                <w:sz w:val="18"/>
              </w:rPr>
              <w:t>927</w:t>
            </w:r>
          </w:p>
        </w:tc>
        <w:tc>
          <w:tcPr>
            <w:tcW w:w="984" w:type="dxa"/>
          </w:tcPr>
          <w:p>
            <w:pPr>
              <w:pStyle w:val="TableParagraph"/>
              <w:spacing w:before="107"/>
              <w:ind w:right="93"/>
              <w:jc w:val="right"/>
              <w:rPr>
                <w:rFonts w:ascii="Arial"/>
                <w:sz w:val="18"/>
              </w:rPr>
            </w:pPr>
            <w:r>
              <w:rPr>
                <w:rFonts w:ascii="Arial"/>
                <w:w w:val="95"/>
                <w:sz w:val="18"/>
              </w:rPr>
              <w:t>794</w:t>
            </w:r>
          </w:p>
        </w:tc>
        <w:tc>
          <w:tcPr>
            <w:tcW w:w="935" w:type="dxa"/>
          </w:tcPr>
          <w:p>
            <w:pPr>
              <w:pStyle w:val="TableParagraph"/>
              <w:spacing w:before="107"/>
              <w:ind w:right="91"/>
              <w:jc w:val="right"/>
              <w:rPr>
                <w:rFonts w:ascii="Arial"/>
                <w:sz w:val="18"/>
              </w:rPr>
            </w:pPr>
            <w:r>
              <w:rPr>
                <w:rFonts w:ascii="Arial"/>
                <w:w w:val="95"/>
                <w:sz w:val="18"/>
              </w:rPr>
              <w:t>46</w:t>
            </w:r>
          </w:p>
        </w:tc>
        <w:tc>
          <w:tcPr>
            <w:tcW w:w="755" w:type="dxa"/>
          </w:tcPr>
          <w:p>
            <w:pPr>
              <w:pStyle w:val="TableParagraph"/>
              <w:spacing w:before="107"/>
              <w:ind w:left="349"/>
              <w:rPr>
                <w:rFonts w:ascii="Arial"/>
                <w:sz w:val="18"/>
              </w:rPr>
            </w:pPr>
            <w:r>
              <w:rPr>
                <w:rFonts w:ascii="Arial"/>
                <w:sz w:val="18"/>
              </w:rPr>
              <w:t>698</w:t>
            </w:r>
          </w:p>
        </w:tc>
        <w:tc>
          <w:tcPr>
            <w:tcW w:w="724" w:type="dxa"/>
          </w:tcPr>
          <w:p>
            <w:pPr>
              <w:pStyle w:val="TableParagraph"/>
              <w:spacing w:before="107"/>
              <w:ind w:right="87"/>
              <w:jc w:val="right"/>
              <w:rPr>
                <w:rFonts w:ascii="Arial"/>
                <w:sz w:val="18"/>
              </w:rPr>
            </w:pPr>
            <w:r>
              <w:rPr>
                <w:rFonts w:ascii="Arial"/>
                <w:w w:val="95"/>
                <w:sz w:val="18"/>
              </w:rPr>
              <w:t>580</w:t>
            </w:r>
          </w:p>
        </w:tc>
        <w:tc>
          <w:tcPr>
            <w:tcW w:w="738" w:type="dxa"/>
          </w:tcPr>
          <w:p>
            <w:pPr>
              <w:pStyle w:val="TableParagraph"/>
              <w:spacing w:before="107"/>
              <w:ind w:right="88"/>
              <w:jc w:val="right"/>
              <w:rPr>
                <w:rFonts w:ascii="Arial"/>
                <w:sz w:val="18"/>
              </w:rPr>
            </w:pPr>
            <w:r>
              <w:rPr>
                <w:rFonts w:ascii="Arial"/>
                <w:w w:val="95"/>
                <w:sz w:val="18"/>
              </w:rPr>
              <w:t>445</w:t>
            </w:r>
          </w:p>
        </w:tc>
        <w:tc>
          <w:tcPr>
            <w:tcW w:w="920" w:type="dxa"/>
          </w:tcPr>
          <w:p>
            <w:pPr>
              <w:pStyle w:val="TableParagraph"/>
              <w:spacing w:before="107"/>
              <w:ind w:right="86"/>
              <w:jc w:val="right"/>
              <w:rPr>
                <w:rFonts w:ascii="Arial"/>
                <w:sz w:val="18"/>
              </w:rPr>
            </w:pPr>
            <w:r>
              <w:rPr>
                <w:rFonts w:ascii="Arial"/>
                <w:w w:val="95"/>
                <w:sz w:val="18"/>
              </w:rPr>
              <w:t>91</w:t>
            </w:r>
          </w:p>
        </w:tc>
        <w:tc>
          <w:tcPr>
            <w:tcW w:w="808" w:type="dxa"/>
          </w:tcPr>
          <w:p>
            <w:pPr>
              <w:pStyle w:val="TableParagraph"/>
              <w:spacing w:before="107"/>
              <w:ind w:right="85"/>
              <w:jc w:val="right"/>
              <w:rPr>
                <w:rFonts w:ascii="Arial"/>
                <w:sz w:val="18"/>
              </w:rPr>
            </w:pPr>
            <w:r>
              <w:rPr>
                <w:rFonts w:ascii="Arial"/>
                <w:w w:val="95"/>
                <w:sz w:val="18"/>
              </w:rPr>
              <w:t>96</w:t>
            </w:r>
          </w:p>
        </w:tc>
        <w:tc>
          <w:tcPr>
            <w:tcW w:w="723" w:type="dxa"/>
          </w:tcPr>
          <w:p>
            <w:pPr>
              <w:pStyle w:val="TableParagraph"/>
              <w:spacing w:before="107"/>
              <w:ind w:right="86"/>
              <w:jc w:val="right"/>
              <w:rPr>
                <w:rFonts w:ascii="Arial"/>
                <w:sz w:val="18"/>
              </w:rPr>
            </w:pPr>
            <w:r>
              <w:rPr>
                <w:rFonts w:ascii="Arial"/>
                <w:w w:val="99"/>
                <w:sz w:val="18"/>
              </w:rPr>
              <w:t>6</w:t>
            </w:r>
          </w:p>
        </w:tc>
        <w:tc>
          <w:tcPr>
            <w:tcW w:w="709" w:type="dxa"/>
          </w:tcPr>
          <w:p>
            <w:pPr>
              <w:pStyle w:val="TableParagraph"/>
              <w:spacing w:before="107"/>
              <w:ind w:right="84"/>
              <w:jc w:val="right"/>
              <w:rPr>
                <w:rFonts w:ascii="Arial"/>
                <w:sz w:val="18"/>
              </w:rPr>
            </w:pPr>
            <w:r>
              <w:rPr>
                <w:rFonts w:ascii="Arial"/>
                <w:w w:val="95"/>
                <w:sz w:val="18"/>
              </w:rPr>
              <w:t>59</w:t>
            </w:r>
          </w:p>
        </w:tc>
        <w:tc>
          <w:tcPr>
            <w:tcW w:w="659" w:type="dxa"/>
          </w:tcPr>
          <w:p>
            <w:pPr>
              <w:pStyle w:val="TableParagraph"/>
              <w:spacing w:before="107"/>
              <w:ind w:right="86"/>
              <w:jc w:val="right"/>
              <w:rPr>
                <w:rFonts w:ascii="Arial"/>
                <w:sz w:val="18"/>
              </w:rPr>
            </w:pPr>
            <w:r>
              <w:rPr>
                <w:rFonts w:ascii="Arial"/>
                <w:w w:val="99"/>
                <w:sz w:val="18"/>
              </w:rPr>
              <w:t>4</w:t>
            </w:r>
          </w:p>
        </w:tc>
        <w:tc>
          <w:tcPr>
            <w:tcW w:w="719" w:type="dxa"/>
          </w:tcPr>
          <w:p>
            <w:pPr>
              <w:pStyle w:val="TableParagraph"/>
              <w:spacing w:before="107"/>
              <w:ind w:right="82"/>
              <w:jc w:val="right"/>
              <w:rPr>
                <w:rFonts w:ascii="Arial"/>
                <w:sz w:val="18"/>
              </w:rPr>
            </w:pPr>
            <w:r>
              <w:rPr>
                <w:rFonts w:ascii="Arial"/>
                <w:w w:val="95"/>
                <w:sz w:val="18"/>
              </w:rPr>
              <w:t>27</w:t>
            </w:r>
          </w:p>
        </w:tc>
      </w:tr>
      <w:tr>
        <w:trPr>
          <w:trHeight w:val="421" w:hRule="atLeast"/>
        </w:trPr>
        <w:tc>
          <w:tcPr>
            <w:tcW w:w="1001" w:type="dxa"/>
          </w:tcPr>
          <w:p>
            <w:pPr>
              <w:pStyle w:val="TableParagraph"/>
              <w:spacing w:before="96"/>
              <w:ind w:left="107"/>
              <w:rPr>
                <w:sz w:val="20"/>
              </w:rPr>
            </w:pPr>
            <w:r>
              <w:rPr>
                <w:sz w:val="20"/>
              </w:rPr>
              <w:t>Rural</w:t>
            </w:r>
          </w:p>
        </w:tc>
        <w:tc>
          <w:tcPr>
            <w:tcW w:w="1135" w:type="dxa"/>
          </w:tcPr>
          <w:p>
            <w:pPr>
              <w:pStyle w:val="TableParagraph"/>
              <w:spacing w:before="107"/>
              <w:ind w:right="95"/>
              <w:jc w:val="right"/>
              <w:rPr>
                <w:rFonts w:ascii="Arial"/>
                <w:sz w:val="18"/>
              </w:rPr>
            </w:pPr>
            <w:r>
              <w:rPr>
                <w:rFonts w:ascii="Arial"/>
                <w:w w:val="95"/>
                <w:sz w:val="18"/>
              </w:rPr>
              <w:t>154</w:t>
            </w:r>
          </w:p>
        </w:tc>
        <w:tc>
          <w:tcPr>
            <w:tcW w:w="984" w:type="dxa"/>
          </w:tcPr>
          <w:p>
            <w:pPr>
              <w:pStyle w:val="TableParagraph"/>
              <w:spacing w:before="107"/>
              <w:ind w:right="93"/>
              <w:jc w:val="right"/>
              <w:rPr>
                <w:rFonts w:ascii="Arial"/>
                <w:sz w:val="18"/>
              </w:rPr>
            </w:pPr>
            <w:r>
              <w:rPr>
                <w:rFonts w:ascii="Arial"/>
                <w:w w:val="95"/>
                <w:sz w:val="18"/>
              </w:rPr>
              <w:t>130</w:t>
            </w:r>
          </w:p>
        </w:tc>
        <w:tc>
          <w:tcPr>
            <w:tcW w:w="935" w:type="dxa"/>
          </w:tcPr>
          <w:p>
            <w:pPr>
              <w:pStyle w:val="TableParagraph"/>
              <w:spacing w:before="107"/>
              <w:ind w:right="91"/>
              <w:jc w:val="right"/>
              <w:rPr>
                <w:rFonts w:ascii="Arial"/>
                <w:sz w:val="18"/>
              </w:rPr>
            </w:pPr>
            <w:r>
              <w:rPr>
                <w:rFonts w:ascii="Arial"/>
                <w:w w:val="95"/>
                <w:sz w:val="18"/>
              </w:rPr>
              <w:t>15</w:t>
            </w:r>
          </w:p>
        </w:tc>
        <w:tc>
          <w:tcPr>
            <w:tcW w:w="755" w:type="dxa"/>
          </w:tcPr>
          <w:p>
            <w:pPr>
              <w:pStyle w:val="TableParagraph"/>
              <w:spacing w:before="107"/>
              <w:ind w:left="349"/>
              <w:rPr>
                <w:rFonts w:ascii="Arial"/>
                <w:sz w:val="18"/>
              </w:rPr>
            </w:pPr>
            <w:r>
              <w:rPr>
                <w:rFonts w:ascii="Arial"/>
                <w:sz w:val="18"/>
              </w:rPr>
              <w:t>122</w:t>
            </w:r>
          </w:p>
        </w:tc>
        <w:tc>
          <w:tcPr>
            <w:tcW w:w="724" w:type="dxa"/>
          </w:tcPr>
          <w:p>
            <w:pPr>
              <w:pStyle w:val="TableParagraph"/>
              <w:spacing w:before="107"/>
              <w:ind w:right="87"/>
              <w:jc w:val="right"/>
              <w:rPr>
                <w:rFonts w:ascii="Arial"/>
                <w:sz w:val="18"/>
              </w:rPr>
            </w:pPr>
            <w:r>
              <w:rPr>
                <w:rFonts w:ascii="Arial"/>
                <w:w w:val="95"/>
                <w:sz w:val="18"/>
              </w:rPr>
              <w:t>96</w:t>
            </w:r>
          </w:p>
        </w:tc>
        <w:tc>
          <w:tcPr>
            <w:tcW w:w="738" w:type="dxa"/>
          </w:tcPr>
          <w:p>
            <w:pPr>
              <w:pStyle w:val="TableParagraph"/>
              <w:spacing w:before="107"/>
              <w:ind w:right="88"/>
              <w:jc w:val="right"/>
              <w:rPr>
                <w:rFonts w:ascii="Arial"/>
                <w:sz w:val="18"/>
              </w:rPr>
            </w:pPr>
            <w:r>
              <w:rPr>
                <w:rFonts w:ascii="Arial"/>
                <w:w w:val="95"/>
                <w:sz w:val="18"/>
              </w:rPr>
              <w:t>68</w:t>
            </w:r>
          </w:p>
        </w:tc>
        <w:tc>
          <w:tcPr>
            <w:tcW w:w="920" w:type="dxa"/>
          </w:tcPr>
          <w:p>
            <w:pPr>
              <w:pStyle w:val="TableParagraph"/>
              <w:spacing w:before="107"/>
              <w:ind w:right="86"/>
              <w:jc w:val="right"/>
              <w:rPr>
                <w:rFonts w:ascii="Arial"/>
                <w:sz w:val="18"/>
              </w:rPr>
            </w:pPr>
            <w:r>
              <w:rPr>
                <w:rFonts w:ascii="Arial"/>
                <w:w w:val="95"/>
                <w:sz w:val="18"/>
              </w:rPr>
              <w:t>16</w:t>
            </w:r>
          </w:p>
        </w:tc>
        <w:tc>
          <w:tcPr>
            <w:tcW w:w="808" w:type="dxa"/>
          </w:tcPr>
          <w:p>
            <w:pPr>
              <w:pStyle w:val="TableParagraph"/>
              <w:spacing w:before="107"/>
              <w:ind w:right="88"/>
              <w:jc w:val="right"/>
              <w:rPr>
                <w:rFonts w:ascii="Arial"/>
                <w:sz w:val="18"/>
              </w:rPr>
            </w:pPr>
            <w:r>
              <w:rPr>
                <w:rFonts w:ascii="Arial"/>
                <w:w w:val="99"/>
                <w:sz w:val="18"/>
              </w:rPr>
              <w:t>8</w:t>
            </w:r>
          </w:p>
        </w:tc>
        <w:tc>
          <w:tcPr>
            <w:tcW w:w="723" w:type="dxa"/>
          </w:tcPr>
          <w:p>
            <w:pPr>
              <w:pStyle w:val="TableParagraph"/>
              <w:spacing w:before="107"/>
              <w:ind w:right="86"/>
              <w:jc w:val="right"/>
              <w:rPr>
                <w:rFonts w:ascii="Arial"/>
                <w:sz w:val="18"/>
              </w:rPr>
            </w:pPr>
            <w:r>
              <w:rPr>
                <w:rFonts w:ascii="Arial"/>
                <w:w w:val="99"/>
                <w:sz w:val="18"/>
              </w:rPr>
              <w:t>0</w:t>
            </w:r>
          </w:p>
        </w:tc>
        <w:tc>
          <w:tcPr>
            <w:tcW w:w="709" w:type="dxa"/>
          </w:tcPr>
          <w:p>
            <w:pPr>
              <w:pStyle w:val="TableParagraph"/>
              <w:spacing w:before="107"/>
              <w:ind w:right="87"/>
              <w:jc w:val="right"/>
              <w:rPr>
                <w:rFonts w:ascii="Arial"/>
                <w:sz w:val="18"/>
              </w:rPr>
            </w:pPr>
            <w:r>
              <w:rPr>
                <w:rFonts w:ascii="Arial"/>
                <w:w w:val="99"/>
                <w:sz w:val="18"/>
              </w:rPr>
              <w:t>6</w:t>
            </w:r>
          </w:p>
        </w:tc>
        <w:tc>
          <w:tcPr>
            <w:tcW w:w="659" w:type="dxa"/>
          </w:tcPr>
          <w:p>
            <w:pPr>
              <w:pStyle w:val="TableParagraph"/>
              <w:spacing w:before="107"/>
              <w:ind w:right="86"/>
              <w:jc w:val="right"/>
              <w:rPr>
                <w:rFonts w:ascii="Arial"/>
                <w:sz w:val="18"/>
              </w:rPr>
            </w:pPr>
            <w:r>
              <w:rPr>
                <w:rFonts w:ascii="Arial"/>
                <w:w w:val="99"/>
                <w:sz w:val="18"/>
              </w:rPr>
              <w:t>0</w:t>
            </w:r>
          </w:p>
        </w:tc>
        <w:tc>
          <w:tcPr>
            <w:tcW w:w="719" w:type="dxa"/>
          </w:tcPr>
          <w:p>
            <w:pPr>
              <w:pStyle w:val="TableParagraph"/>
              <w:spacing w:before="107"/>
              <w:ind w:right="85"/>
              <w:jc w:val="right"/>
              <w:rPr>
                <w:rFonts w:ascii="Arial"/>
                <w:sz w:val="18"/>
              </w:rPr>
            </w:pPr>
            <w:r>
              <w:rPr>
                <w:rFonts w:ascii="Arial"/>
                <w:w w:val="99"/>
                <w:sz w:val="18"/>
              </w:rPr>
              <w:t>2</w:t>
            </w:r>
          </w:p>
        </w:tc>
      </w:tr>
    </w:tbl>
    <w:p>
      <w:pPr>
        <w:pStyle w:val="BodyText"/>
        <w:spacing w:before="11"/>
        <w:ind w:left="0"/>
        <w:rPr>
          <w:sz w:val="13"/>
        </w:rPr>
      </w:pPr>
    </w:p>
    <w:p>
      <w:pPr>
        <w:pStyle w:val="ListParagraph"/>
        <w:numPr>
          <w:ilvl w:val="0"/>
          <w:numId w:val="16"/>
        </w:numPr>
        <w:tabs>
          <w:tab w:pos="796" w:val="left" w:leader="none"/>
        </w:tabs>
        <w:spacing w:line="240" w:lineRule="auto" w:before="91" w:after="38"/>
        <w:ind w:left="795" w:right="0" w:hanging="116"/>
        <w:jc w:val="left"/>
        <w:rPr>
          <w:sz w:val="20"/>
        </w:rPr>
      </w:pPr>
      <w:r>
        <w:rPr>
          <w:sz w:val="20"/>
        </w:rPr>
        <w:t>continuare -</w:t>
      </w: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1051"/>
        <w:gridCol w:w="898"/>
        <w:gridCol w:w="897"/>
        <w:gridCol w:w="899"/>
        <w:gridCol w:w="832"/>
        <w:gridCol w:w="992"/>
        <w:gridCol w:w="1273"/>
        <w:gridCol w:w="708"/>
        <w:gridCol w:w="706"/>
        <w:gridCol w:w="727"/>
        <w:gridCol w:w="741"/>
      </w:tblGrid>
      <w:tr>
        <w:trPr>
          <w:trHeight w:val="270" w:hRule="atLeast"/>
        </w:trPr>
        <w:tc>
          <w:tcPr>
            <w:tcW w:w="900" w:type="dxa"/>
            <w:vMerge w:val="restart"/>
            <w:textDirection w:val="btLr"/>
          </w:tcPr>
          <w:p>
            <w:pPr>
              <w:pStyle w:val="TableParagraph"/>
              <w:spacing w:before="9"/>
              <w:rPr>
                <w:sz w:val="31"/>
              </w:rPr>
            </w:pPr>
          </w:p>
          <w:p>
            <w:pPr>
              <w:pStyle w:val="TableParagraph"/>
              <w:ind w:left="141"/>
              <w:rPr>
                <w:sz w:val="20"/>
              </w:rPr>
            </w:pPr>
            <w:r>
              <w:rPr>
                <w:sz w:val="20"/>
              </w:rPr>
              <w:t>Domiciliul bolnavului</w:t>
            </w:r>
          </w:p>
        </w:tc>
        <w:tc>
          <w:tcPr>
            <w:tcW w:w="9724" w:type="dxa"/>
            <w:gridSpan w:val="11"/>
          </w:tcPr>
          <w:p>
            <w:pPr>
              <w:pStyle w:val="TableParagraph"/>
              <w:spacing w:before="2"/>
              <w:ind w:left="3398" w:right="3376"/>
              <w:jc w:val="center"/>
              <w:rPr>
                <w:sz w:val="20"/>
              </w:rPr>
            </w:pPr>
            <w:r>
              <w:rPr>
                <w:sz w:val="20"/>
              </w:rPr>
              <w:t>Bolnavi înregistraţi în cursul anului:</w:t>
            </w:r>
          </w:p>
        </w:tc>
      </w:tr>
      <w:tr>
        <w:trPr>
          <w:trHeight w:val="270" w:hRule="atLeast"/>
        </w:trPr>
        <w:tc>
          <w:tcPr>
            <w:tcW w:w="900" w:type="dxa"/>
            <w:vMerge/>
            <w:tcBorders>
              <w:top w:val="nil"/>
            </w:tcBorders>
            <w:textDirection w:val="btLr"/>
          </w:tcPr>
          <w:p>
            <w:pPr>
              <w:rPr>
                <w:sz w:val="2"/>
                <w:szCs w:val="2"/>
              </w:rPr>
            </w:pPr>
          </w:p>
        </w:tc>
        <w:tc>
          <w:tcPr>
            <w:tcW w:w="9724" w:type="dxa"/>
            <w:gridSpan w:val="11"/>
          </w:tcPr>
          <w:p>
            <w:pPr>
              <w:pStyle w:val="TableParagraph"/>
              <w:ind w:left="3398" w:right="3374"/>
              <w:jc w:val="center"/>
              <w:rPr>
                <w:sz w:val="20"/>
              </w:rPr>
            </w:pPr>
            <w:r>
              <w:rPr>
                <w:sz w:val="20"/>
              </w:rPr>
              <w:t>Bolnavi readmişi (recidive)</w:t>
            </w:r>
          </w:p>
        </w:tc>
      </w:tr>
      <w:tr>
        <w:trPr>
          <w:trHeight w:val="268" w:hRule="atLeast"/>
        </w:trPr>
        <w:tc>
          <w:tcPr>
            <w:tcW w:w="900" w:type="dxa"/>
            <w:vMerge/>
            <w:tcBorders>
              <w:top w:val="nil"/>
            </w:tcBorders>
            <w:textDirection w:val="btLr"/>
          </w:tcPr>
          <w:p>
            <w:pPr>
              <w:rPr>
                <w:sz w:val="2"/>
                <w:szCs w:val="2"/>
              </w:rPr>
            </w:pPr>
          </w:p>
        </w:tc>
        <w:tc>
          <w:tcPr>
            <w:tcW w:w="1051" w:type="dxa"/>
            <w:vMerge w:val="restart"/>
          </w:tcPr>
          <w:p>
            <w:pPr>
              <w:pStyle w:val="TableParagraph"/>
              <w:ind w:left="204" w:right="192" w:hanging="3"/>
              <w:jc w:val="center"/>
              <w:rPr>
                <w:sz w:val="20"/>
              </w:rPr>
            </w:pPr>
            <w:r>
              <w:rPr>
                <w:sz w:val="20"/>
              </w:rPr>
              <w:t>Total </w:t>
            </w:r>
            <w:r>
              <w:rPr>
                <w:w w:val="95"/>
                <w:sz w:val="20"/>
              </w:rPr>
              <w:t>recidive</w:t>
            </w:r>
          </w:p>
          <w:p>
            <w:pPr>
              <w:pStyle w:val="TableParagraph"/>
              <w:rPr>
                <w:sz w:val="27"/>
              </w:rPr>
            </w:pPr>
          </w:p>
          <w:p>
            <w:pPr>
              <w:pStyle w:val="TableParagraph"/>
              <w:spacing w:line="280" w:lineRule="auto"/>
              <w:ind w:left="187" w:right="175"/>
              <w:jc w:val="center"/>
              <w:rPr>
                <w:sz w:val="20"/>
              </w:rPr>
            </w:pPr>
            <w:r>
              <w:rPr>
                <w:sz w:val="20"/>
              </w:rPr>
              <w:t>(col.13= 15+19)</w:t>
            </w:r>
          </w:p>
        </w:tc>
        <w:tc>
          <w:tcPr>
            <w:tcW w:w="898" w:type="dxa"/>
            <w:vMerge w:val="restart"/>
          </w:tcPr>
          <w:p>
            <w:pPr>
              <w:pStyle w:val="TableParagraph"/>
              <w:spacing w:before="151"/>
              <w:ind w:left="137"/>
              <w:rPr>
                <w:sz w:val="18"/>
              </w:rPr>
            </w:pPr>
            <w:r>
              <w:rPr>
                <w:sz w:val="18"/>
              </w:rPr>
              <w:t>din care:</w:t>
            </w:r>
          </w:p>
        </w:tc>
        <w:tc>
          <w:tcPr>
            <w:tcW w:w="3620" w:type="dxa"/>
            <w:gridSpan w:val="4"/>
          </w:tcPr>
          <w:p>
            <w:pPr>
              <w:pStyle w:val="TableParagraph"/>
              <w:ind w:left="979"/>
              <w:rPr>
                <w:sz w:val="20"/>
              </w:rPr>
            </w:pPr>
            <w:r>
              <w:rPr>
                <w:sz w:val="20"/>
              </w:rPr>
              <w:t>Tbc aparat respirator</w:t>
            </w:r>
          </w:p>
        </w:tc>
        <w:tc>
          <w:tcPr>
            <w:tcW w:w="4155" w:type="dxa"/>
            <w:gridSpan w:val="5"/>
          </w:tcPr>
          <w:p>
            <w:pPr>
              <w:pStyle w:val="TableParagraph"/>
              <w:ind w:left="1325"/>
              <w:rPr>
                <w:sz w:val="20"/>
              </w:rPr>
            </w:pPr>
            <w:r>
              <w:rPr>
                <w:sz w:val="20"/>
              </w:rPr>
              <w:t>Tbc extrarespirator</w:t>
            </w:r>
          </w:p>
        </w:tc>
      </w:tr>
      <w:tr>
        <w:trPr>
          <w:trHeight w:val="270" w:hRule="atLeast"/>
        </w:trPr>
        <w:tc>
          <w:tcPr>
            <w:tcW w:w="900" w:type="dxa"/>
            <w:vMerge/>
            <w:tcBorders>
              <w:top w:val="nil"/>
            </w:tcBorders>
            <w:textDirection w:val="btLr"/>
          </w:tcPr>
          <w:p>
            <w:pPr>
              <w:rPr>
                <w:sz w:val="2"/>
                <w:szCs w:val="2"/>
              </w:rPr>
            </w:pPr>
          </w:p>
        </w:tc>
        <w:tc>
          <w:tcPr>
            <w:tcW w:w="1051" w:type="dxa"/>
            <w:vMerge/>
            <w:tcBorders>
              <w:top w:val="nil"/>
            </w:tcBorders>
          </w:tcPr>
          <w:p>
            <w:pPr>
              <w:rPr>
                <w:sz w:val="2"/>
                <w:szCs w:val="2"/>
              </w:rPr>
            </w:pPr>
          </w:p>
        </w:tc>
        <w:tc>
          <w:tcPr>
            <w:tcW w:w="898" w:type="dxa"/>
            <w:vMerge/>
            <w:tcBorders>
              <w:top w:val="nil"/>
            </w:tcBorders>
          </w:tcPr>
          <w:p>
            <w:pPr>
              <w:rPr>
                <w:sz w:val="2"/>
                <w:szCs w:val="2"/>
              </w:rPr>
            </w:pPr>
          </w:p>
        </w:tc>
        <w:tc>
          <w:tcPr>
            <w:tcW w:w="897" w:type="dxa"/>
            <w:vMerge w:val="restart"/>
          </w:tcPr>
          <w:p>
            <w:pPr>
              <w:pStyle w:val="TableParagraph"/>
              <w:spacing w:before="2"/>
              <w:ind w:left="238"/>
              <w:rPr>
                <w:sz w:val="20"/>
              </w:rPr>
            </w:pPr>
            <w:r>
              <w:rPr>
                <w:sz w:val="20"/>
              </w:rPr>
              <w:t>Total</w:t>
            </w:r>
          </w:p>
        </w:tc>
        <w:tc>
          <w:tcPr>
            <w:tcW w:w="2723" w:type="dxa"/>
            <w:gridSpan w:val="3"/>
          </w:tcPr>
          <w:p>
            <w:pPr>
              <w:pStyle w:val="TableParagraph"/>
              <w:spacing w:before="2"/>
              <w:ind w:left="459"/>
              <w:rPr>
                <w:sz w:val="20"/>
              </w:rPr>
            </w:pPr>
            <w:r>
              <w:rPr>
                <w:sz w:val="20"/>
              </w:rPr>
              <w:t>din care: tbc pulmonar</w:t>
            </w:r>
          </w:p>
        </w:tc>
        <w:tc>
          <w:tcPr>
            <w:tcW w:w="1273" w:type="dxa"/>
            <w:vMerge w:val="restart"/>
          </w:tcPr>
          <w:p>
            <w:pPr>
              <w:pStyle w:val="TableParagraph"/>
              <w:spacing w:before="2"/>
              <w:ind w:left="432"/>
              <w:rPr>
                <w:sz w:val="20"/>
              </w:rPr>
            </w:pPr>
            <w:r>
              <w:rPr>
                <w:sz w:val="20"/>
              </w:rPr>
              <w:t>Total</w:t>
            </w:r>
          </w:p>
          <w:p>
            <w:pPr>
              <w:pStyle w:val="TableParagraph"/>
              <w:rPr>
                <w:sz w:val="27"/>
              </w:rPr>
            </w:pPr>
          </w:p>
          <w:p>
            <w:pPr>
              <w:pStyle w:val="TableParagraph"/>
              <w:spacing w:line="280" w:lineRule="auto"/>
              <w:ind w:left="170" w:right="130" w:firstLine="213"/>
              <w:rPr>
                <w:sz w:val="20"/>
              </w:rPr>
            </w:pPr>
            <w:r>
              <w:rPr>
                <w:sz w:val="20"/>
              </w:rPr>
              <w:t>(c.19= 20+ ... +23)</w:t>
            </w:r>
          </w:p>
        </w:tc>
        <w:tc>
          <w:tcPr>
            <w:tcW w:w="708" w:type="dxa"/>
            <w:vMerge w:val="restart"/>
          </w:tcPr>
          <w:p>
            <w:pPr>
              <w:pStyle w:val="TableParagraph"/>
              <w:ind w:left="114" w:right="92"/>
              <w:jc w:val="center"/>
              <w:rPr>
                <w:sz w:val="20"/>
              </w:rPr>
            </w:pPr>
            <w:r>
              <w:rPr>
                <w:sz w:val="20"/>
              </w:rPr>
              <w:t>osteo-</w:t>
            </w:r>
            <w:r>
              <w:rPr>
                <w:w w:val="99"/>
                <w:sz w:val="20"/>
              </w:rPr>
              <w:t> </w:t>
            </w:r>
            <w:r>
              <w:rPr>
                <w:sz w:val="20"/>
              </w:rPr>
              <w:t>arti- cular</w:t>
            </w:r>
          </w:p>
        </w:tc>
        <w:tc>
          <w:tcPr>
            <w:tcW w:w="706" w:type="dxa"/>
            <w:vMerge w:val="restart"/>
          </w:tcPr>
          <w:p>
            <w:pPr>
              <w:pStyle w:val="TableParagraph"/>
              <w:ind w:left="184" w:right="155"/>
              <w:jc w:val="both"/>
              <w:rPr>
                <w:sz w:val="20"/>
              </w:rPr>
            </w:pPr>
            <w:r>
              <w:rPr>
                <w:sz w:val="20"/>
              </w:rPr>
              <w:t>gan-</w:t>
            </w:r>
            <w:r>
              <w:rPr>
                <w:w w:val="99"/>
                <w:sz w:val="20"/>
              </w:rPr>
              <w:t> </w:t>
            </w:r>
            <w:r>
              <w:rPr>
                <w:sz w:val="20"/>
              </w:rPr>
              <w:t>gli- onar</w:t>
            </w:r>
          </w:p>
        </w:tc>
        <w:tc>
          <w:tcPr>
            <w:tcW w:w="727" w:type="dxa"/>
            <w:vMerge w:val="restart"/>
          </w:tcPr>
          <w:p>
            <w:pPr>
              <w:pStyle w:val="TableParagraph"/>
              <w:ind w:left="170" w:right="135" w:firstLine="38"/>
              <w:jc w:val="both"/>
              <w:rPr>
                <w:sz w:val="20"/>
              </w:rPr>
            </w:pPr>
            <w:r>
              <w:rPr>
                <w:sz w:val="20"/>
              </w:rPr>
              <w:t>uro- </w:t>
            </w:r>
            <w:r>
              <w:rPr>
                <w:w w:val="95"/>
                <w:sz w:val="20"/>
              </w:rPr>
              <w:t>geni- </w:t>
            </w:r>
            <w:r>
              <w:rPr>
                <w:sz w:val="20"/>
              </w:rPr>
              <w:t>tal</w:t>
            </w:r>
          </w:p>
        </w:tc>
        <w:tc>
          <w:tcPr>
            <w:tcW w:w="741" w:type="dxa"/>
            <w:vMerge w:val="restart"/>
          </w:tcPr>
          <w:p>
            <w:pPr>
              <w:pStyle w:val="TableParagraph"/>
              <w:ind w:left="129" w:right="89" w:firstLine="2"/>
              <w:jc w:val="center"/>
              <w:rPr>
                <w:sz w:val="20"/>
              </w:rPr>
            </w:pPr>
            <w:r>
              <w:rPr>
                <w:sz w:val="20"/>
              </w:rPr>
              <w:t>alte </w:t>
            </w:r>
            <w:r>
              <w:rPr>
                <w:w w:val="95"/>
                <w:sz w:val="20"/>
              </w:rPr>
              <w:t>locali- </w:t>
            </w:r>
            <w:r>
              <w:rPr>
                <w:sz w:val="20"/>
              </w:rPr>
              <w:t>zări</w:t>
            </w:r>
          </w:p>
        </w:tc>
      </w:tr>
      <w:tr>
        <w:trPr>
          <w:trHeight w:val="270" w:hRule="atLeast"/>
        </w:trPr>
        <w:tc>
          <w:tcPr>
            <w:tcW w:w="900" w:type="dxa"/>
            <w:vMerge/>
            <w:tcBorders>
              <w:top w:val="nil"/>
            </w:tcBorders>
            <w:textDirection w:val="btLr"/>
          </w:tcPr>
          <w:p>
            <w:pPr>
              <w:rPr>
                <w:sz w:val="2"/>
                <w:szCs w:val="2"/>
              </w:rPr>
            </w:pPr>
          </w:p>
        </w:tc>
        <w:tc>
          <w:tcPr>
            <w:tcW w:w="1051" w:type="dxa"/>
            <w:vMerge/>
            <w:tcBorders>
              <w:top w:val="nil"/>
            </w:tcBorders>
          </w:tcPr>
          <w:p>
            <w:pPr>
              <w:rPr>
                <w:sz w:val="2"/>
                <w:szCs w:val="2"/>
              </w:rPr>
            </w:pPr>
          </w:p>
        </w:tc>
        <w:tc>
          <w:tcPr>
            <w:tcW w:w="898" w:type="dxa"/>
            <w:vMerge w:val="restart"/>
          </w:tcPr>
          <w:p>
            <w:pPr>
              <w:pStyle w:val="TableParagraph"/>
              <w:spacing w:before="4"/>
              <w:rPr>
                <w:sz w:val="22"/>
              </w:rPr>
            </w:pPr>
          </w:p>
          <w:p>
            <w:pPr>
              <w:pStyle w:val="TableParagraph"/>
              <w:spacing w:line="280" w:lineRule="auto"/>
              <w:ind w:left="118" w:right="108" w:firstLine="108"/>
              <w:rPr>
                <w:sz w:val="20"/>
              </w:rPr>
            </w:pPr>
            <w:r>
              <w:rPr>
                <w:sz w:val="20"/>
              </w:rPr>
              <w:t>Copii 0-14 ani</w:t>
            </w:r>
          </w:p>
        </w:tc>
        <w:tc>
          <w:tcPr>
            <w:tcW w:w="897" w:type="dxa"/>
            <w:vMerge/>
            <w:tcBorders>
              <w:top w:val="nil"/>
            </w:tcBorders>
          </w:tcPr>
          <w:p>
            <w:pPr>
              <w:rPr>
                <w:sz w:val="2"/>
                <w:szCs w:val="2"/>
              </w:rPr>
            </w:pPr>
          </w:p>
        </w:tc>
        <w:tc>
          <w:tcPr>
            <w:tcW w:w="899" w:type="dxa"/>
            <w:vMerge w:val="restart"/>
          </w:tcPr>
          <w:p>
            <w:pPr>
              <w:pStyle w:val="TableParagraph"/>
              <w:ind w:left="238"/>
              <w:rPr>
                <w:sz w:val="20"/>
              </w:rPr>
            </w:pPr>
            <w:r>
              <w:rPr>
                <w:sz w:val="20"/>
              </w:rPr>
              <w:t>Total</w:t>
            </w:r>
          </w:p>
        </w:tc>
        <w:tc>
          <w:tcPr>
            <w:tcW w:w="1824" w:type="dxa"/>
            <w:gridSpan w:val="2"/>
          </w:tcPr>
          <w:p>
            <w:pPr>
              <w:pStyle w:val="TableParagraph"/>
              <w:ind w:left="276"/>
              <w:rPr>
                <w:sz w:val="20"/>
              </w:rPr>
            </w:pPr>
            <w:r>
              <w:rPr>
                <w:sz w:val="18"/>
              </w:rPr>
              <w:t>din care</w:t>
            </w:r>
            <w:r>
              <w:rPr>
                <w:sz w:val="20"/>
              </w:rPr>
              <w:t>: cu bK+</w:t>
            </w:r>
          </w:p>
        </w:tc>
        <w:tc>
          <w:tcPr>
            <w:tcW w:w="1273" w:type="dxa"/>
            <w:vMerge/>
            <w:tcBorders>
              <w:top w:val="nil"/>
            </w:tcBorders>
          </w:tcPr>
          <w:p>
            <w:pPr>
              <w:rPr>
                <w:sz w:val="2"/>
                <w:szCs w:val="2"/>
              </w:rPr>
            </w:pPr>
          </w:p>
        </w:tc>
        <w:tc>
          <w:tcPr>
            <w:tcW w:w="708" w:type="dxa"/>
            <w:vMerge/>
            <w:tcBorders>
              <w:top w:val="nil"/>
            </w:tcBorders>
          </w:tcPr>
          <w:p>
            <w:pPr>
              <w:rPr>
                <w:sz w:val="2"/>
                <w:szCs w:val="2"/>
              </w:rPr>
            </w:pPr>
          </w:p>
        </w:tc>
        <w:tc>
          <w:tcPr>
            <w:tcW w:w="706" w:type="dxa"/>
            <w:vMerge/>
            <w:tcBorders>
              <w:top w:val="nil"/>
            </w:tcBorders>
          </w:tcPr>
          <w:p>
            <w:pPr>
              <w:rPr>
                <w:sz w:val="2"/>
                <w:szCs w:val="2"/>
              </w:rPr>
            </w:pPr>
          </w:p>
        </w:tc>
        <w:tc>
          <w:tcPr>
            <w:tcW w:w="727" w:type="dxa"/>
            <w:vMerge/>
            <w:tcBorders>
              <w:top w:val="nil"/>
            </w:tcBorders>
          </w:tcPr>
          <w:p>
            <w:pPr>
              <w:rPr>
                <w:sz w:val="2"/>
                <w:szCs w:val="2"/>
              </w:rPr>
            </w:pPr>
          </w:p>
        </w:tc>
        <w:tc>
          <w:tcPr>
            <w:tcW w:w="741" w:type="dxa"/>
            <w:vMerge/>
            <w:tcBorders>
              <w:top w:val="nil"/>
            </w:tcBorders>
          </w:tcPr>
          <w:p>
            <w:pPr>
              <w:rPr>
                <w:sz w:val="2"/>
                <w:szCs w:val="2"/>
              </w:rPr>
            </w:pPr>
          </w:p>
        </w:tc>
      </w:tr>
      <w:tr>
        <w:trPr>
          <w:trHeight w:val="770" w:hRule="atLeast"/>
        </w:trPr>
        <w:tc>
          <w:tcPr>
            <w:tcW w:w="900" w:type="dxa"/>
            <w:vMerge/>
            <w:tcBorders>
              <w:top w:val="nil"/>
            </w:tcBorders>
            <w:textDirection w:val="btLr"/>
          </w:tcPr>
          <w:p>
            <w:pPr>
              <w:rPr>
                <w:sz w:val="2"/>
                <w:szCs w:val="2"/>
              </w:rPr>
            </w:pPr>
          </w:p>
        </w:tc>
        <w:tc>
          <w:tcPr>
            <w:tcW w:w="1051" w:type="dxa"/>
            <w:vMerge/>
            <w:tcBorders>
              <w:top w:val="nil"/>
            </w:tcBorders>
          </w:tcPr>
          <w:p>
            <w:pPr>
              <w:rPr>
                <w:sz w:val="2"/>
                <w:szCs w:val="2"/>
              </w:rPr>
            </w:pPr>
          </w:p>
        </w:tc>
        <w:tc>
          <w:tcPr>
            <w:tcW w:w="898" w:type="dxa"/>
            <w:vMerge/>
            <w:tcBorders>
              <w:top w:val="nil"/>
            </w:tcBorders>
          </w:tcPr>
          <w:p>
            <w:pPr>
              <w:rPr>
                <w:sz w:val="2"/>
                <w:szCs w:val="2"/>
              </w:rPr>
            </w:pPr>
          </w:p>
        </w:tc>
        <w:tc>
          <w:tcPr>
            <w:tcW w:w="897" w:type="dxa"/>
            <w:vMerge/>
            <w:tcBorders>
              <w:top w:val="nil"/>
            </w:tcBorders>
          </w:tcPr>
          <w:p>
            <w:pPr>
              <w:rPr>
                <w:sz w:val="2"/>
                <w:szCs w:val="2"/>
              </w:rPr>
            </w:pPr>
          </w:p>
        </w:tc>
        <w:tc>
          <w:tcPr>
            <w:tcW w:w="899" w:type="dxa"/>
            <w:vMerge/>
            <w:tcBorders>
              <w:top w:val="nil"/>
            </w:tcBorders>
          </w:tcPr>
          <w:p>
            <w:pPr>
              <w:rPr>
                <w:sz w:val="2"/>
                <w:szCs w:val="2"/>
              </w:rPr>
            </w:pPr>
          </w:p>
        </w:tc>
        <w:tc>
          <w:tcPr>
            <w:tcW w:w="832" w:type="dxa"/>
          </w:tcPr>
          <w:p>
            <w:pPr>
              <w:pStyle w:val="TableParagraph"/>
              <w:ind w:left="206"/>
              <w:rPr>
                <w:sz w:val="20"/>
              </w:rPr>
            </w:pPr>
            <w:r>
              <w:rPr>
                <w:sz w:val="20"/>
              </w:rPr>
              <w:t>Total</w:t>
            </w:r>
          </w:p>
        </w:tc>
        <w:tc>
          <w:tcPr>
            <w:tcW w:w="992" w:type="dxa"/>
          </w:tcPr>
          <w:p>
            <w:pPr>
              <w:pStyle w:val="TableParagraph"/>
              <w:ind w:left="152" w:firstLine="199"/>
              <w:rPr>
                <w:sz w:val="20"/>
              </w:rPr>
            </w:pPr>
            <w:r>
              <w:rPr>
                <w:sz w:val="20"/>
              </w:rPr>
              <w:t>d c:</w:t>
            </w:r>
          </w:p>
          <w:p>
            <w:pPr>
              <w:pStyle w:val="TableParagraph"/>
              <w:spacing w:before="39"/>
              <w:ind w:left="236" w:hanging="84"/>
              <w:rPr>
                <w:sz w:val="20"/>
              </w:rPr>
            </w:pPr>
            <w:r>
              <w:rPr>
                <w:sz w:val="20"/>
              </w:rPr>
              <w:t>numai la culturi</w:t>
            </w:r>
          </w:p>
        </w:tc>
        <w:tc>
          <w:tcPr>
            <w:tcW w:w="1273" w:type="dxa"/>
            <w:vMerge/>
            <w:tcBorders>
              <w:top w:val="nil"/>
            </w:tcBorders>
          </w:tcPr>
          <w:p>
            <w:pPr>
              <w:rPr>
                <w:sz w:val="2"/>
                <w:szCs w:val="2"/>
              </w:rPr>
            </w:pPr>
          </w:p>
        </w:tc>
        <w:tc>
          <w:tcPr>
            <w:tcW w:w="708" w:type="dxa"/>
            <w:vMerge/>
            <w:tcBorders>
              <w:top w:val="nil"/>
            </w:tcBorders>
          </w:tcPr>
          <w:p>
            <w:pPr>
              <w:rPr>
                <w:sz w:val="2"/>
                <w:szCs w:val="2"/>
              </w:rPr>
            </w:pPr>
          </w:p>
        </w:tc>
        <w:tc>
          <w:tcPr>
            <w:tcW w:w="706" w:type="dxa"/>
            <w:vMerge/>
            <w:tcBorders>
              <w:top w:val="nil"/>
            </w:tcBorders>
          </w:tcPr>
          <w:p>
            <w:pPr>
              <w:rPr>
                <w:sz w:val="2"/>
                <w:szCs w:val="2"/>
              </w:rPr>
            </w:pPr>
          </w:p>
        </w:tc>
        <w:tc>
          <w:tcPr>
            <w:tcW w:w="727" w:type="dxa"/>
            <w:vMerge/>
            <w:tcBorders>
              <w:top w:val="nil"/>
            </w:tcBorders>
          </w:tcPr>
          <w:p>
            <w:pPr>
              <w:rPr>
                <w:sz w:val="2"/>
                <w:szCs w:val="2"/>
              </w:rPr>
            </w:pPr>
          </w:p>
        </w:tc>
        <w:tc>
          <w:tcPr>
            <w:tcW w:w="741" w:type="dxa"/>
            <w:vMerge/>
            <w:tcBorders>
              <w:top w:val="nil"/>
            </w:tcBorders>
          </w:tcPr>
          <w:p>
            <w:pPr>
              <w:rPr>
                <w:sz w:val="2"/>
                <w:szCs w:val="2"/>
              </w:rPr>
            </w:pPr>
          </w:p>
        </w:tc>
      </w:tr>
      <w:tr>
        <w:trPr>
          <w:trHeight w:val="268" w:hRule="atLeast"/>
        </w:trPr>
        <w:tc>
          <w:tcPr>
            <w:tcW w:w="900" w:type="dxa"/>
          </w:tcPr>
          <w:p>
            <w:pPr>
              <w:pStyle w:val="TableParagraph"/>
              <w:ind w:right="367"/>
              <w:jc w:val="right"/>
              <w:rPr>
                <w:sz w:val="20"/>
              </w:rPr>
            </w:pPr>
            <w:r>
              <w:rPr>
                <w:w w:val="99"/>
                <w:sz w:val="20"/>
              </w:rPr>
              <w:t>A</w:t>
            </w:r>
          </w:p>
        </w:tc>
        <w:tc>
          <w:tcPr>
            <w:tcW w:w="1051" w:type="dxa"/>
          </w:tcPr>
          <w:p>
            <w:pPr>
              <w:pStyle w:val="TableParagraph"/>
              <w:ind w:left="185" w:right="175"/>
              <w:jc w:val="center"/>
              <w:rPr>
                <w:sz w:val="20"/>
              </w:rPr>
            </w:pPr>
            <w:r>
              <w:rPr>
                <w:sz w:val="20"/>
              </w:rPr>
              <w:t>13</w:t>
            </w:r>
          </w:p>
        </w:tc>
        <w:tc>
          <w:tcPr>
            <w:tcW w:w="898" w:type="dxa"/>
          </w:tcPr>
          <w:p>
            <w:pPr>
              <w:pStyle w:val="TableParagraph"/>
              <w:ind w:left="329" w:right="319"/>
              <w:jc w:val="center"/>
              <w:rPr>
                <w:sz w:val="20"/>
              </w:rPr>
            </w:pPr>
            <w:r>
              <w:rPr>
                <w:sz w:val="20"/>
              </w:rPr>
              <w:t>14</w:t>
            </w:r>
          </w:p>
        </w:tc>
        <w:tc>
          <w:tcPr>
            <w:tcW w:w="897" w:type="dxa"/>
          </w:tcPr>
          <w:p>
            <w:pPr>
              <w:pStyle w:val="TableParagraph"/>
              <w:ind w:left="329" w:right="318"/>
              <w:jc w:val="center"/>
              <w:rPr>
                <w:sz w:val="20"/>
              </w:rPr>
            </w:pPr>
            <w:r>
              <w:rPr>
                <w:sz w:val="20"/>
              </w:rPr>
              <w:t>15</w:t>
            </w:r>
          </w:p>
        </w:tc>
        <w:tc>
          <w:tcPr>
            <w:tcW w:w="899" w:type="dxa"/>
          </w:tcPr>
          <w:p>
            <w:pPr>
              <w:pStyle w:val="TableParagraph"/>
              <w:ind w:left="332" w:right="317"/>
              <w:jc w:val="center"/>
              <w:rPr>
                <w:sz w:val="20"/>
              </w:rPr>
            </w:pPr>
            <w:r>
              <w:rPr>
                <w:sz w:val="20"/>
              </w:rPr>
              <w:t>16</w:t>
            </w:r>
          </w:p>
        </w:tc>
        <w:tc>
          <w:tcPr>
            <w:tcW w:w="832" w:type="dxa"/>
          </w:tcPr>
          <w:p>
            <w:pPr>
              <w:pStyle w:val="TableParagraph"/>
              <w:ind w:left="300" w:right="282"/>
              <w:jc w:val="center"/>
              <w:rPr>
                <w:sz w:val="20"/>
              </w:rPr>
            </w:pPr>
            <w:r>
              <w:rPr>
                <w:sz w:val="20"/>
              </w:rPr>
              <w:t>17</w:t>
            </w:r>
          </w:p>
        </w:tc>
        <w:tc>
          <w:tcPr>
            <w:tcW w:w="992" w:type="dxa"/>
          </w:tcPr>
          <w:p>
            <w:pPr>
              <w:pStyle w:val="TableParagraph"/>
              <w:ind w:left="380" w:right="362"/>
              <w:jc w:val="center"/>
              <w:rPr>
                <w:sz w:val="20"/>
              </w:rPr>
            </w:pPr>
            <w:r>
              <w:rPr>
                <w:sz w:val="20"/>
              </w:rPr>
              <w:t>18</w:t>
            </w:r>
          </w:p>
        </w:tc>
        <w:tc>
          <w:tcPr>
            <w:tcW w:w="1273" w:type="dxa"/>
          </w:tcPr>
          <w:p>
            <w:pPr>
              <w:pStyle w:val="TableParagraph"/>
              <w:ind w:left="412" w:right="387"/>
              <w:jc w:val="center"/>
              <w:rPr>
                <w:sz w:val="20"/>
              </w:rPr>
            </w:pPr>
            <w:r>
              <w:rPr>
                <w:sz w:val="20"/>
              </w:rPr>
              <w:t>19</w:t>
            </w:r>
          </w:p>
        </w:tc>
        <w:tc>
          <w:tcPr>
            <w:tcW w:w="708" w:type="dxa"/>
          </w:tcPr>
          <w:p>
            <w:pPr>
              <w:pStyle w:val="TableParagraph"/>
              <w:ind w:left="114" w:right="88"/>
              <w:jc w:val="center"/>
              <w:rPr>
                <w:sz w:val="20"/>
              </w:rPr>
            </w:pPr>
            <w:r>
              <w:rPr>
                <w:sz w:val="20"/>
              </w:rPr>
              <w:t>20</w:t>
            </w:r>
          </w:p>
        </w:tc>
        <w:tc>
          <w:tcPr>
            <w:tcW w:w="706" w:type="dxa"/>
          </w:tcPr>
          <w:p>
            <w:pPr>
              <w:pStyle w:val="TableParagraph"/>
              <w:ind w:left="263"/>
              <w:rPr>
                <w:sz w:val="20"/>
              </w:rPr>
            </w:pPr>
            <w:r>
              <w:rPr>
                <w:sz w:val="20"/>
              </w:rPr>
              <w:t>21</w:t>
            </w:r>
          </w:p>
        </w:tc>
        <w:tc>
          <w:tcPr>
            <w:tcW w:w="727" w:type="dxa"/>
          </w:tcPr>
          <w:p>
            <w:pPr>
              <w:pStyle w:val="TableParagraph"/>
              <w:ind w:left="256" w:right="220"/>
              <w:jc w:val="center"/>
              <w:rPr>
                <w:sz w:val="20"/>
              </w:rPr>
            </w:pPr>
            <w:r>
              <w:rPr>
                <w:sz w:val="20"/>
              </w:rPr>
              <w:t>22</w:t>
            </w:r>
          </w:p>
        </w:tc>
        <w:tc>
          <w:tcPr>
            <w:tcW w:w="741" w:type="dxa"/>
          </w:tcPr>
          <w:p>
            <w:pPr>
              <w:pStyle w:val="TableParagraph"/>
              <w:ind w:left="266" w:right="225"/>
              <w:jc w:val="center"/>
              <w:rPr>
                <w:sz w:val="20"/>
              </w:rPr>
            </w:pPr>
            <w:r>
              <w:rPr>
                <w:sz w:val="20"/>
              </w:rPr>
              <w:t>23</w:t>
            </w:r>
          </w:p>
        </w:tc>
      </w:tr>
      <w:tr>
        <w:trPr>
          <w:trHeight w:val="422" w:hRule="atLeast"/>
        </w:trPr>
        <w:tc>
          <w:tcPr>
            <w:tcW w:w="900" w:type="dxa"/>
          </w:tcPr>
          <w:p>
            <w:pPr>
              <w:pStyle w:val="TableParagraph"/>
              <w:spacing w:before="96"/>
              <w:ind w:right="355"/>
              <w:jc w:val="right"/>
              <w:rPr>
                <w:sz w:val="20"/>
              </w:rPr>
            </w:pPr>
            <w:r>
              <w:rPr>
                <w:sz w:val="20"/>
              </w:rPr>
              <w:t>Total</w:t>
            </w:r>
          </w:p>
        </w:tc>
        <w:tc>
          <w:tcPr>
            <w:tcW w:w="1051" w:type="dxa"/>
          </w:tcPr>
          <w:p>
            <w:pPr>
              <w:pStyle w:val="TableParagraph"/>
              <w:spacing w:before="118"/>
              <w:ind w:right="95"/>
              <w:jc w:val="right"/>
              <w:rPr>
                <w:rFonts w:ascii="Arial"/>
                <w:sz w:val="16"/>
              </w:rPr>
            </w:pPr>
            <w:r>
              <w:rPr>
                <w:rFonts w:ascii="Arial"/>
                <w:sz w:val="16"/>
              </w:rPr>
              <w:t>157</w:t>
            </w:r>
          </w:p>
        </w:tc>
        <w:tc>
          <w:tcPr>
            <w:tcW w:w="898" w:type="dxa"/>
          </w:tcPr>
          <w:p>
            <w:pPr>
              <w:pStyle w:val="TableParagraph"/>
              <w:spacing w:before="118"/>
              <w:ind w:right="94"/>
              <w:jc w:val="right"/>
              <w:rPr>
                <w:rFonts w:ascii="Arial"/>
                <w:sz w:val="16"/>
              </w:rPr>
            </w:pPr>
            <w:r>
              <w:rPr>
                <w:rFonts w:ascii="Arial"/>
                <w:w w:val="100"/>
                <w:sz w:val="16"/>
              </w:rPr>
              <w:t>0</w:t>
            </w:r>
          </w:p>
        </w:tc>
        <w:tc>
          <w:tcPr>
            <w:tcW w:w="897" w:type="dxa"/>
          </w:tcPr>
          <w:p>
            <w:pPr>
              <w:pStyle w:val="TableParagraph"/>
              <w:spacing w:before="118"/>
              <w:ind w:right="94"/>
              <w:jc w:val="right"/>
              <w:rPr>
                <w:rFonts w:ascii="Arial"/>
                <w:sz w:val="16"/>
              </w:rPr>
            </w:pPr>
            <w:r>
              <w:rPr>
                <w:rFonts w:ascii="Arial"/>
                <w:sz w:val="16"/>
              </w:rPr>
              <w:t>143</w:t>
            </w:r>
          </w:p>
        </w:tc>
        <w:tc>
          <w:tcPr>
            <w:tcW w:w="899" w:type="dxa"/>
          </w:tcPr>
          <w:p>
            <w:pPr>
              <w:pStyle w:val="TableParagraph"/>
              <w:spacing w:before="118"/>
              <w:ind w:right="93"/>
              <w:jc w:val="right"/>
              <w:rPr>
                <w:rFonts w:ascii="Arial"/>
                <w:sz w:val="16"/>
              </w:rPr>
            </w:pPr>
            <w:r>
              <w:rPr>
                <w:rFonts w:ascii="Arial"/>
                <w:sz w:val="16"/>
              </w:rPr>
              <w:t>136</w:t>
            </w:r>
          </w:p>
        </w:tc>
        <w:tc>
          <w:tcPr>
            <w:tcW w:w="832" w:type="dxa"/>
          </w:tcPr>
          <w:p>
            <w:pPr>
              <w:pStyle w:val="TableParagraph"/>
              <w:spacing w:before="118"/>
              <w:ind w:right="92"/>
              <w:jc w:val="right"/>
              <w:rPr>
                <w:rFonts w:ascii="Arial"/>
                <w:sz w:val="16"/>
              </w:rPr>
            </w:pPr>
            <w:r>
              <w:rPr>
                <w:rFonts w:ascii="Arial"/>
                <w:sz w:val="16"/>
              </w:rPr>
              <w:t>105</w:t>
            </w:r>
          </w:p>
        </w:tc>
        <w:tc>
          <w:tcPr>
            <w:tcW w:w="992" w:type="dxa"/>
          </w:tcPr>
          <w:p>
            <w:pPr>
              <w:pStyle w:val="TableParagraph"/>
              <w:spacing w:before="118"/>
              <w:ind w:right="93"/>
              <w:jc w:val="right"/>
              <w:rPr>
                <w:rFonts w:ascii="Arial"/>
                <w:sz w:val="16"/>
              </w:rPr>
            </w:pPr>
            <w:r>
              <w:rPr>
                <w:rFonts w:ascii="Arial"/>
                <w:sz w:val="16"/>
              </w:rPr>
              <w:t>29</w:t>
            </w:r>
          </w:p>
        </w:tc>
        <w:tc>
          <w:tcPr>
            <w:tcW w:w="1273" w:type="dxa"/>
          </w:tcPr>
          <w:p>
            <w:pPr>
              <w:pStyle w:val="TableParagraph"/>
              <w:spacing w:before="118"/>
              <w:ind w:right="86"/>
              <w:jc w:val="right"/>
              <w:rPr>
                <w:rFonts w:ascii="Arial"/>
                <w:sz w:val="16"/>
              </w:rPr>
            </w:pPr>
            <w:r>
              <w:rPr>
                <w:rFonts w:ascii="Arial"/>
                <w:sz w:val="16"/>
              </w:rPr>
              <w:t>14</w:t>
            </w:r>
          </w:p>
        </w:tc>
        <w:tc>
          <w:tcPr>
            <w:tcW w:w="708" w:type="dxa"/>
          </w:tcPr>
          <w:p>
            <w:pPr>
              <w:pStyle w:val="TableParagraph"/>
              <w:spacing w:before="118"/>
              <w:ind w:right="88"/>
              <w:jc w:val="right"/>
              <w:rPr>
                <w:rFonts w:ascii="Arial"/>
                <w:sz w:val="16"/>
              </w:rPr>
            </w:pPr>
            <w:r>
              <w:rPr>
                <w:rFonts w:ascii="Arial"/>
                <w:w w:val="100"/>
                <w:sz w:val="16"/>
              </w:rPr>
              <w:t>3</w:t>
            </w:r>
          </w:p>
        </w:tc>
        <w:tc>
          <w:tcPr>
            <w:tcW w:w="706" w:type="dxa"/>
          </w:tcPr>
          <w:p>
            <w:pPr>
              <w:pStyle w:val="TableParagraph"/>
              <w:spacing w:before="118"/>
              <w:ind w:right="85"/>
              <w:jc w:val="right"/>
              <w:rPr>
                <w:rFonts w:ascii="Arial"/>
                <w:sz w:val="16"/>
              </w:rPr>
            </w:pPr>
            <w:r>
              <w:rPr>
                <w:rFonts w:ascii="Arial"/>
                <w:w w:val="100"/>
                <w:sz w:val="16"/>
              </w:rPr>
              <w:t>8</w:t>
            </w:r>
          </w:p>
        </w:tc>
        <w:tc>
          <w:tcPr>
            <w:tcW w:w="727" w:type="dxa"/>
          </w:tcPr>
          <w:p>
            <w:pPr>
              <w:pStyle w:val="TableParagraph"/>
              <w:spacing w:before="118"/>
              <w:ind w:right="82"/>
              <w:jc w:val="right"/>
              <w:rPr>
                <w:rFonts w:ascii="Arial"/>
                <w:sz w:val="16"/>
              </w:rPr>
            </w:pPr>
            <w:r>
              <w:rPr>
                <w:rFonts w:ascii="Arial"/>
                <w:w w:val="100"/>
                <w:sz w:val="16"/>
              </w:rPr>
              <w:t>2</w:t>
            </w:r>
          </w:p>
        </w:tc>
        <w:tc>
          <w:tcPr>
            <w:tcW w:w="741" w:type="dxa"/>
          </w:tcPr>
          <w:p>
            <w:pPr>
              <w:pStyle w:val="TableParagraph"/>
              <w:spacing w:before="118"/>
              <w:ind w:right="79"/>
              <w:jc w:val="right"/>
              <w:rPr>
                <w:rFonts w:ascii="Arial"/>
                <w:sz w:val="16"/>
              </w:rPr>
            </w:pPr>
            <w:r>
              <w:rPr>
                <w:rFonts w:ascii="Arial"/>
                <w:w w:val="100"/>
                <w:sz w:val="16"/>
              </w:rPr>
              <w:t>1</w:t>
            </w:r>
          </w:p>
        </w:tc>
      </w:tr>
      <w:tr>
        <w:trPr>
          <w:trHeight w:val="419" w:hRule="atLeast"/>
        </w:trPr>
        <w:tc>
          <w:tcPr>
            <w:tcW w:w="900" w:type="dxa"/>
          </w:tcPr>
          <w:p>
            <w:pPr>
              <w:pStyle w:val="TableParagraph"/>
              <w:spacing w:before="94"/>
              <w:ind w:right="280"/>
              <w:jc w:val="right"/>
              <w:rPr>
                <w:sz w:val="20"/>
              </w:rPr>
            </w:pPr>
            <w:r>
              <w:rPr>
                <w:w w:val="95"/>
                <w:sz w:val="20"/>
              </w:rPr>
              <w:t>Urban</w:t>
            </w:r>
          </w:p>
        </w:tc>
        <w:tc>
          <w:tcPr>
            <w:tcW w:w="1051" w:type="dxa"/>
          </w:tcPr>
          <w:p>
            <w:pPr>
              <w:pStyle w:val="TableParagraph"/>
              <w:spacing w:before="118"/>
              <w:ind w:right="95"/>
              <w:jc w:val="right"/>
              <w:rPr>
                <w:rFonts w:ascii="Arial"/>
                <w:sz w:val="16"/>
              </w:rPr>
            </w:pPr>
            <w:r>
              <w:rPr>
                <w:rFonts w:ascii="Arial"/>
                <w:sz w:val="16"/>
              </w:rPr>
              <w:t>133</w:t>
            </w:r>
          </w:p>
        </w:tc>
        <w:tc>
          <w:tcPr>
            <w:tcW w:w="898" w:type="dxa"/>
          </w:tcPr>
          <w:p>
            <w:pPr>
              <w:pStyle w:val="TableParagraph"/>
              <w:spacing w:before="118"/>
              <w:ind w:right="94"/>
              <w:jc w:val="right"/>
              <w:rPr>
                <w:rFonts w:ascii="Arial"/>
                <w:sz w:val="16"/>
              </w:rPr>
            </w:pPr>
            <w:r>
              <w:rPr>
                <w:rFonts w:ascii="Arial"/>
                <w:w w:val="100"/>
                <w:sz w:val="16"/>
              </w:rPr>
              <w:t>0</w:t>
            </w:r>
          </w:p>
        </w:tc>
        <w:tc>
          <w:tcPr>
            <w:tcW w:w="897" w:type="dxa"/>
          </w:tcPr>
          <w:p>
            <w:pPr>
              <w:pStyle w:val="TableParagraph"/>
              <w:spacing w:before="118"/>
              <w:ind w:right="94"/>
              <w:jc w:val="right"/>
              <w:rPr>
                <w:rFonts w:ascii="Arial"/>
                <w:sz w:val="16"/>
              </w:rPr>
            </w:pPr>
            <w:r>
              <w:rPr>
                <w:rFonts w:ascii="Arial"/>
                <w:sz w:val="16"/>
              </w:rPr>
              <w:t>120</w:t>
            </w:r>
          </w:p>
        </w:tc>
        <w:tc>
          <w:tcPr>
            <w:tcW w:w="899" w:type="dxa"/>
          </w:tcPr>
          <w:p>
            <w:pPr>
              <w:pStyle w:val="TableParagraph"/>
              <w:spacing w:before="118"/>
              <w:ind w:right="93"/>
              <w:jc w:val="right"/>
              <w:rPr>
                <w:rFonts w:ascii="Arial"/>
                <w:sz w:val="16"/>
              </w:rPr>
            </w:pPr>
            <w:r>
              <w:rPr>
                <w:rFonts w:ascii="Arial"/>
                <w:sz w:val="16"/>
              </w:rPr>
              <w:t>118</w:t>
            </w:r>
          </w:p>
        </w:tc>
        <w:tc>
          <w:tcPr>
            <w:tcW w:w="832" w:type="dxa"/>
          </w:tcPr>
          <w:p>
            <w:pPr>
              <w:pStyle w:val="TableParagraph"/>
              <w:spacing w:before="118"/>
              <w:ind w:right="92"/>
              <w:jc w:val="right"/>
              <w:rPr>
                <w:rFonts w:ascii="Arial"/>
                <w:sz w:val="16"/>
              </w:rPr>
            </w:pPr>
            <w:r>
              <w:rPr>
                <w:rFonts w:ascii="Arial"/>
                <w:sz w:val="16"/>
              </w:rPr>
              <w:t>95</w:t>
            </w:r>
          </w:p>
        </w:tc>
        <w:tc>
          <w:tcPr>
            <w:tcW w:w="992" w:type="dxa"/>
          </w:tcPr>
          <w:p>
            <w:pPr>
              <w:pStyle w:val="TableParagraph"/>
              <w:spacing w:before="118"/>
              <w:ind w:right="93"/>
              <w:jc w:val="right"/>
              <w:rPr>
                <w:rFonts w:ascii="Arial"/>
                <w:sz w:val="16"/>
              </w:rPr>
            </w:pPr>
            <w:r>
              <w:rPr>
                <w:rFonts w:ascii="Arial"/>
                <w:sz w:val="16"/>
              </w:rPr>
              <w:t>26</w:t>
            </w:r>
          </w:p>
        </w:tc>
        <w:tc>
          <w:tcPr>
            <w:tcW w:w="1273" w:type="dxa"/>
          </w:tcPr>
          <w:p>
            <w:pPr>
              <w:pStyle w:val="TableParagraph"/>
              <w:spacing w:before="118"/>
              <w:ind w:right="86"/>
              <w:jc w:val="right"/>
              <w:rPr>
                <w:rFonts w:ascii="Arial"/>
                <w:sz w:val="16"/>
              </w:rPr>
            </w:pPr>
            <w:r>
              <w:rPr>
                <w:rFonts w:ascii="Arial"/>
                <w:sz w:val="16"/>
              </w:rPr>
              <w:t>13</w:t>
            </w:r>
          </w:p>
        </w:tc>
        <w:tc>
          <w:tcPr>
            <w:tcW w:w="708" w:type="dxa"/>
          </w:tcPr>
          <w:p>
            <w:pPr>
              <w:pStyle w:val="TableParagraph"/>
              <w:spacing w:before="118"/>
              <w:ind w:right="88"/>
              <w:jc w:val="right"/>
              <w:rPr>
                <w:rFonts w:ascii="Arial"/>
                <w:sz w:val="16"/>
              </w:rPr>
            </w:pPr>
            <w:r>
              <w:rPr>
                <w:rFonts w:ascii="Arial"/>
                <w:w w:val="100"/>
                <w:sz w:val="16"/>
              </w:rPr>
              <w:t>2</w:t>
            </w:r>
          </w:p>
        </w:tc>
        <w:tc>
          <w:tcPr>
            <w:tcW w:w="706" w:type="dxa"/>
          </w:tcPr>
          <w:p>
            <w:pPr>
              <w:pStyle w:val="TableParagraph"/>
              <w:spacing w:before="118"/>
              <w:ind w:right="85"/>
              <w:jc w:val="right"/>
              <w:rPr>
                <w:rFonts w:ascii="Arial"/>
                <w:sz w:val="16"/>
              </w:rPr>
            </w:pPr>
            <w:r>
              <w:rPr>
                <w:rFonts w:ascii="Arial"/>
                <w:w w:val="100"/>
                <w:sz w:val="16"/>
              </w:rPr>
              <w:t>8</w:t>
            </w:r>
          </w:p>
        </w:tc>
        <w:tc>
          <w:tcPr>
            <w:tcW w:w="727" w:type="dxa"/>
          </w:tcPr>
          <w:p>
            <w:pPr>
              <w:pStyle w:val="TableParagraph"/>
              <w:spacing w:before="118"/>
              <w:ind w:right="82"/>
              <w:jc w:val="right"/>
              <w:rPr>
                <w:rFonts w:ascii="Arial"/>
                <w:sz w:val="16"/>
              </w:rPr>
            </w:pPr>
            <w:r>
              <w:rPr>
                <w:rFonts w:ascii="Arial"/>
                <w:w w:val="100"/>
                <w:sz w:val="16"/>
              </w:rPr>
              <w:t>2</w:t>
            </w:r>
          </w:p>
        </w:tc>
        <w:tc>
          <w:tcPr>
            <w:tcW w:w="741" w:type="dxa"/>
          </w:tcPr>
          <w:p>
            <w:pPr>
              <w:pStyle w:val="TableParagraph"/>
              <w:spacing w:before="118"/>
              <w:ind w:right="79"/>
              <w:jc w:val="right"/>
              <w:rPr>
                <w:rFonts w:ascii="Arial"/>
                <w:sz w:val="16"/>
              </w:rPr>
            </w:pPr>
            <w:r>
              <w:rPr>
                <w:rFonts w:ascii="Arial"/>
                <w:w w:val="100"/>
                <w:sz w:val="16"/>
              </w:rPr>
              <w:t>1</w:t>
            </w:r>
          </w:p>
        </w:tc>
      </w:tr>
      <w:tr>
        <w:trPr>
          <w:trHeight w:val="419" w:hRule="atLeast"/>
        </w:trPr>
        <w:tc>
          <w:tcPr>
            <w:tcW w:w="900" w:type="dxa"/>
          </w:tcPr>
          <w:p>
            <w:pPr>
              <w:pStyle w:val="TableParagraph"/>
              <w:spacing w:before="94"/>
              <w:ind w:right="339"/>
              <w:jc w:val="right"/>
              <w:rPr>
                <w:sz w:val="20"/>
              </w:rPr>
            </w:pPr>
            <w:r>
              <w:rPr>
                <w:sz w:val="20"/>
              </w:rPr>
              <w:t>Rural</w:t>
            </w:r>
          </w:p>
        </w:tc>
        <w:tc>
          <w:tcPr>
            <w:tcW w:w="1051" w:type="dxa"/>
          </w:tcPr>
          <w:p>
            <w:pPr>
              <w:pStyle w:val="TableParagraph"/>
              <w:spacing w:before="118"/>
              <w:ind w:right="95"/>
              <w:jc w:val="right"/>
              <w:rPr>
                <w:rFonts w:ascii="Arial"/>
                <w:sz w:val="16"/>
              </w:rPr>
            </w:pPr>
            <w:r>
              <w:rPr>
                <w:rFonts w:ascii="Arial"/>
                <w:sz w:val="16"/>
              </w:rPr>
              <w:t>24</w:t>
            </w:r>
          </w:p>
        </w:tc>
        <w:tc>
          <w:tcPr>
            <w:tcW w:w="898" w:type="dxa"/>
          </w:tcPr>
          <w:p>
            <w:pPr>
              <w:pStyle w:val="TableParagraph"/>
              <w:spacing w:before="118"/>
              <w:ind w:right="94"/>
              <w:jc w:val="right"/>
              <w:rPr>
                <w:rFonts w:ascii="Arial"/>
                <w:sz w:val="16"/>
              </w:rPr>
            </w:pPr>
            <w:r>
              <w:rPr>
                <w:rFonts w:ascii="Arial"/>
                <w:w w:val="100"/>
                <w:sz w:val="16"/>
              </w:rPr>
              <w:t>0</w:t>
            </w:r>
          </w:p>
        </w:tc>
        <w:tc>
          <w:tcPr>
            <w:tcW w:w="897" w:type="dxa"/>
          </w:tcPr>
          <w:p>
            <w:pPr>
              <w:pStyle w:val="TableParagraph"/>
              <w:spacing w:before="118"/>
              <w:ind w:right="94"/>
              <w:jc w:val="right"/>
              <w:rPr>
                <w:rFonts w:ascii="Arial"/>
                <w:sz w:val="16"/>
              </w:rPr>
            </w:pPr>
            <w:r>
              <w:rPr>
                <w:rFonts w:ascii="Arial"/>
                <w:sz w:val="16"/>
              </w:rPr>
              <w:t>23</w:t>
            </w:r>
          </w:p>
        </w:tc>
        <w:tc>
          <w:tcPr>
            <w:tcW w:w="899" w:type="dxa"/>
          </w:tcPr>
          <w:p>
            <w:pPr>
              <w:pStyle w:val="TableParagraph"/>
              <w:spacing w:before="118"/>
              <w:ind w:right="93"/>
              <w:jc w:val="right"/>
              <w:rPr>
                <w:rFonts w:ascii="Arial"/>
                <w:sz w:val="16"/>
              </w:rPr>
            </w:pPr>
            <w:r>
              <w:rPr>
                <w:rFonts w:ascii="Arial"/>
                <w:sz w:val="16"/>
              </w:rPr>
              <w:t>18</w:t>
            </w:r>
          </w:p>
        </w:tc>
        <w:tc>
          <w:tcPr>
            <w:tcW w:w="832" w:type="dxa"/>
          </w:tcPr>
          <w:p>
            <w:pPr>
              <w:pStyle w:val="TableParagraph"/>
              <w:spacing w:before="118"/>
              <w:ind w:right="92"/>
              <w:jc w:val="right"/>
              <w:rPr>
                <w:rFonts w:ascii="Arial"/>
                <w:sz w:val="16"/>
              </w:rPr>
            </w:pPr>
            <w:r>
              <w:rPr>
                <w:rFonts w:ascii="Arial"/>
                <w:sz w:val="16"/>
              </w:rPr>
              <w:t>10</w:t>
            </w:r>
          </w:p>
        </w:tc>
        <w:tc>
          <w:tcPr>
            <w:tcW w:w="992" w:type="dxa"/>
          </w:tcPr>
          <w:p>
            <w:pPr>
              <w:pStyle w:val="TableParagraph"/>
              <w:spacing w:before="118"/>
              <w:ind w:right="92"/>
              <w:jc w:val="right"/>
              <w:rPr>
                <w:rFonts w:ascii="Arial"/>
                <w:sz w:val="16"/>
              </w:rPr>
            </w:pPr>
            <w:r>
              <w:rPr>
                <w:rFonts w:ascii="Arial"/>
                <w:w w:val="100"/>
                <w:sz w:val="16"/>
              </w:rPr>
              <w:t>3</w:t>
            </w:r>
          </w:p>
        </w:tc>
        <w:tc>
          <w:tcPr>
            <w:tcW w:w="1273" w:type="dxa"/>
          </w:tcPr>
          <w:p>
            <w:pPr>
              <w:pStyle w:val="TableParagraph"/>
              <w:spacing w:before="118"/>
              <w:ind w:right="87"/>
              <w:jc w:val="right"/>
              <w:rPr>
                <w:rFonts w:ascii="Arial"/>
                <w:sz w:val="16"/>
              </w:rPr>
            </w:pPr>
            <w:r>
              <w:rPr>
                <w:rFonts w:ascii="Arial"/>
                <w:w w:val="100"/>
                <w:sz w:val="16"/>
              </w:rPr>
              <w:t>1</w:t>
            </w:r>
          </w:p>
        </w:tc>
        <w:tc>
          <w:tcPr>
            <w:tcW w:w="708" w:type="dxa"/>
          </w:tcPr>
          <w:p>
            <w:pPr>
              <w:pStyle w:val="TableParagraph"/>
              <w:spacing w:before="118"/>
              <w:ind w:right="88"/>
              <w:jc w:val="right"/>
              <w:rPr>
                <w:rFonts w:ascii="Arial"/>
                <w:sz w:val="16"/>
              </w:rPr>
            </w:pPr>
            <w:r>
              <w:rPr>
                <w:rFonts w:ascii="Arial"/>
                <w:w w:val="100"/>
                <w:sz w:val="16"/>
              </w:rPr>
              <w:t>1</w:t>
            </w:r>
          </w:p>
        </w:tc>
        <w:tc>
          <w:tcPr>
            <w:tcW w:w="706" w:type="dxa"/>
          </w:tcPr>
          <w:p>
            <w:pPr>
              <w:pStyle w:val="TableParagraph"/>
              <w:spacing w:before="118"/>
              <w:ind w:right="85"/>
              <w:jc w:val="right"/>
              <w:rPr>
                <w:rFonts w:ascii="Arial"/>
                <w:sz w:val="16"/>
              </w:rPr>
            </w:pPr>
            <w:r>
              <w:rPr>
                <w:rFonts w:ascii="Arial"/>
                <w:w w:val="100"/>
                <w:sz w:val="16"/>
              </w:rPr>
              <w:t>0</w:t>
            </w:r>
          </w:p>
        </w:tc>
        <w:tc>
          <w:tcPr>
            <w:tcW w:w="727" w:type="dxa"/>
          </w:tcPr>
          <w:p>
            <w:pPr>
              <w:pStyle w:val="TableParagraph"/>
              <w:spacing w:before="118"/>
              <w:ind w:right="82"/>
              <w:jc w:val="right"/>
              <w:rPr>
                <w:rFonts w:ascii="Arial"/>
                <w:sz w:val="16"/>
              </w:rPr>
            </w:pPr>
            <w:r>
              <w:rPr>
                <w:rFonts w:ascii="Arial"/>
                <w:w w:val="100"/>
                <w:sz w:val="16"/>
              </w:rPr>
              <w:t>0</w:t>
            </w:r>
          </w:p>
        </w:tc>
        <w:tc>
          <w:tcPr>
            <w:tcW w:w="741" w:type="dxa"/>
          </w:tcPr>
          <w:p>
            <w:pPr>
              <w:pStyle w:val="TableParagraph"/>
              <w:spacing w:before="118"/>
              <w:ind w:right="79"/>
              <w:jc w:val="right"/>
              <w:rPr>
                <w:rFonts w:ascii="Arial"/>
                <w:sz w:val="16"/>
              </w:rPr>
            </w:pPr>
            <w:r>
              <w:rPr>
                <w:rFonts w:ascii="Arial"/>
                <w:w w:val="100"/>
                <w:sz w:val="16"/>
              </w:rPr>
              <w:t>0</w:t>
            </w:r>
          </w:p>
        </w:tc>
      </w:tr>
    </w:tbl>
    <w:p>
      <w:pPr>
        <w:spacing w:before="108"/>
        <w:ind w:left="680" w:right="0" w:firstLine="0"/>
        <w:jc w:val="left"/>
        <w:rPr>
          <w:b/>
          <w:sz w:val="20"/>
        </w:rPr>
      </w:pPr>
      <w:r>
        <w:rPr>
          <w:b/>
          <w:sz w:val="20"/>
        </w:rPr>
        <w:t>Prevalenţa (bolnavi rămaşi în evidenţă </w:t>
      </w:r>
      <w:r>
        <w:rPr>
          <w:b/>
          <w:color w:val="0000FF"/>
          <w:sz w:val="20"/>
        </w:rPr>
        <w:t>la 31 decembrie</w:t>
      </w:r>
      <w:r>
        <w:rPr>
          <w:b/>
          <w:sz w:val="20"/>
        </w:rPr>
        <w:t>)</w:t>
      </w:r>
    </w:p>
    <w:p>
      <w:pPr>
        <w:pStyle w:val="BodyText"/>
        <w:spacing w:before="9"/>
        <w:ind w:left="0"/>
        <w:rPr>
          <w:b/>
          <w:sz w:val="11"/>
        </w:rPr>
      </w:pPr>
    </w:p>
    <w:p>
      <w:pPr>
        <w:spacing w:before="94" w:after="41"/>
        <w:ind w:left="0" w:right="1135" w:firstLine="0"/>
        <w:jc w:val="right"/>
        <w:rPr>
          <w:sz w:val="16"/>
        </w:rPr>
      </w:pPr>
      <w:r>
        <w:rPr/>
        <w:pict>
          <v:shape style="position:absolute;margin-left:60.46851pt;margin-top:27.012659pt;width:13.05pt;height:18.1pt;mso-position-horizontal-relative:page;mso-position-vertical-relative:paragraph;z-index:-265238528" type="#_x0000_t202" filled="false" stroked="false">
            <v:textbox inset="0,0,0,0" style="layout-flow:vertical;mso-layout-flow-alt:bottom-to-top">
              <w:txbxContent>
                <w:p>
                  <w:pPr>
                    <w:spacing w:before="10"/>
                    <w:ind w:left="20" w:right="0" w:firstLine="0"/>
                    <w:jc w:val="left"/>
                    <w:rPr>
                      <w:sz w:val="20"/>
                    </w:rPr>
                  </w:pPr>
                  <w:r>
                    <w:rPr>
                      <w:sz w:val="20"/>
                    </w:rPr>
                    <w:t>iliul</w:t>
                  </w:r>
                </w:p>
              </w:txbxContent>
            </v:textbox>
            <w10:wrap type="none"/>
          </v:shape>
        </w:pict>
      </w:r>
      <w:r>
        <w:rPr>
          <w:sz w:val="16"/>
          <w:shd w:fill="00FF00" w:color="auto" w:val="clear"/>
        </w:rPr>
        <w:t>Tabel T06</w:t>
      </w: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1051"/>
        <w:gridCol w:w="898"/>
        <w:gridCol w:w="3624"/>
        <w:gridCol w:w="4076"/>
      </w:tblGrid>
      <w:tr>
        <w:trPr>
          <w:trHeight w:val="292" w:hRule="atLeast"/>
        </w:trPr>
        <w:tc>
          <w:tcPr>
            <w:tcW w:w="900" w:type="dxa"/>
            <w:vMerge w:val="restart"/>
            <w:textDirection w:val="btLr"/>
          </w:tcPr>
          <w:p>
            <w:pPr>
              <w:pStyle w:val="TableParagraph"/>
              <w:spacing w:before="12"/>
              <w:ind w:right="113"/>
              <w:jc w:val="center"/>
              <w:rPr>
                <w:sz w:val="20"/>
              </w:rPr>
            </w:pPr>
            <w:r>
              <w:rPr>
                <w:sz w:val="20"/>
              </w:rPr>
              <w:t>Domic</w:t>
            </w:r>
          </w:p>
          <w:p>
            <w:pPr>
              <w:pStyle w:val="TableParagraph"/>
              <w:spacing w:before="11"/>
              <w:rPr>
                <w:sz w:val="20"/>
              </w:rPr>
            </w:pPr>
          </w:p>
          <w:p>
            <w:pPr>
              <w:pStyle w:val="TableParagraph"/>
              <w:spacing w:line="230" w:lineRule="atLeast"/>
              <w:ind w:right="113"/>
              <w:jc w:val="center"/>
              <w:rPr>
                <w:sz w:val="20"/>
              </w:rPr>
            </w:pPr>
            <w:r>
              <w:rPr>
                <w:sz w:val="20"/>
              </w:rPr>
              <w:t>bolnav</w:t>
            </w:r>
            <w:r>
              <w:rPr>
                <w:w w:val="99"/>
                <w:sz w:val="20"/>
              </w:rPr>
              <w:t> </w:t>
            </w:r>
            <w:r>
              <w:rPr>
                <w:sz w:val="20"/>
              </w:rPr>
              <w:t>ului</w:t>
            </w:r>
          </w:p>
        </w:tc>
        <w:tc>
          <w:tcPr>
            <w:tcW w:w="9649" w:type="dxa"/>
            <w:gridSpan w:val="4"/>
          </w:tcPr>
          <w:p>
            <w:pPr>
              <w:pStyle w:val="TableParagraph"/>
              <w:spacing w:line="222" w:lineRule="exact" w:before="50"/>
              <w:ind w:left="3727" w:right="3721"/>
              <w:jc w:val="center"/>
              <w:rPr>
                <w:sz w:val="20"/>
              </w:rPr>
            </w:pPr>
            <w:r>
              <w:rPr>
                <w:sz w:val="20"/>
              </w:rPr>
              <w:t>Bolnavi rămaşi în evidenţă</w:t>
            </w:r>
          </w:p>
        </w:tc>
      </w:tr>
      <w:tr>
        <w:trPr>
          <w:trHeight w:val="366" w:hRule="atLeast"/>
        </w:trPr>
        <w:tc>
          <w:tcPr>
            <w:tcW w:w="900" w:type="dxa"/>
            <w:vMerge/>
            <w:tcBorders>
              <w:top w:val="nil"/>
            </w:tcBorders>
            <w:textDirection w:val="btLr"/>
          </w:tcPr>
          <w:p>
            <w:pPr>
              <w:rPr>
                <w:sz w:val="2"/>
                <w:szCs w:val="2"/>
              </w:rPr>
            </w:pPr>
          </w:p>
        </w:tc>
        <w:tc>
          <w:tcPr>
            <w:tcW w:w="1051" w:type="dxa"/>
          </w:tcPr>
          <w:p>
            <w:pPr>
              <w:pStyle w:val="TableParagraph"/>
              <w:ind w:left="312"/>
              <w:rPr>
                <w:sz w:val="20"/>
              </w:rPr>
            </w:pPr>
            <w:r>
              <w:rPr>
                <w:sz w:val="20"/>
              </w:rPr>
              <w:t>Total</w:t>
            </w:r>
          </w:p>
        </w:tc>
        <w:tc>
          <w:tcPr>
            <w:tcW w:w="898" w:type="dxa"/>
          </w:tcPr>
          <w:p>
            <w:pPr>
              <w:pStyle w:val="TableParagraph"/>
              <w:spacing w:before="59"/>
              <w:ind w:left="137"/>
              <w:rPr>
                <w:sz w:val="18"/>
              </w:rPr>
            </w:pPr>
            <w:r>
              <w:rPr>
                <w:sz w:val="18"/>
              </w:rPr>
              <w:t>din care:</w:t>
            </w:r>
          </w:p>
        </w:tc>
        <w:tc>
          <w:tcPr>
            <w:tcW w:w="3624" w:type="dxa"/>
          </w:tcPr>
          <w:p>
            <w:pPr>
              <w:pStyle w:val="TableParagraph"/>
              <w:spacing w:before="48"/>
              <w:ind w:left="979"/>
              <w:rPr>
                <w:sz w:val="20"/>
              </w:rPr>
            </w:pPr>
            <w:r>
              <w:rPr>
                <w:sz w:val="20"/>
              </w:rPr>
              <w:t>Tbc aparat respirator</w:t>
            </w:r>
          </w:p>
        </w:tc>
        <w:tc>
          <w:tcPr>
            <w:tcW w:w="4076" w:type="dxa"/>
          </w:tcPr>
          <w:p>
            <w:pPr>
              <w:pStyle w:val="TableParagraph"/>
              <w:spacing w:before="41"/>
              <w:ind w:left="1276"/>
              <w:rPr>
                <w:sz w:val="20"/>
              </w:rPr>
            </w:pPr>
            <w:r>
              <w:rPr>
                <w:sz w:val="20"/>
              </w:rPr>
              <w:t>Tbc extrarespirator</w:t>
            </w:r>
          </w:p>
        </w:tc>
      </w:tr>
    </w:tbl>
    <w:p>
      <w:pPr>
        <w:spacing w:after="0"/>
        <w:rPr>
          <w:sz w:val="20"/>
        </w:rPr>
        <w:sectPr>
          <w:pgSz w:w="11910" w:h="16840"/>
          <w:pgMar w:header="0" w:footer="658" w:top="1420" w:bottom="920" w:left="400" w:right="0"/>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1051"/>
        <w:gridCol w:w="898"/>
        <w:gridCol w:w="897"/>
        <w:gridCol w:w="899"/>
        <w:gridCol w:w="748"/>
        <w:gridCol w:w="1076"/>
        <w:gridCol w:w="1273"/>
        <w:gridCol w:w="708"/>
        <w:gridCol w:w="706"/>
        <w:gridCol w:w="727"/>
        <w:gridCol w:w="650"/>
      </w:tblGrid>
      <w:tr>
        <w:trPr>
          <w:trHeight w:val="268" w:hRule="atLeast"/>
        </w:trPr>
        <w:tc>
          <w:tcPr>
            <w:tcW w:w="900" w:type="dxa"/>
            <w:vMerge w:val="restart"/>
          </w:tcPr>
          <w:p>
            <w:pPr>
              <w:pStyle w:val="TableParagraph"/>
              <w:rPr>
                <w:sz w:val="18"/>
              </w:rPr>
            </w:pPr>
          </w:p>
        </w:tc>
        <w:tc>
          <w:tcPr>
            <w:tcW w:w="1051" w:type="dxa"/>
            <w:vMerge w:val="restart"/>
          </w:tcPr>
          <w:p>
            <w:pPr>
              <w:pStyle w:val="TableParagraph"/>
              <w:rPr>
                <w:sz w:val="22"/>
              </w:rPr>
            </w:pPr>
          </w:p>
          <w:p>
            <w:pPr>
              <w:pStyle w:val="TableParagraph"/>
              <w:rPr>
                <w:sz w:val="25"/>
              </w:rPr>
            </w:pPr>
          </w:p>
          <w:p>
            <w:pPr>
              <w:pStyle w:val="TableParagraph"/>
              <w:spacing w:line="283" w:lineRule="auto"/>
              <w:ind w:left="235" w:right="160" w:hanging="48"/>
              <w:rPr>
                <w:sz w:val="20"/>
              </w:rPr>
            </w:pPr>
            <w:r>
              <w:rPr>
                <w:sz w:val="20"/>
              </w:rPr>
              <w:t>(col.01= 03+07)</w:t>
            </w:r>
          </w:p>
        </w:tc>
        <w:tc>
          <w:tcPr>
            <w:tcW w:w="898" w:type="dxa"/>
            <w:tcBorders>
              <w:bottom w:val="single" w:sz="6" w:space="0" w:color="000000"/>
            </w:tcBorders>
          </w:tcPr>
          <w:p>
            <w:pPr>
              <w:pStyle w:val="TableParagraph"/>
              <w:rPr>
                <w:sz w:val="18"/>
              </w:rPr>
            </w:pPr>
          </w:p>
        </w:tc>
        <w:tc>
          <w:tcPr>
            <w:tcW w:w="897" w:type="dxa"/>
            <w:vMerge w:val="restart"/>
          </w:tcPr>
          <w:p>
            <w:pPr>
              <w:pStyle w:val="TableParagraph"/>
              <w:ind w:left="238"/>
              <w:rPr>
                <w:sz w:val="20"/>
              </w:rPr>
            </w:pPr>
            <w:r>
              <w:rPr>
                <w:sz w:val="20"/>
              </w:rPr>
              <w:t>Total</w:t>
            </w:r>
          </w:p>
        </w:tc>
        <w:tc>
          <w:tcPr>
            <w:tcW w:w="2723" w:type="dxa"/>
            <w:gridSpan w:val="3"/>
            <w:tcBorders>
              <w:bottom w:val="single" w:sz="6" w:space="0" w:color="000000"/>
            </w:tcBorders>
          </w:tcPr>
          <w:p>
            <w:pPr>
              <w:pStyle w:val="TableParagraph"/>
              <w:ind w:left="459"/>
              <w:rPr>
                <w:sz w:val="20"/>
              </w:rPr>
            </w:pPr>
            <w:r>
              <w:rPr>
                <w:sz w:val="20"/>
              </w:rPr>
              <w:t>din care: tbc pulmonar</w:t>
            </w:r>
          </w:p>
        </w:tc>
        <w:tc>
          <w:tcPr>
            <w:tcW w:w="1273" w:type="dxa"/>
            <w:vMerge w:val="restart"/>
          </w:tcPr>
          <w:p>
            <w:pPr>
              <w:pStyle w:val="TableParagraph"/>
              <w:spacing w:before="41"/>
              <w:ind w:left="412" w:right="387"/>
              <w:jc w:val="center"/>
              <w:rPr>
                <w:sz w:val="20"/>
              </w:rPr>
            </w:pPr>
            <w:r>
              <w:rPr>
                <w:sz w:val="20"/>
              </w:rPr>
              <w:t>Total</w:t>
            </w:r>
          </w:p>
          <w:p>
            <w:pPr>
              <w:pStyle w:val="TableParagraph"/>
              <w:rPr>
                <w:sz w:val="22"/>
              </w:rPr>
            </w:pPr>
          </w:p>
          <w:p>
            <w:pPr>
              <w:pStyle w:val="TableParagraph"/>
              <w:spacing w:line="280" w:lineRule="auto" w:before="168"/>
              <w:ind w:left="170" w:right="147" w:firstLine="2"/>
              <w:jc w:val="center"/>
              <w:rPr>
                <w:sz w:val="20"/>
              </w:rPr>
            </w:pPr>
            <w:r>
              <w:rPr>
                <w:sz w:val="20"/>
              </w:rPr>
              <w:t>(col.07= 08+ ... +11)</w:t>
            </w:r>
          </w:p>
        </w:tc>
        <w:tc>
          <w:tcPr>
            <w:tcW w:w="708" w:type="dxa"/>
            <w:vMerge w:val="restart"/>
          </w:tcPr>
          <w:p>
            <w:pPr>
              <w:pStyle w:val="TableParagraph"/>
              <w:spacing w:before="41"/>
              <w:ind w:left="115"/>
              <w:rPr>
                <w:sz w:val="20"/>
              </w:rPr>
            </w:pPr>
            <w:r>
              <w:rPr>
                <w:sz w:val="20"/>
              </w:rPr>
              <w:t>osteo-</w:t>
            </w:r>
          </w:p>
          <w:p>
            <w:pPr>
              <w:pStyle w:val="TableParagraph"/>
              <w:spacing w:before="94"/>
              <w:ind w:left="160" w:firstLine="33"/>
              <w:rPr>
                <w:sz w:val="20"/>
              </w:rPr>
            </w:pPr>
            <w:r>
              <w:rPr>
                <w:sz w:val="20"/>
              </w:rPr>
              <w:t>arti- </w:t>
            </w:r>
            <w:r>
              <w:rPr>
                <w:w w:val="95"/>
                <w:sz w:val="20"/>
              </w:rPr>
              <w:t>cular</w:t>
            </w:r>
          </w:p>
        </w:tc>
        <w:tc>
          <w:tcPr>
            <w:tcW w:w="706" w:type="dxa"/>
            <w:vMerge w:val="restart"/>
          </w:tcPr>
          <w:p>
            <w:pPr>
              <w:pStyle w:val="TableParagraph"/>
              <w:spacing w:before="38"/>
              <w:ind w:left="184" w:right="155"/>
              <w:jc w:val="both"/>
              <w:rPr>
                <w:sz w:val="20"/>
              </w:rPr>
            </w:pPr>
            <w:r>
              <w:rPr>
                <w:sz w:val="20"/>
              </w:rPr>
              <w:t>gan-</w:t>
            </w:r>
            <w:r>
              <w:rPr>
                <w:w w:val="99"/>
                <w:sz w:val="20"/>
              </w:rPr>
              <w:t> </w:t>
            </w:r>
            <w:r>
              <w:rPr>
                <w:sz w:val="20"/>
              </w:rPr>
              <w:t>gli- onar</w:t>
            </w:r>
          </w:p>
        </w:tc>
        <w:tc>
          <w:tcPr>
            <w:tcW w:w="727" w:type="dxa"/>
            <w:vMerge w:val="restart"/>
          </w:tcPr>
          <w:p>
            <w:pPr>
              <w:pStyle w:val="TableParagraph"/>
              <w:spacing w:before="38"/>
              <w:ind w:left="170" w:right="135" w:firstLine="38"/>
              <w:jc w:val="both"/>
              <w:rPr>
                <w:sz w:val="20"/>
              </w:rPr>
            </w:pPr>
            <w:r>
              <w:rPr>
                <w:sz w:val="20"/>
              </w:rPr>
              <w:t>uro- </w:t>
            </w:r>
            <w:r>
              <w:rPr>
                <w:w w:val="95"/>
                <w:sz w:val="20"/>
              </w:rPr>
              <w:t>geni- </w:t>
            </w:r>
            <w:r>
              <w:rPr>
                <w:sz w:val="20"/>
              </w:rPr>
              <w:t>tal</w:t>
            </w:r>
          </w:p>
        </w:tc>
        <w:tc>
          <w:tcPr>
            <w:tcW w:w="650" w:type="dxa"/>
            <w:vMerge w:val="restart"/>
          </w:tcPr>
          <w:p>
            <w:pPr>
              <w:pStyle w:val="TableParagraph"/>
              <w:spacing w:before="38"/>
              <w:ind w:left="129" w:right="88" w:firstLine="67"/>
              <w:jc w:val="both"/>
              <w:rPr>
                <w:sz w:val="20"/>
              </w:rPr>
            </w:pPr>
            <w:r>
              <w:rPr>
                <w:sz w:val="20"/>
              </w:rPr>
              <w:t>alte local </w:t>
            </w:r>
            <w:r>
              <w:rPr>
                <w:w w:val="95"/>
                <w:sz w:val="20"/>
              </w:rPr>
              <w:t>i-zări</w:t>
            </w:r>
          </w:p>
        </w:tc>
      </w:tr>
      <w:tr>
        <w:trPr>
          <w:trHeight w:val="266" w:hRule="atLeast"/>
        </w:trPr>
        <w:tc>
          <w:tcPr>
            <w:tcW w:w="900" w:type="dxa"/>
            <w:vMerge/>
            <w:tcBorders>
              <w:top w:val="nil"/>
            </w:tcBorders>
          </w:tcPr>
          <w:p>
            <w:pPr>
              <w:rPr>
                <w:sz w:val="2"/>
                <w:szCs w:val="2"/>
              </w:rPr>
            </w:pPr>
          </w:p>
        </w:tc>
        <w:tc>
          <w:tcPr>
            <w:tcW w:w="1051" w:type="dxa"/>
            <w:vMerge/>
            <w:tcBorders>
              <w:top w:val="nil"/>
            </w:tcBorders>
          </w:tcPr>
          <w:p>
            <w:pPr>
              <w:rPr>
                <w:sz w:val="2"/>
                <w:szCs w:val="2"/>
              </w:rPr>
            </w:pPr>
          </w:p>
        </w:tc>
        <w:tc>
          <w:tcPr>
            <w:tcW w:w="898" w:type="dxa"/>
            <w:vMerge w:val="restart"/>
            <w:tcBorders>
              <w:top w:val="single" w:sz="6" w:space="0" w:color="000000"/>
            </w:tcBorders>
          </w:tcPr>
          <w:p>
            <w:pPr>
              <w:pStyle w:val="TableParagraph"/>
              <w:spacing w:before="10"/>
              <w:rPr>
                <w:sz w:val="21"/>
              </w:rPr>
            </w:pPr>
          </w:p>
          <w:p>
            <w:pPr>
              <w:pStyle w:val="TableParagraph"/>
              <w:spacing w:line="283" w:lineRule="auto" w:before="1"/>
              <w:ind w:left="118" w:right="108" w:firstLine="108"/>
              <w:rPr>
                <w:sz w:val="20"/>
              </w:rPr>
            </w:pPr>
            <w:r>
              <w:rPr>
                <w:sz w:val="20"/>
              </w:rPr>
              <w:t>Copii 0-14 ani</w:t>
            </w:r>
          </w:p>
        </w:tc>
        <w:tc>
          <w:tcPr>
            <w:tcW w:w="897" w:type="dxa"/>
            <w:vMerge/>
            <w:tcBorders>
              <w:top w:val="nil"/>
            </w:tcBorders>
          </w:tcPr>
          <w:p>
            <w:pPr>
              <w:rPr>
                <w:sz w:val="2"/>
                <w:szCs w:val="2"/>
              </w:rPr>
            </w:pPr>
          </w:p>
        </w:tc>
        <w:tc>
          <w:tcPr>
            <w:tcW w:w="899" w:type="dxa"/>
            <w:vMerge w:val="restart"/>
            <w:tcBorders>
              <w:top w:val="single" w:sz="6" w:space="0" w:color="000000"/>
            </w:tcBorders>
          </w:tcPr>
          <w:p>
            <w:pPr>
              <w:pStyle w:val="TableParagraph"/>
              <w:spacing w:line="228" w:lineRule="exact"/>
              <w:ind w:left="238"/>
              <w:rPr>
                <w:sz w:val="20"/>
              </w:rPr>
            </w:pPr>
            <w:r>
              <w:rPr>
                <w:sz w:val="20"/>
              </w:rPr>
              <w:t>Total</w:t>
            </w:r>
          </w:p>
        </w:tc>
        <w:tc>
          <w:tcPr>
            <w:tcW w:w="1824" w:type="dxa"/>
            <w:gridSpan w:val="2"/>
            <w:tcBorders>
              <w:top w:val="single" w:sz="6" w:space="0" w:color="000000"/>
            </w:tcBorders>
          </w:tcPr>
          <w:p>
            <w:pPr>
              <w:pStyle w:val="TableParagraph"/>
              <w:spacing w:line="228" w:lineRule="exact"/>
              <w:ind w:left="281"/>
              <w:rPr>
                <w:sz w:val="20"/>
              </w:rPr>
            </w:pPr>
            <w:r>
              <w:rPr>
                <w:sz w:val="18"/>
              </w:rPr>
              <w:t>din care: </w:t>
            </w:r>
            <w:r>
              <w:rPr>
                <w:sz w:val="20"/>
              </w:rPr>
              <w:t>cu bK+</w:t>
            </w:r>
          </w:p>
        </w:tc>
        <w:tc>
          <w:tcPr>
            <w:tcW w:w="1273" w:type="dxa"/>
            <w:vMerge/>
            <w:tcBorders>
              <w:top w:val="nil"/>
            </w:tcBorders>
          </w:tcPr>
          <w:p>
            <w:pPr>
              <w:rPr>
                <w:sz w:val="2"/>
                <w:szCs w:val="2"/>
              </w:rPr>
            </w:pPr>
          </w:p>
        </w:tc>
        <w:tc>
          <w:tcPr>
            <w:tcW w:w="708" w:type="dxa"/>
            <w:vMerge/>
            <w:tcBorders>
              <w:top w:val="nil"/>
            </w:tcBorders>
          </w:tcPr>
          <w:p>
            <w:pPr>
              <w:rPr>
                <w:sz w:val="2"/>
                <w:szCs w:val="2"/>
              </w:rPr>
            </w:pPr>
          </w:p>
        </w:tc>
        <w:tc>
          <w:tcPr>
            <w:tcW w:w="706" w:type="dxa"/>
            <w:vMerge/>
            <w:tcBorders>
              <w:top w:val="nil"/>
            </w:tcBorders>
          </w:tcPr>
          <w:p>
            <w:pPr>
              <w:rPr>
                <w:sz w:val="2"/>
                <w:szCs w:val="2"/>
              </w:rPr>
            </w:pPr>
          </w:p>
        </w:tc>
        <w:tc>
          <w:tcPr>
            <w:tcW w:w="727" w:type="dxa"/>
            <w:vMerge/>
            <w:tcBorders>
              <w:top w:val="nil"/>
            </w:tcBorders>
          </w:tcPr>
          <w:p>
            <w:pPr>
              <w:rPr>
                <w:sz w:val="2"/>
                <w:szCs w:val="2"/>
              </w:rPr>
            </w:pPr>
          </w:p>
        </w:tc>
        <w:tc>
          <w:tcPr>
            <w:tcW w:w="650" w:type="dxa"/>
            <w:vMerge/>
            <w:tcBorders>
              <w:top w:val="nil"/>
            </w:tcBorders>
          </w:tcPr>
          <w:p>
            <w:pPr>
              <w:rPr>
                <w:sz w:val="2"/>
                <w:szCs w:val="2"/>
              </w:rPr>
            </w:pPr>
          </w:p>
        </w:tc>
      </w:tr>
      <w:tr>
        <w:trPr>
          <w:trHeight w:val="770" w:hRule="atLeast"/>
        </w:trPr>
        <w:tc>
          <w:tcPr>
            <w:tcW w:w="900" w:type="dxa"/>
            <w:vMerge/>
            <w:tcBorders>
              <w:top w:val="nil"/>
            </w:tcBorders>
          </w:tcPr>
          <w:p>
            <w:pPr>
              <w:rPr>
                <w:sz w:val="2"/>
                <w:szCs w:val="2"/>
              </w:rPr>
            </w:pPr>
          </w:p>
        </w:tc>
        <w:tc>
          <w:tcPr>
            <w:tcW w:w="1051" w:type="dxa"/>
            <w:vMerge/>
            <w:tcBorders>
              <w:top w:val="nil"/>
            </w:tcBorders>
          </w:tcPr>
          <w:p>
            <w:pPr>
              <w:rPr>
                <w:sz w:val="2"/>
                <w:szCs w:val="2"/>
              </w:rPr>
            </w:pPr>
          </w:p>
        </w:tc>
        <w:tc>
          <w:tcPr>
            <w:tcW w:w="898" w:type="dxa"/>
            <w:vMerge/>
            <w:tcBorders>
              <w:top w:val="nil"/>
            </w:tcBorders>
          </w:tcPr>
          <w:p>
            <w:pPr>
              <w:rPr>
                <w:sz w:val="2"/>
                <w:szCs w:val="2"/>
              </w:rPr>
            </w:pPr>
          </w:p>
        </w:tc>
        <w:tc>
          <w:tcPr>
            <w:tcW w:w="897" w:type="dxa"/>
            <w:vMerge/>
            <w:tcBorders>
              <w:top w:val="nil"/>
            </w:tcBorders>
          </w:tcPr>
          <w:p>
            <w:pPr>
              <w:rPr>
                <w:sz w:val="2"/>
                <w:szCs w:val="2"/>
              </w:rPr>
            </w:pPr>
          </w:p>
        </w:tc>
        <w:tc>
          <w:tcPr>
            <w:tcW w:w="899" w:type="dxa"/>
            <w:vMerge/>
            <w:tcBorders>
              <w:top w:val="nil"/>
            </w:tcBorders>
          </w:tcPr>
          <w:p>
            <w:pPr>
              <w:rPr>
                <w:sz w:val="2"/>
                <w:szCs w:val="2"/>
              </w:rPr>
            </w:pPr>
          </w:p>
        </w:tc>
        <w:tc>
          <w:tcPr>
            <w:tcW w:w="748" w:type="dxa"/>
          </w:tcPr>
          <w:p>
            <w:pPr>
              <w:pStyle w:val="TableParagraph"/>
              <w:ind w:right="145"/>
              <w:jc w:val="right"/>
              <w:rPr>
                <w:sz w:val="20"/>
              </w:rPr>
            </w:pPr>
            <w:r>
              <w:rPr>
                <w:sz w:val="20"/>
              </w:rPr>
              <w:t>Total</w:t>
            </w:r>
          </w:p>
        </w:tc>
        <w:tc>
          <w:tcPr>
            <w:tcW w:w="1076" w:type="dxa"/>
          </w:tcPr>
          <w:p>
            <w:pPr>
              <w:pStyle w:val="TableParagraph"/>
              <w:ind w:left="195"/>
              <w:rPr>
                <w:sz w:val="20"/>
              </w:rPr>
            </w:pPr>
            <w:r>
              <w:rPr>
                <w:sz w:val="20"/>
              </w:rPr>
              <w:t>din care:</w:t>
            </w:r>
          </w:p>
          <w:p>
            <w:pPr>
              <w:pStyle w:val="TableParagraph"/>
              <w:spacing w:before="41"/>
              <w:ind w:left="279" w:hanging="84"/>
              <w:rPr>
                <w:sz w:val="20"/>
              </w:rPr>
            </w:pPr>
            <w:r>
              <w:rPr>
                <w:sz w:val="20"/>
              </w:rPr>
              <w:t>numai la culturi</w:t>
            </w:r>
          </w:p>
        </w:tc>
        <w:tc>
          <w:tcPr>
            <w:tcW w:w="1273" w:type="dxa"/>
            <w:vMerge/>
            <w:tcBorders>
              <w:top w:val="nil"/>
            </w:tcBorders>
          </w:tcPr>
          <w:p>
            <w:pPr>
              <w:rPr>
                <w:sz w:val="2"/>
                <w:szCs w:val="2"/>
              </w:rPr>
            </w:pPr>
          </w:p>
        </w:tc>
        <w:tc>
          <w:tcPr>
            <w:tcW w:w="708" w:type="dxa"/>
            <w:vMerge/>
            <w:tcBorders>
              <w:top w:val="nil"/>
            </w:tcBorders>
          </w:tcPr>
          <w:p>
            <w:pPr>
              <w:rPr>
                <w:sz w:val="2"/>
                <w:szCs w:val="2"/>
              </w:rPr>
            </w:pPr>
          </w:p>
        </w:tc>
        <w:tc>
          <w:tcPr>
            <w:tcW w:w="706" w:type="dxa"/>
            <w:vMerge/>
            <w:tcBorders>
              <w:top w:val="nil"/>
            </w:tcBorders>
          </w:tcPr>
          <w:p>
            <w:pPr>
              <w:rPr>
                <w:sz w:val="2"/>
                <w:szCs w:val="2"/>
              </w:rPr>
            </w:pPr>
          </w:p>
        </w:tc>
        <w:tc>
          <w:tcPr>
            <w:tcW w:w="727" w:type="dxa"/>
            <w:vMerge/>
            <w:tcBorders>
              <w:top w:val="nil"/>
            </w:tcBorders>
          </w:tcPr>
          <w:p>
            <w:pPr>
              <w:rPr>
                <w:sz w:val="2"/>
                <w:szCs w:val="2"/>
              </w:rPr>
            </w:pPr>
          </w:p>
        </w:tc>
        <w:tc>
          <w:tcPr>
            <w:tcW w:w="650" w:type="dxa"/>
            <w:vMerge/>
            <w:tcBorders>
              <w:top w:val="nil"/>
            </w:tcBorders>
          </w:tcPr>
          <w:p>
            <w:pPr>
              <w:rPr>
                <w:sz w:val="2"/>
                <w:szCs w:val="2"/>
              </w:rPr>
            </w:pPr>
          </w:p>
        </w:tc>
      </w:tr>
      <w:tr>
        <w:trPr>
          <w:trHeight w:val="270" w:hRule="atLeast"/>
        </w:trPr>
        <w:tc>
          <w:tcPr>
            <w:tcW w:w="900" w:type="dxa"/>
          </w:tcPr>
          <w:p>
            <w:pPr>
              <w:pStyle w:val="TableParagraph"/>
              <w:ind w:right="367"/>
              <w:jc w:val="right"/>
              <w:rPr>
                <w:sz w:val="20"/>
              </w:rPr>
            </w:pPr>
            <w:r>
              <w:rPr>
                <w:w w:val="99"/>
                <w:sz w:val="20"/>
              </w:rPr>
              <w:t>A</w:t>
            </w:r>
          </w:p>
        </w:tc>
        <w:tc>
          <w:tcPr>
            <w:tcW w:w="1051" w:type="dxa"/>
          </w:tcPr>
          <w:p>
            <w:pPr>
              <w:pStyle w:val="TableParagraph"/>
              <w:ind w:left="185" w:right="175"/>
              <w:jc w:val="center"/>
              <w:rPr>
                <w:sz w:val="20"/>
              </w:rPr>
            </w:pPr>
            <w:r>
              <w:rPr>
                <w:sz w:val="20"/>
              </w:rPr>
              <w:t>01</w:t>
            </w:r>
          </w:p>
        </w:tc>
        <w:tc>
          <w:tcPr>
            <w:tcW w:w="898" w:type="dxa"/>
          </w:tcPr>
          <w:p>
            <w:pPr>
              <w:pStyle w:val="TableParagraph"/>
              <w:ind w:left="329" w:right="319"/>
              <w:jc w:val="center"/>
              <w:rPr>
                <w:sz w:val="20"/>
              </w:rPr>
            </w:pPr>
            <w:r>
              <w:rPr>
                <w:sz w:val="20"/>
              </w:rPr>
              <w:t>02</w:t>
            </w:r>
          </w:p>
        </w:tc>
        <w:tc>
          <w:tcPr>
            <w:tcW w:w="897" w:type="dxa"/>
          </w:tcPr>
          <w:p>
            <w:pPr>
              <w:pStyle w:val="TableParagraph"/>
              <w:ind w:left="329" w:right="318"/>
              <w:jc w:val="center"/>
              <w:rPr>
                <w:sz w:val="20"/>
              </w:rPr>
            </w:pPr>
            <w:r>
              <w:rPr>
                <w:sz w:val="20"/>
              </w:rPr>
              <w:t>03</w:t>
            </w:r>
          </w:p>
        </w:tc>
        <w:tc>
          <w:tcPr>
            <w:tcW w:w="899" w:type="dxa"/>
          </w:tcPr>
          <w:p>
            <w:pPr>
              <w:pStyle w:val="TableParagraph"/>
              <w:ind w:left="332" w:right="317"/>
              <w:jc w:val="center"/>
              <w:rPr>
                <w:sz w:val="20"/>
              </w:rPr>
            </w:pPr>
            <w:r>
              <w:rPr>
                <w:sz w:val="20"/>
              </w:rPr>
              <w:t>04</w:t>
            </w:r>
          </w:p>
        </w:tc>
        <w:tc>
          <w:tcPr>
            <w:tcW w:w="748" w:type="dxa"/>
          </w:tcPr>
          <w:p>
            <w:pPr>
              <w:pStyle w:val="TableParagraph"/>
              <w:ind w:left="257" w:right="241"/>
              <w:jc w:val="center"/>
              <w:rPr>
                <w:sz w:val="20"/>
              </w:rPr>
            </w:pPr>
            <w:r>
              <w:rPr>
                <w:sz w:val="20"/>
              </w:rPr>
              <w:t>05</w:t>
            </w:r>
          </w:p>
        </w:tc>
        <w:tc>
          <w:tcPr>
            <w:tcW w:w="1076" w:type="dxa"/>
          </w:tcPr>
          <w:p>
            <w:pPr>
              <w:pStyle w:val="TableParagraph"/>
              <w:ind w:left="423" w:right="403"/>
              <w:jc w:val="center"/>
              <w:rPr>
                <w:sz w:val="20"/>
              </w:rPr>
            </w:pPr>
            <w:r>
              <w:rPr>
                <w:sz w:val="20"/>
              </w:rPr>
              <w:t>06</w:t>
            </w:r>
          </w:p>
        </w:tc>
        <w:tc>
          <w:tcPr>
            <w:tcW w:w="1273" w:type="dxa"/>
          </w:tcPr>
          <w:p>
            <w:pPr>
              <w:pStyle w:val="TableParagraph"/>
              <w:ind w:left="412" w:right="387"/>
              <w:jc w:val="center"/>
              <w:rPr>
                <w:sz w:val="20"/>
              </w:rPr>
            </w:pPr>
            <w:r>
              <w:rPr>
                <w:sz w:val="20"/>
              </w:rPr>
              <w:t>07</w:t>
            </w:r>
          </w:p>
        </w:tc>
        <w:tc>
          <w:tcPr>
            <w:tcW w:w="708" w:type="dxa"/>
          </w:tcPr>
          <w:p>
            <w:pPr>
              <w:pStyle w:val="TableParagraph"/>
              <w:ind w:left="114" w:right="88"/>
              <w:jc w:val="center"/>
              <w:rPr>
                <w:sz w:val="20"/>
              </w:rPr>
            </w:pPr>
            <w:r>
              <w:rPr>
                <w:sz w:val="20"/>
              </w:rPr>
              <w:t>08</w:t>
            </w:r>
          </w:p>
        </w:tc>
        <w:tc>
          <w:tcPr>
            <w:tcW w:w="706" w:type="dxa"/>
          </w:tcPr>
          <w:p>
            <w:pPr>
              <w:pStyle w:val="TableParagraph"/>
              <w:ind w:left="263"/>
              <w:rPr>
                <w:sz w:val="20"/>
              </w:rPr>
            </w:pPr>
            <w:r>
              <w:rPr>
                <w:sz w:val="20"/>
              </w:rPr>
              <w:t>09</w:t>
            </w:r>
          </w:p>
        </w:tc>
        <w:tc>
          <w:tcPr>
            <w:tcW w:w="727" w:type="dxa"/>
          </w:tcPr>
          <w:p>
            <w:pPr>
              <w:pStyle w:val="TableParagraph"/>
              <w:ind w:left="256" w:right="220"/>
              <w:jc w:val="center"/>
              <w:rPr>
                <w:sz w:val="20"/>
              </w:rPr>
            </w:pPr>
            <w:r>
              <w:rPr>
                <w:sz w:val="20"/>
              </w:rPr>
              <w:t>10</w:t>
            </w:r>
          </w:p>
        </w:tc>
        <w:tc>
          <w:tcPr>
            <w:tcW w:w="650" w:type="dxa"/>
          </w:tcPr>
          <w:p>
            <w:pPr>
              <w:pStyle w:val="TableParagraph"/>
              <w:ind w:left="240"/>
              <w:rPr>
                <w:sz w:val="20"/>
              </w:rPr>
            </w:pPr>
            <w:r>
              <w:rPr>
                <w:sz w:val="20"/>
              </w:rPr>
              <w:t>11</w:t>
            </w:r>
          </w:p>
        </w:tc>
      </w:tr>
      <w:tr>
        <w:trPr>
          <w:trHeight w:val="405" w:hRule="atLeast"/>
        </w:trPr>
        <w:tc>
          <w:tcPr>
            <w:tcW w:w="900" w:type="dxa"/>
          </w:tcPr>
          <w:p>
            <w:pPr>
              <w:pStyle w:val="TableParagraph"/>
              <w:spacing w:before="86"/>
              <w:ind w:right="355"/>
              <w:jc w:val="right"/>
              <w:rPr>
                <w:sz w:val="20"/>
              </w:rPr>
            </w:pPr>
            <w:r>
              <w:rPr>
                <w:sz w:val="20"/>
              </w:rPr>
              <w:t>Total</w:t>
            </w:r>
          </w:p>
        </w:tc>
        <w:tc>
          <w:tcPr>
            <w:tcW w:w="1051" w:type="dxa"/>
          </w:tcPr>
          <w:p>
            <w:pPr>
              <w:pStyle w:val="TableParagraph"/>
              <w:spacing w:before="111"/>
              <w:ind w:right="95"/>
              <w:jc w:val="right"/>
              <w:rPr>
                <w:rFonts w:ascii="Arial"/>
                <w:sz w:val="16"/>
              </w:rPr>
            </w:pPr>
            <w:r>
              <w:rPr>
                <w:rFonts w:ascii="Arial"/>
                <w:sz w:val="16"/>
              </w:rPr>
              <w:t>575</w:t>
            </w:r>
          </w:p>
        </w:tc>
        <w:tc>
          <w:tcPr>
            <w:tcW w:w="898" w:type="dxa"/>
          </w:tcPr>
          <w:p>
            <w:pPr>
              <w:pStyle w:val="TableParagraph"/>
              <w:spacing w:before="111"/>
              <w:ind w:right="95"/>
              <w:jc w:val="right"/>
              <w:rPr>
                <w:rFonts w:ascii="Arial"/>
                <w:sz w:val="16"/>
              </w:rPr>
            </w:pPr>
            <w:r>
              <w:rPr>
                <w:rFonts w:ascii="Arial"/>
                <w:sz w:val="16"/>
              </w:rPr>
              <w:t>41</w:t>
            </w:r>
          </w:p>
        </w:tc>
        <w:tc>
          <w:tcPr>
            <w:tcW w:w="897" w:type="dxa"/>
          </w:tcPr>
          <w:p>
            <w:pPr>
              <w:pStyle w:val="TableParagraph"/>
              <w:spacing w:before="111"/>
              <w:ind w:right="94"/>
              <w:jc w:val="right"/>
              <w:rPr>
                <w:rFonts w:ascii="Arial"/>
                <w:sz w:val="16"/>
              </w:rPr>
            </w:pPr>
            <w:r>
              <w:rPr>
                <w:rFonts w:ascii="Arial"/>
                <w:sz w:val="16"/>
              </w:rPr>
              <w:t>510</w:t>
            </w:r>
          </w:p>
        </w:tc>
        <w:tc>
          <w:tcPr>
            <w:tcW w:w="899" w:type="dxa"/>
          </w:tcPr>
          <w:p>
            <w:pPr>
              <w:pStyle w:val="TableParagraph"/>
              <w:spacing w:before="111"/>
              <w:ind w:right="93"/>
              <w:jc w:val="right"/>
              <w:rPr>
                <w:rFonts w:ascii="Arial"/>
                <w:sz w:val="16"/>
              </w:rPr>
            </w:pPr>
            <w:r>
              <w:rPr>
                <w:rFonts w:ascii="Arial"/>
                <w:sz w:val="16"/>
              </w:rPr>
              <w:t>485</w:t>
            </w:r>
          </w:p>
        </w:tc>
        <w:tc>
          <w:tcPr>
            <w:tcW w:w="748" w:type="dxa"/>
          </w:tcPr>
          <w:p>
            <w:pPr>
              <w:pStyle w:val="TableParagraph"/>
              <w:spacing w:before="111"/>
              <w:ind w:right="92"/>
              <w:jc w:val="right"/>
              <w:rPr>
                <w:rFonts w:ascii="Arial"/>
                <w:sz w:val="16"/>
              </w:rPr>
            </w:pPr>
            <w:r>
              <w:rPr>
                <w:rFonts w:ascii="Arial"/>
                <w:sz w:val="16"/>
              </w:rPr>
              <w:t>185</w:t>
            </w:r>
          </w:p>
        </w:tc>
        <w:tc>
          <w:tcPr>
            <w:tcW w:w="1076" w:type="dxa"/>
          </w:tcPr>
          <w:p>
            <w:pPr>
              <w:pStyle w:val="TableParagraph"/>
              <w:spacing w:before="111"/>
              <w:ind w:right="92"/>
              <w:jc w:val="right"/>
              <w:rPr>
                <w:rFonts w:ascii="Arial"/>
                <w:sz w:val="16"/>
              </w:rPr>
            </w:pPr>
            <w:r>
              <w:rPr>
                <w:rFonts w:ascii="Arial"/>
                <w:sz w:val="16"/>
              </w:rPr>
              <w:t>31</w:t>
            </w:r>
          </w:p>
        </w:tc>
        <w:tc>
          <w:tcPr>
            <w:tcW w:w="1273" w:type="dxa"/>
          </w:tcPr>
          <w:p>
            <w:pPr>
              <w:pStyle w:val="TableParagraph"/>
              <w:spacing w:before="111"/>
              <w:ind w:right="86"/>
              <w:jc w:val="right"/>
              <w:rPr>
                <w:rFonts w:ascii="Arial"/>
                <w:sz w:val="16"/>
              </w:rPr>
            </w:pPr>
            <w:r>
              <w:rPr>
                <w:rFonts w:ascii="Arial"/>
                <w:sz w:val="16"/>
              </w:rPr>
              <w:t>65</w:t>
            </w:r>
          </w:p>
        </w:tc>
        <w:tc>
          <w:tcPr>
            <w:tcW w:w="708" w:type="dxa"/>
          </w:tcPr>
          <w:p>
            <w:pPr>
              <w:pStyle w:val="TableParagraph"/>
              <w:spacing w:before="111"/>
              <w:ind w:right="90"/>
              <w:jc w:val="right"/>
              <w:rPr>
                <w:rFonts w:ascii="Arial"/>
                <w:sz w:val="16"/>
              </w:rPr>
            </w:pPr>
            <w:r>
              <w:rPr>
                <w:rFonts w:ascii="Arial"/>
                <w:sz w:val="16"/>
              </w:rPr>
              <w:t>11</w:t>
            </w:r>
          </w:p>
        </w:tc>
        <w:tc>
          <w:tcPr>
            <w:tcW w:w="706" w:type="dxa"/>
          </w:tcPr>
          <w:p>
            <w:pPr>
              <w:pStyle w:val="TableParagraph"/>
              <w:spacing w:before="111"/>
              <w:ind w:right="84"/>
              <w:jc w:val="right"/>
              <w:rPr>
                <w:rFonts w:ascii="Arial"/>
                <w:sz w:val="16"/>
              </w:rPr>
            </w:pPr>
            <w:r>
              <w:rPr>
                <w:rFonts w:ascii="Arial"/>
                <w:sz w:val="16"/>
              </w:rPr>
              <w:t>39</w:t>
            </w:r>
          </w:p>
        </w:tc>
        <w:tc>
          <w:tcPr>
            <w:tcW w:w="727" w:type="dxa"/>
          </w:tcPr>
          <w:p>
            <w:pPr>
              <w:pStyle w:val="TableParagraph"/>
              <w:spacing w:before="111"/>
              <w:ind w:right="82"/>
              <w:jc w:val="right"/>
              <w:rPr>
                <w:rFonts w:ascii="Arial"/>
                <w:sz w:val="16"/>
              </w:rPr>
            </w:pPr>
            <w:r>
              <w:rPr>
                <w:rFonts w:ascii="Arial"/>
                <w:w w:val="100"/>
                <w:sz w:val="16"/>
              </w:rPr>
              <w:t>3</w:t>
            </w:r>
          </w:p>
        </w:tc>
        <w:tc>
          <w:tcPr>
            <w:tcW w:w="650" w:type="dxa"/>
          </w:tcPr>
          <w:p>
            <w:pPr>
              <w:pStyle w:val="TableParagraph"/>
              <w:spacing w:before="111"/>
              <w:ind w:right="78"/>
              <w:jc w:val="right"/>
              <w:rPr>
                <w:rFonts w:ascii="Arial"/>
                <w:sz w:val="16"/>
              </w:rPr>
            </w:pPr>
            <w:r>
              <w:rPr>
                <w:rFonts w:ascii="Arial"/>
                <w:sz w:val="16"/>
              </w:rPr>
              <w:t>12</w:t>
            </w:r>
          </w:p>
        </w:tc>
      </w:tr>
      <w:tr>
        <w:trPr>
          <w:trHeight w:val="405" w:hRule="atLeast"/>
        </w:trPr>
        <w:tc>
          <w:tcPr>
            <w:tcW w:w="900" w:type="dxa"/>
          </w:tcPr>
          <w:p>
            <w:pPr>
              <w:pStyle w:val="TableParagraph"/>
              <w:spacing w:before="86"/>
              <w:ind w:right="280"/>
              <w:jc w:val="right"/>
              <w:rPr>
                <w:sz w:val="20"/>
              </w:rPr>
            </w:pPr>
            <w:r>
              <w:rPr>
                <w:w w:val="95"/>
                <w:sz w:val="20"/>
              </w:rPr>
              <w:t>Urban</w:t>
            </w:r>
          </w:p>
        </w:tc>
        <w:tc>
          <w:tcPr>
            <w:tcW w:w="1051" w:type="dxa"/>
          </w:tcPr>
          <w:p>
            <w:pPr>
              <w:pStyle w:val="TableParagraph"/>
              <w:spacing w:before="111"/>
              <w:ind w:right="95"/>
              <w:jc w:val="right"/>
              <w:rPr>
                <w:rFonts w:ascii="Arial"/>
                <w:sz w:val="16"/>
              </w:rPr>
            </w:pPr>
            <w:r>
              <w:rPr>
                <w:rFonts w:ascii="Arial"/>
                <w:sz w:val="16"/>
              </w:rPr>
              <w:t>473</w:t>
            </w:r>
          </w:p>
        </w:tc>
        <w:tc>
          <w:tcPr>
            <w:tcW w:w="898" w:type="dxa"/>
          </w:tcPr>
          <w:p>
            <w:pPr>
              <w:pStyle w:val="TableParagraph"/>
              <w:spacing w:before="111"/>
              <w:ind w:right="95"/>
              <w:jc w:val="right"/>
              <w:rPr>
                <w:rFonts w:ascii="Arial"/>
                <w:sz w:val="16"/>
              </w:rPr>
            </w:pPr>
            <w:r>
              <w:rPr>
                <w:rFonts w:ascii="Arial"/>
                <w:sz w:val="16"/>
              </w:rPr>
              <w:t>24</w:t>
            </w:r>
          </w:p>
        </w:tc>
        <w:tc>
          <w:tcPr>
            <w:tcW w:w="897" w:type="dxa"/>
          </w:tcPr>
          <w:p>
            <w:pPr>
              <w:pStyle w:val="TableParagraph"/>
              <w:spacing w:before="111"/>
              <w:ind w:right="94"/>
              <w:jc w:val="right"/>
              <w:rPr>
                <w:rFonts w:ascii="Arial"/>
                <w:sz w:val="16"/>
              </w:rPr>
            </w:pPr>
            <w:r>
              <w:rPr>
                <w:rFonts w:ascii="Arial"/>
                <w:sz w:val="16"/>
              </w:rPr>
              <w:t>415</w:t>
            </w:r>
          </w:p>
        </w:tc>
        <w:tc>
          <w:tcPr>
            <w:tcW w:w="899" w:type="dxa"/>
          </w:tcPr>
          <w:p>
            <w:pPr>
              <w:pStyle w:val="TableParagraph"/>
              <w:spacing w:before="111"/>
              <w:ind w:right="93"/>
              <w:jc w:val="right"/>
              <w:rPr>
                <w:rFonts w:ascii="Arial"/>
                <w:sz w:val="16"/>
              </w:rPr>
            </w:pPr>
            <w:r>
              <w:rPr>
                <w:rFonts w:ascii="Arial"/>
                <w:sz w:val="16"/>
              </w:rPr>
              <w:t>397</w:t>
            </w:r>
          </w:p>
        </w:tc>
        <w:tc>
          <w:tcPr>
            <w:tcW w:w="748" w:type="dxa"/>
          </w:tcPr>
          <w:p>
            <w:pPr>
              <w:pStyle w:val="TableParagraph"/>
              <w:spacing w:before="111"/>
              <w:ind w:right="92"/>
              <w:jc w:val="right"/>
              <w:rPr>
                <w:rFonts w:ascii="Arial"/>
                <w:sz w:val="16"/>
              </w:rPr>
            </w:pPr>
            <w:r>
              <w:rPr>
                <w:rFonts w:ascii="Arial"/>
                <w:sz w:val="16"/>
              </w:rPr>
              <w:t>173</w:t>
            </w:r>
          </w:p>
        </w:tc>
        <w:tc>
          <w:tcPr>
            <w:tcW w:w="1076" w:type="dxa"/>
          </w:tcPr>
          <w:p>
            <w:pPr>
              <w:pStyle w:val="TableParagraph"/>
              <w:spacing w:before="111"/>
              <w:ind w:right="92"/>
              <w:jc w:val="right"/>
              <w:rPr>
                <w:rFonts w:ascii="Arial"/>
                <w:sz w:val="16"/>
              </w:rPr>
            </w:pPr>
            <w:r>
              <w:rPr>
                <w:rFonts w:ascii="Arial"/>
                <w:sz w:val="16"/>
              </w:rPr>
              <w:t>29</w:t>
            </w:r>
          </w:p>
        </w:tc>
        <w:tc>
          <w:tcPr>
            <w:tcW w:w="1273" w:type="dxa"/>
          </w:tcPr>
          <w:p>
            <w:pPr>
              <w:pStyle w:val="TableParagraph"/>
              <w:spacing w:before="111"/>
              <w:ind w:right="86"/>
              <w:jc w:val="right"/>
              <w:rPr>
                <w:rFonts w:ascii="Arial"/>
                <w:sz w:val="16"/>
              </w:rPr>
            </w:pPr>
            <w:r>
              <w:rPr>
                <w:rFonts w:ascii="Arial"/>
                <w:sz w:val="16"/>
              </w:rPr>
              <w:t>58</w:t>
            </w:r>
          </w:p>
        </w:tc>
        <w:tc>
          <w:tcPr>
            <w:tcW w:w="708" w:type="dxa"/>
          </w:tcPr>
          <w:p>
            <w:pPr>
              <w:pStyle w:val="TableParagraph"/>
              <w:spacing w:before="111"/>
              <w:ind w:right="88"/>
              <w:jc w:val="right"/>
              <w:rPr>
                <w:rFonts w:ascii="Arial"/>
                <w:sz w:val="16"/>
              </w:rPr>
            </w:pPr>
            <w:r>
              <w:rPr>
                <w:rFonts w:ascii="Arial"/>
                <w:w w:val="100"/>
                <w:sz w:val="16"/>
              </w:rPr>
              <w:t>7</w:t>
            </w:r>
          </w:p>
        </w:tc>
        <w:tc>
          <w:tcPr>
            <w:tcW w:w="706" w:type="dxa"/>
          </w:tcPr>
          <w:p>
            <w:pPr>
              <w:pStyle w:val="TableParagraph"/>
              <w:spacing w:before="111"/>
              <w:ind w:right="84"/>
              <w:jc w:val="right"/>
              <w:rPr>
                <w:rFonts w:ascii="Arial"/>
                <w:sz w:val="16"/>
              </w:rPr>
            </w:pPr>
            <w:r>
              <w:rPr>
                <w:rFonts w:ascii="Arial"/>
                <w:sz w:val="16"/>
              </w:rPr>
              <w:t>36</w:t>
            </w:r>
          </w:p>
        </w:tc>
        <w:tc>
          <w:tcPr>
            <w:tcW w:w="727" w:type="dxa"/>
          </w:tcPr>
          <w:p>
            <w:pPr>
              <w:pStyle w:val="TableParagraph"/>
              <w:spacing w:before="111"/>
              <w:ind w:right="82"/>
              <w:jc w:val="right"/>
              <w:rPr>
                <w:rFonts w:ascii="Arial"/>
                <w:sz w:val="16"/>
              </w:rPr>
            </w:pPr>
            <w:r>
              <w:rPr>
                <w:rFonts w:ascii="Arial"/>
                <w:w w:val="100"/>
                <w:sz w:val="16"/>
              </w:rPr>
              <w:t>3</w:t>
            </w:r>
          </w:p>
        </w:tc>
        <w:tc>
          <w:tcPr>
            <w:tcW w:w="650" w:type="dxa"/>
          </w:tcPr>
          <w:p>
            <w:pPr>
              <w:pStyle w:val="TableParagraph"/>
              <w:spacing w:before="111"/>
              <w:ind w:right="78"/>
              <w:jc w:val="right"/>
              <w:rPr>
                <w:rFonts w:ascii="Arial"/>
                <w:sz w:val="16"/>
              </w:rPr>
            </w:pPr>
            <w:r>
              <w:rPr>
                <w:rFonts w:ascii="Arial"/>
                <w:sz w:val="16"/>
              </w:rPr>
              <w:t>12</w:t>
            </w:r>
          </w:p>
        </w:tc>
      </w:tr>
      <w:tr>
        <w:trPr>
          <w:trHeight w:val="405" w:hRule="atLeast"/>
        </w:trPr>
        <w:tc>
          <w:tcPr>
            <w:tcW w:w="900" w:type="dxa"/>
          </w:tcPr>
          <w:p>
            <w:pPr>
              <w:pStyle w:val="TableParagraph"/>
              <w:spacing w:before="86"/>
              <w:ind w:right="339"/>
              <w:jc w:val="right"/>
              <w:rPr>
                <w:sz w:val="20"/>
              </w:rPr>
            </w:pPr>
            <w:r>
              <w:rPr>
                <w:sz w:val="20"/>
              </w:rPr>
              <w:t>Rural</w:t>
            </w:r>
          </w:p>
        </w:tc>
        <w:tc>
          <w:tcPr>
            <w:tcW w:w="1051" w:type="dxa"/>
          </w:tcPr>
          <w:p>
            <w:pPr>
              <w:pStyle w:val="TableParagraph"/>
              <w:spacing w:before="111"/>
              <w:ind w:right="95"/>
              <w:jc w:val="right"/>
              <w:rPr>
                <w:rFonts w:ascii="Arial"/>
                <w:sz w:val="16"/>
              </w:rPr>
            </w:pPr>
            <w:r>
              <w:rPr>
                <w:rFonts w:ascii="Arial"/>
                <w:sz w:val="16"/>
              </w:rPr>
              <w:t>102</w:t>
            </w:r>
          </w:p>
        </w:tc>
        <w:tc>
          <w:tcPr>
            <w:tcW w:w="898" w:type="dxa"/>
          </w:tcPr>
          <w:p>
            <w:pPr>
              <w:pStyle w:val="TableParagraph"/>
              <w:spacing w:before="111"/>
              <w:ind w:right="95"/>
              <w:jc w:val="right"/>
              <w:rPr>
                <w:rFonts w:ascii="Arial"/>
                <w:sz w:val="16"/>
              </w:rPr>
            </w:pPr>
            <w:r>
              <w:rPr>
                <w:rFonts w:ascii="Arial"/>
                <w:sz w:val="16"/>
              </w:rPr>
              <w:t>17</w:t>
            </w:r>
          </w:p>
        </w:tc>
        <w:tc>
          <w:tcPr>
            <w:tcW w:w="897" w:type="dxa"/>
          </w:tcPr>
          <w:p>
            <w:pPr>
              <w:pStyle w:val="TableParagraph"/>
              <w:spacing w:before="111"/>
              <w:ind w:right="94"/>
              <w:jc w:val="right"/>
              <w:rPr>
                <w:rFonts w:ascii="Arial"/>
                <w:sz w:val="16"/>
              </w:rPr>
            </w:pPr>
            <w:r>
              <w:rPr>
                <w:rFonts w:ascii="Arial"/>
                <w:sz w:val="16"/>
              </w:rPr>
              <w:t>95</w:t>
            </w:r>
          </w:p>
        </w:tc>
        <w:tc>
          <w:tcPr>
            <w:tcW w:w="899" w:type="dxa"/>
          </w:tcPr>
          <w:p>
            <w:pPr>
              <w:pStyle w:val="TableParagraph"/>
              <w:spacing w:before="111"/>
              <w:ind w:right="93"/>
              <w:jc w:val="right"/>
              <w:rPr>
                <w:rFonts w:ascii="Arial"/>
                <w:sz w:val="16"/>
              </w:rPr>
            </w:pPr>
            <w:r>
              <w:rPr>
                <w:rFonts w:ascii="Arial"/>
                <w:sz w:val="16"/>
              </w:rPr>
              <w:t>88</w:t>
            </w:r>
          </w:p>
        </w:tc>
        <w:tc>
          <w:tcPr>
            <w:tcW w:w="748" w:type="dxa"/>
          </w:tcPr>
          <w:p>
            <w:pPr>
              <w:pStyle w:val="TableParagraph"/>
              <w:spacing w:before="111"/>
              <w:ind w:right="92"/>
              <w:jc w:val="right"/>
              <w:rPr>
                <w:rFonts w:ascii="Arial"/>
                <w:sz w:val="16"/>
              </w:rPr>
            </w:pPr>
            <w:r>
              <w:rPr>
                <w:rFonts w:ascii="Arial"/>
                <w:sz w:val="16"/>
              </w:rPr>
              <w:t>12</w:t>
            </w:r>
          </w:p>
        </w:tc>
        <w:tc>
          <w:tcPr>
            <w:tcW w:w="1076" w:type="dxa"/>
          </w:tcPr>
          <w:p>
            <w:pPr>
              <w:pStyle w:val="TableParagraph"/>
              <w:spacing w:before="111"/>
              <w:ind w:right="90"/>
              <w:jc w:val="right"/>
              <w:rPr>
                <w:rFonts w:ascii="Arial"/>
                <w:sz w:val="16"/>
              </w:rPr>
            </w:pPr>
            <w:r>
              <w:rPr>
                <w:rFonts w:ascii="Arial"/>
                <w:w w:val="100"/>
                <w:sz w:val="16"/>
              </w:rPr>
              <w:t>2</w:t>
            </w:r>
          </w:p>
        </w:tc>
        <w:tc>
          <w:tcPr>
            <w:tcW w:w="1273" w:type="dxa"/>
          </w:tcPr>
          <w:p>
            <w:pPr>
              <w:pStyle w:val="TableParagraph"/>
              <w:spacing w:before="111"/>
              <w:ind w:right="87"/>
              <w:jc w:val="right"/>
              <w:rPr>
                <w:rFonts w:ascii="Arial"/>
                <w:sz w:val="16"/>
              </w:rPr>
            </w:pPr>
            <w:r>
              <w:rPr>
                <w:rFonts w:ascii="Arial"/>
                <w:w w:val="100"/>
                <w:sz w:val="16"/>
              </w:rPr>
              <w:t>7</w:t>
            </w:r>
          </w:p>
        </w:tc>
        <w:tc>
          <w:tcPr>
            <w:tcW w:w="708" w:type="dxa"/>
          </w:tcPr>
          <w:p>
            <w:pPr>
              <w:pStyle w:val="TableParagraph"/>
              <w:spacing w:before="111"/>
              <w:ind w:right="88"/>
              <w:jc w:val="right"/>
              <w:rPr>
                <w:rFonts w:ascii="Arial"/>
                <w:sz w:val="16"/>
              </w:rPr>
            </w:pPr>
            <w:r>
              <w:rPr>
                <w:rFonts w:ascii="Arial"/>
                <w:w w:val="100"/>
                <w:sz w:val="16"/>
              </w:rPr>
              <w:t>4</w:t>
            </w:r>
          </w:p>
        </w:tc>
        <w:tc>
          <w:tcPr>
            <w:tcW w:w="706" w:type="dxa"/>
          </w:tcPr>
          <w:p>
            <w:pPr>
              <w:pStyle w:val="TableParagraph"/>
              <w:spacing w:before="111"/>
              <w:ind w:right="85"/>
              <w:jc w:val="right"/>
              <w:rPr>
                <w:rFonts w:ascii="Arial"/>
                <w:sz w:val="16"/>
              </w:rPr>
            </w:pPr>
            <w:r>
              <w:rPr>
                <w:rFonts w:ascii="Arial"/>
                <w:w w:val="100"/>
                <w:sz w:val="16"/>
              </w:rPr>
              <w:t>3</w:t>
            </w:r>
          </w:p>
        </w:tc>
        <w:tc>
          <w:tcPr>
            <w:tcW w:w="727" w:type="dxa"/>
          </w:tcPr>
          <w:p>
            <w:pPr>
              <w:pStyle w:val="TableParagraph"/>
              <w:spacing w:before="111"/>
              <w:ind w:right="82"/>
              <w:jc w:val="right"/>
              <w:rPr>
                <w:rFonts w:ascii="Arial"/>
                <w:sz w:val="16"/>
              </w:rPr>
            </w:pPr>
            <w:r>
              <w:rPr>
                <w:rFonts w:ascii="Arial"/>
                <w:w w:val="100"/>
                <w:sz w:val="16"/>
              </w:rPr>
              <w:t>0</w:t>
            </w:r>
          </w:p>
        </w:tc>
        <w:tc>
          <w:tcPr>
            <w:tcW w:w="650" w:type="dxa"/>
          </w:tcPr>
          <w:p>
            <w:pPr>
              <w:pStyle w:val="TableParagraph"/>
              <w:spacing w:before="111"/>
              <w:ind w:right="78"/>
              <w:jc w:val="right"/>
              <w:rPr>
                <w:rFonts w:ascii="Arial"/>
                <w:sz w:val="16"/>
              </w:rPr>
            </w:pPr>
            <w:r>
              <w:rPr>
                <w:rFonts w:ascii="Arial"/>
                <w:w w:val="100"/>
                <w:sz w:val="16"/>
              </w:rPr>
              <w:t>0</w:t>
            </w:r>
          </w:p>
        </w:tc>
      </w:tr>
    </w:tbl>
    <w:p>
      <w:pPr>
        <w:spacing w:before="0"/>
        <w:ind w:left="680" w:right="0" w:firstLine="0"/>
        <w:jc w:val="left"/>
        <w:rPr>
          <w:sz w:val="20"/>
        </w:rPr>
      </w:pPr>
      <w:r>
        <w:rPr>
          <w:sz w:val="20"/>
        </w:rPr>
        <w:t>Notă: Bolnavi rămaşi în evidenţă = caz nou + recidive + retratamente</w:t>
      </w:r>
    </w:p>
    <w:p>
      <w:pPr>
        <w:pStyle w:val="BodyText"/>
        <w:spacing w:before="1"/>
        <w:ind w:left="0"/>
        <w:rPr>
          <w:sz w:val="19"/>
        </w:rPr>
      </w:pPr>
    </w:p>
    <w:p>
      <w:pPr>
        <w:spacing w:after="0"/>
        <w:rPr>
          <w:sz w:val="19"/>
        </w:rPr>
        <w:sectPr>
          <w:pgSz w:w="11910" w:h="16840"/>
          <w:pgMar w:header="0" w:footer="658" w:top="1420" w:bottom="920" w:left="400" w:right="0"/>
        </w:sectPr>
      </w:pPr>
    </w:p>
    <w:p>
      <w:pPr>
        <w:spacing w:before="91"/>
        <w:ind w:left="680" w:right="0" w:firstLine="0"/>
        <w:jc w:val="left"/>
        <w:rPr>
          <w:b/>
          <w:sz w:val="20"/>
        </w:rPr>
      </w:pPr>
      <w:r>
        <w:rPr>
          <w:b/>
          <w:sz w:val="20"/>
        </w:rPr>
        <w:t>Evoluţia sub tratament a tuberculozei</w:t>
      </w:r>
    </w:p>
    <w:p>
      <w:pPr>
        <w:pStyle w:val="BodyText"/>
        <w:ind w:left="0"/>
        <w:rPr>
          <w:b/>
          <w:sz w:val="18"/>
        </w:rPr>
      </w:pPr>
      <w:r>
        <w:rPr/>
        <w:br w:type="column"/>
      </w:r>
      <w:r>
        <w:rPr>
          <w:b/>
          <w:sz w:val="18"/>
        </w:rPr>
      </w:r>
    </w:p>
    <w:p>
      <w:pPr>
        <w:spacing w:before="154"/>
        <w:ind w:left="680" w:right="0" w:firstLine="0"/>
        <w:jc w:val="left"/>
        <w:rPr>
          <w:sz w:val="16"/>
        </w:rPr>
      </w:pPr>
      <w:r>
        <w:rPr>
          <w:sz w:val="16"/>
        </w:rPr>
        <w:t>Tabel T94</w:t>
      </w:r>
    </w:p>
    <w:p>
      <w:pPr>
        <w:spacing w:after="0"/>
        <w:jc w:val="left"/>
        <w:rPr>
          <w:sz w:val="16"/>
        </w:rPr>
        <w:sectPr>
          <w:type w:val="continuous"/>
          <w:pgSz w:w="11910" w:h="16840"/>
          <w:pgMar w:top="1280" w:bottom="280" w:left="400" w:right="0"/>
          <w:cols w:num="2" w:equalWidth="0">
            <w:col w:w="3950" w:space="5079"/>
            <w:col w:w="2481"/>
          </w:cols>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83"/>
        <w:gridCol w:w="852"/>
        <w:gridCol w:w="729"/>
        <w:gridCol w:w="686"/>
        <w:gridCol w:w="775"/>
        <w:gridCol w:w="784"/>
        <w:gridCol w:w="849"/>
        <w:gridCol w:w="592"/>
        <w:gridCol w:w="542"/>
        <w:gridCol w:w="849"/>
        <w:gridCol w:w="497"/>
        <w:gridCol w:w="473"/>
        <w:gridCol w:w="540"/>
      </w:tblGrid>
      <w:tr>
        <w:trPr>
          <w:trHeight w:val="309" w:hRule="atLeast"/>
        </w:trPr>
        <w:tc>
          <w:tcPr>
            <w:tcW w:w="2376" w:type="dxa"/>
            <w:gridSpan w:val="2"/>
            <w:vMerge w:val="restart"/>
          </w:tcPr>
          <w:p>
            <w:pPr>
              <w:pStyle w:val="TableParagraph"/>
              <w:rPr>
                <w:sz w:val="18"/>
              </w:rPr>
            </w:pPr>
          </w:p>
        </w:tc>
        <w:tc>
          <w:tcPr>
            <w:tcW w:w="852" w:type="dxa"/>
            <w:vMerge w:val="restart"/>
          </w:tcPr>
          <w:p>
            <w:pPr>
              <w:pStyle w:val="TableParagraph"/>
              <w:spacing w:before="2"/>
              <w:rPr>
                <w:sz w:val="28"/>
              </w:rPr>
            </w:pPr>
          </w:p>
          <w:p>
            <w:pPr>
              <w:pStyle w:val="TableParagraph"/>
              <w:spacing w:line="283" w:lineRule="auto"/>
              <w:ind w:left="125" w:right="97" w:firstLine="88"/>
              <w:rPr>
                <w:sz w:val="20"/>
              </w:rPr>
            </w:pPr>
            <w:r>
              <w:rPr>
                <w:sz w:val="20"/>
              </w:rPr>
              <w:t>Total în evid.</w:t>
            </w:r>
          </w:p>
        </w:tc>
        <w:tc>
          <w:tcPr>
            <w:tcW w:w="729" w:type="dxa"/>
            <w:vMerge w:val="restart"/>
          </w:tcPr>
          <w:p>
            <w:pPr>
              <w:pStyle w:val="TableParagraph"/>
              <w:spacing w:before="9"/>
              <w:rPr>
                <w:sz w:val="19"/>
              </w:rPr>
            </w:pPr>
          </w:p>
          <w:p>
            <w:pPr>
              <w:pStyle w:val="TableParagraph"/>
              <w:ind w:left="188" w:right="138" w:hanging="34"/>
              <w:jc w:val="both"/>
              <w:rPr>
                <w:sz w:val="20"/>
              </w:rPr>
            </w:pPr>
            <w:r>
              <w:rPr>
                <w:sz w:val="20"/>
              </w:rPr>
              <w:t>Total eva- luaţi</w:t>
            </w:r>
          </w:p>
        </w:tc>
        <w:tc>
          <w:tcPr>
            <w:tcW w:w="6047" w:type="dxa"/>
            <w:gridSpan w:val="9"/>
          </w:tcPr>
          <w:p>
            <w:pPr>
              <w:pStyle w:val="TableParagraph"/>
              <w:spacing w:before="41"/>
              <w:ind w:left="2671" w:right="2659"/>
              <w:jc w:val="center"/>
              <w:rPr>
                <w:sz w:val="20"/>
              </w:rPr>
            </w:pPr>
            <w:r>
              <w:rPr>
                <w:sz w:val="20"/>
              </w:rPr>
              <w:t>Evaluaţi</w:t>
            </w:r>
          </w:p>
        </w:tc>
        <w:tc>
          <w:tcPr>
            <w:tcW w:w="540" w:type="dxa"/>
            <w:vMerge w:val="restart"/>
          </w:tcPr>
          <w:p>
            <w:pPr>
              <w:pStyle w:val="TableParagraph"/>
              <w:spacing w:before="10"/>
              <w:rPr>
                <w:sz w:val="22"/>
              </w:rPr>
            </w:pPr>
          </w:p>
          <w:p>
            <w:pPr>
              <w:pStyle w:val="TableParagraph"/>
              <w:ind w:left="116" w:right="90" w:firstLine="24"/>
              <w:jc w:val="both"/>
              <w:rPr>
                <w:sz w:val="18"/>
              </w:rPr>
            </w:pPr>
            <w:r>
              <w:rPr>
                <w:sz w:val="18"/>
              </w:rPr>
              <w:t>Ne- eva- luaţi</w:t>
            </w:r>
          </w:p>
        </w:tc>
      </w:tr>
      <w:tr>
        <w:trPr>
          <w:trHeight w:val="208" w:hRule="atLeast"/>
        </w:trPr>
        <w:tc>
          <w:tcPr>
            <w:tcW w:w="2376" w:type="dxa"/>
            <w:gridSpan w:val="2"/>
            <w:vMerge/>
            <w:tcBorders>
              <w:top w:val="nil"/>
            </w:tcBorders>
          </w:tcPr>
          <w:p>
            <w:pPr>
              <w:rPr>
                <w:sz w:val="2"/>
                <w:szCs w:val="2"/>
              </w:rPr>
            </w:pPr>
          </w:p>
        </w:tc>
        <w:tc>
          <w:tcPr>
            <w:tcW w:w="852" w:type="dxa"/>
            <w:vMerge/>
            <w:tcBorders>
              <w:top w:val="nil"/>
            </w:tcBorders>
          </w:tcPr>
          <w:p>
            <w:pPr>
              <w:rPr>
                <w:sz w:val="2"/>
                <w:szCs w:val="2"/>
              </w:rPr>
            </w:pPr>
          </w:p>
        </w:tc>
        <w:tc>
          <w:tcPr>
            <w:tcW w:w="729" w:type="dxa"/>
            <w:vMerge/>
            <w:tcBorders>
              <w:top w:val="nil"/>
            </w:tcBorders>
          </w:tcPr>
          <w:p>
            <w:pPr>
              <w:rPr>
                <w:sz w:val="2"/>
                <w:szCs w:val="2"/>
              </w:rPr>
            </w:pPr>
          </w:p>
        </w:tc>
        <w:tc>
          <w:tcPr>
            <w:tcW w:w="686" w:type="dxa"/>
            <w:vMerge w:val="restart"/>
          </w:tcPr>
          <w:p>
            <w:pPr>
              <w:pStyle w:val="TableParagraph"/>
              <w:spacing w:before="1"/>
              <w:rPr>
                <w:sz w:val="18"/>
              </w:rPr>
            </w:pPr>
          </w:p>
          <w:p>
            <w:pPr>
              <w:pStyle w:val="TableParagraph"/>
              <w:spacing w:line="207" w:lineRule="exact"/>
              <w:ind w:left="123"/>
              <w:rPr>
                <w:sz w:val="18"/>
              </w:rPr>
            </w:pPr>
            <w:r>
              <w:rPr>
                <w:sz w:val="18"/>
              </w:rPr>
              <w:t>Vinde</w:t>
            </w:r>
          </w:p>
          <w:p>
            <w:pPr>
              <w:pStyle w:val="TableParagraph"/>
              <w:spacing w:line="207" w:lineRule="exact"/>
              <w:ind w:left="210"/>
              <w:rPr>
                <w:sz w:val="18"/>
              </w:rPr>
            </w:pPr>
            <w:r>
              <w:rPr>
                <w:sz w:val="18"/>
              </w:rPr>
              <w:t>-cat</w:t>
            </w:r>
          </w:p>
        </w:tc>
        <w:tc>
          <w:tcPr>
            <w:tcW w:w="775" w:type="dxa"/>
            <w:vMerge w:val="restart"/>
          </w:tcPr>
          <w:p>
            <w:pPr>
              <w:pStyle w:val="TableParagraph"/>
              <w:ind w:left="127" w:right="115" w:hanging="3"/>
              <w:jc w:val="center"/>
              <w:rPr>
                <w:sz w:val="18"/>
              </w:rPr>
            </w:pPr>
            <w:r>
              <w:rPr>
                <w:sz w:val="18"/>
              </w:rPr>
              <w:t>Trata- ment încheia t</w:t>
            </w:r>
          </w:p>
        </w:tc>
        <w:tc>
          <w:tcPr>
            <w:tcW w:w="784" w:type="dxa"/>
            <w:vMerge w:val="restart"/>
          </w:tcPr>
          <w:p>
            <w:pPr>
              <w:pStyle w:val="TableParagraph"/>
              <w:spacing w:before="1"/>
              <w:rPr>
                <w:sz w:val="18"/>
              </w:rPr>
            </w:pPr>
          </w:p>
          <w:p>
            <w:pPr>
              <w:pStyle w:val="TableParagraph"/>
              <w:ind w:left="232" w:right="171" w:hanging="29"/>
              <w:rPr>
                <w:sz w:val="18"/>
              </w:rPr>
            </w:pPr>
            <w:r>
              <w:rPr>
                <w:sz w:val="18"/>
              </w:rPr>
              <w:t>Infir- maţi</w:t>
            </w:r>
          </w:p>
        </w:tc>
        <w:tc>
          <w:tcPr>
            <w:tcW w:w="849" w:type="dxa"/>
            <w:vMerge w:val="restart"/>
          </w:tcPr>
          <w:p>
            <w:pPr>
              <w:pStyle w:val="TableParagraph"/>
              <w:spacing w:before="105"/>
              <w:ind w:left="173" w:right="152" w:hanging="5"/>
              <w:jc w:val="center"/>
              <w:rPr>
                <w:sz w:val="18"/>
              </w:rPr>
            </w:pPr>
            <w:r>
              <w:rPr>
                <w:sz w:val="18"/>
              </w:rPr>
              <w:t>Aban- don, pierdut</w:t>
            </w:r>
          </w:p>
        </w:tc>
        <w:tc>
          <w:tcPr>
            <w:tcW w:w="592" w:type="dxa"/>
            <w:vMerge w:val="restart"/>
          </w:tcPr>
          <w:p>
            <w:pPr>
              <w:pStyle w:val="TableParagraph"/>
              <w:spacing w:before="1"/>
              <w:rPr>
                <w:sz w:val="27"/>
              </w:rPr>
            </w:pPr>
          </w:p>
          <w:p>
            <w:pPr>
              <w:pStyle w:val="TableParagraph"/>
              <w:ind w:left="129"/>
              <w:rPr>
                <w:sz w:val="18"/>
              </w:rPr>
            </w:pPr>
            <w:r>
              <w:rPr>
                <w:sz w:val="18"/>
              </w:rPr>
              <w:t>Eşec</w:t>
            </w:r>
          </w:p>
        </w:tc>
        <w:tc>
          <w:tcPr>
            <w:tcW w:w="542" w:type="dxa"/>
            <w:vMerge w:val="restart"/>
          </w:tcPr>
          <w:p>
            <w:pPr>
              <w:pStyle w:val="TableParagraph"/>
              <w:spacing w:before="1"/>
              <w:rPr>
                <w:sz w:val="18"/>
              </w:rPr>
            </w:pPr>
          </w:p>
          <w:p>
            <w:pPr>
              <w:pStyle w:val="TableParagraph"/>
              <w:ind w:left="161" w:right="82" w:hanging="41"/>
              <w:rPr>
                <w:sz w:val="18"/>
              </w:rPr>
            </w:pPr>
            <w:r>
              <w:rPr>
                <w:sz w:val="18"/>
              </w:rPr>
              <w:t>Mu- taţi</w:t>
            </w:r>
          </w:p>
        </w:tc>
        <w:tc>
          <w:tcPr>
            <w:tcW w:w="849" w:type="dxa"/>
            <w:vMerge w:val="restart"/>
          </w:tcPr>
          <w:p>
            <w:pPr>
              <w:pStyle w:val="TableParagraph"/>
              <w:spacing w:before="2"/>
              <w:rPr>
                <w:sz w:val="20"/>
              </w:rPr>
            </w:pPr>
          </w:p>
          <w:p>
            <w:pPr>
              <w:pStyle w:val="TableParagraph"/>
              <w:ind w:left="127" w:right="87" w:firstLine="9"/>
              <w:rPr>
                <w:sz w:val="16"/>
              </w:rPr>
            </w:pPr>
            <w:r>
              <w:rPr>
                <w:sz w:val="16"/>
              </w:rPr>
              <w:t>Continuă tratament</w:t>
            </w:r>
          </w:p>
        </w:tc>
        <w:tc>
          <w:tcPr>
            <w:tcW w:w="970" w:type="dxa"/>
            <w:gridSpan w:val="2"/>
          </w:tcPr>
          <w:p>
            <w:pPr>
              <w:pStyle w:val="TableParagraph"/>
              <w:spacing w:line="188" w:lineRule="exact"/>
              <w:ind w:left="229"/>
              <w:rPr>
                <w:sz w:val="18"/>
              </w:rPr>
            </w:pPr>
            <w:r>
              <w:rPr>
                <w:sz w:val="18"/>
              </w:rPr>
              <w:t>Decese</w:t>
            </w:r>
          </w:p>
        </w:tc>
        <w:tc>
          <w:tcPr>
            <w:tcW w:w="540" w:type="dxa"/>
            <w:vMerge/>
            <w:tcBorders>
              <w:top w:val="nil"/>
            </w:tcBorders>
          </w:tcPr>
          <w:p>
            <w:pPr>
              <w:rPr>
                <w:sz w:val="2"/>
                <w:szCs w:val="2"/>
              </w:rPr>
            </w:pPr>
          </w:p>
        </w:tc>
      </w:tr>
      <w:tr>
        <w:trPr>
          <w:trHeight w:val="650" w:hRule="atLeast"/>
        </w:trPr>
        <w:tc>
          <w:tcPr>
            <w:tcW w:w="2376" w:type="dxa"/>
            <w:gridSpan w:val="2"/>
            <w:vMerge/>
            <w:tcBorders>
              <w:top w:val="nil"/>
            </w:tcBorders>
          </w:tcPr>
          <w:p>
            <w:pPr>
              <w:rPr>
                <w:sz w:val="2"/>
                <w:szCs w:val="2"/>
              </w:rPr>
            </w:pPr>
          </w:p>
        </w:tc>
        <w:tc>
          <w:tcPr>
            <w:tcW w:w="852" w:type="dxa"/>
            <w:vMerge/>
            <w:tcBorders>
              <w:top w:val="nil"/>
            </w:tcBorders>
          </w:tcPr>
          <w:p>
            <w:pPr>
              <w:rPr>
                <w:sz w:val="2"/>
                <w:szCs w:val="2"/>
              </w:rPr>
            </w:pPr>
          </w:p>
        </w:tc>
        <w:tc>
          <w:tcPr>
            <w:tcW w:w="729" w:type="dxa"/>
            <w:vMerge/>
            <w:tcBorders>
              <w:top w:val="nil"/>
            </w:tcBorders>
          </w:tcPr>
          <w:p>
            <w:pPr>
              <w:rPr>
                <w:sz w:val="2"/>
                <w:szCs w:val="2"/>
              </w:rPr>
            </w:pPr>
          </w:p>
        </w:tc>
        <w:tc>
          <w:tcPr>
            <w:tcW w:w="686" w:type="dxa"/>
            <w:vMerge/>
            <w:tcBorders>
              <w:top w:val="nil"/>
            </w:tcBorders>
          </w:tcPr>
          <w:p>
            <w:pPr>
              <w:rPr>
                <w:sz w:val="2"/>
                <w:szCs w:val="2"/>
              </w:rPr>
            </w:pPr>
          </w:p>
        </w:tc>
        <w:tc>
          <w:tcPr>
            <w:tcW w:w="775" w:type="dxa"/>
            <w:vMerge/>
            <w:tcBorders>
              <w:top w:val="nil"/>
            </w:tcBorders>
          </w:tcPr>
          <w:p>
            <w:pPr>
              <w:rPr>
                <w:sz w:val="2"/>
                <w:szCs w:val="2"/>
              </w:rPr>
            </w:pPr>
          </w:p>
        </w:tc>
        <w:tc>
          <w:tcPr>
            <w:tcW w:w="784" w:type="dxa"/>
            <w:vMerge/>
            <w:tcBorders>
              <w:top w:val="nil"/>
            </w:tcBorders>
          </w:tcPr>
          <w:p>
            <w:pPr>
              <w:rPr>
                <w:sz w:val="2"/>
                <w:szCs w:val="2"/>
              </w:rPr>
            </w:pPr>
          </w:p>
        </w:tc>
        <w:tc>
          <w:tcPr>
            <w:tcW w:w="849" w:type="dxa"/>
            <w:vMerge/>
            <w:tcBorders>
              <w:top w:val="nil"/>
            </w:tcBorders>
          </w:tcPr>
          <w:p>
            <w:pPr>
              <w:rPr>
                <w:sz w:val="2"/>
                <w:szCs w:val="2"/>
              </w:rPr>
            </w:pPr>
          </w:p>
        </w:tc>
        <w:tc>
          <w:tcPr>
            <w:tcW w:w="592" w:type="dxa"/>
            <w:vMerge/>
            <w:tcBorders>
              <w:top w:val="nil"/>
            </w:tcBorders>
          </w:tcPr>
          <w:p>
            <w:pPr>
              <w:rPr>
                <w:sz w:val="2"/>
                <w:szCs w:val="2"/>
              </w:rPr>
            </w:pPr>
          </w:p>
        </w:tc>
        <w:tc>
          <w:tcPr>
            <w:tcW w:w="542" w:type="dxa"/>
            <w:vMerge/>
            <w:tcBorders>
              <w:top w:val="nil"/>
            </w:tcBorders>
          </w:tcPr>
          <w:p>
            <w:pPr>
              <w:rPr>
                <w:sz w:val="2"/>
                <w:szCs w:val="2"/>
              </w:rPr>
            </w:pPr>
          </w:p>
        </w:tc>
        <w:tc>
          <w:tcPr>
            <w:tcW w:w="849" w:type="dxa"/>
            <w:vMerge/>
            <w:tcBorders>
              <w:top w:val="nil"/>
            </w:tcBorders>
          </w:tcPr>
          <w:p>
            <w:pPr>
              <w:rPr>
                <w:sz w:val="2"/>
                <w:szCs w:val="2"/>
              </w:rPr>
            </w:pPr>
          </w:p>
        </w:tc>
        <w:tc>
          <w:tcPr>
            <w:tcW w:w="497" w:type="dxa"/>
          </w:tcPr>
          <w:p>
            <w:pPr>
              <w:pStyle w:val="TableParagraph"/>
              <w:spacing w:before="5"/>
              <w:rPr>
                <w:sz w:val="17"/>
              </w:rPr>
            </w:pPr>
          </w:p>
          <w:p>
            <w:pPr>
              <w:pStyle w:val="TableParagraph"/>
              <w:spacing w:before="1"/>
              <w:ind w:right="91"/>
              <w:jc w:val="right"/>
              <w:rPr>
                <w:sz w:val="18"/>
              </w:rPr>
            </w:pPr>
            <w:r>
              <w:rPr>
                <w:sz w:val="18"/>
              </w:rPr>
              <w:t>Tbc</w:t>
            </w:r>
          </w:p>
        </w:tc>
        <w:tc>
          <w:tcPr>
            <w:tcW w:w="473" w:type="dxa"/>
          </w:tcPr>
          <w:p>
            <w:pPr>
              <w:pStyle w:val="TableParagraph"/>
              <w:spacing w:before="98"/>
              <w:ind w:left="203" w:right="10" w:hanging="77"/>
              <w:rPr>
                <w:sz w:val="18"/>
              </w:rPr>
            </w:pPr>
            <w:r>
              <w:rPr>
                <w:sz w:val="18"/>
              </w:rPr>
              <w:t>Alt e</w:t>
            </w:r>
          </w:p>
        </w:tc>
        <w:tc>
          <w:tcPr>
            <w:tcW w:w="540" w:type="dxa"/>
            <w:vMerge/>
            <w:tcBorders>
              <w:top w:val="nil"/>
            </w:tcBorders>
          </w:tcPr>
          <w:p>
            <w:pPr>
              <w:rPr>
                <w:sz w:val="2"/>
                <w:szCs w:val="2"/>
              </w:rPr>
            </w:pPr>
          </w:p>
        </w:tc>
      </w:tr>
      <w:tr>
        <w:trPr>
          <w:trHeight w:val="270" w:hRule="atLeast"/>
        </w:trPr>
        <w:tc>
          <w:tcPr>
            <w:tcW w:w="2376" w:type="dxa"/>
            <w:gridSpan w:val="2"/>
          </w:tcPr>
          <w:p>
            <w:pPr>
              <w:pStyle w:val="TableParagraph"/>
              <w:spacing w:before="19"/>
              <w:ind w:left="10"/>
              <w:jc w:val="center"/>
              <w:rPr>
                <w:sz w:val="20"/>
              </w:rPr>
            </w:pPr>
            <w:r>
              <w:rPr>
                <w:w w:val="99"/>
                <w:sz w:val="20"/>
              </w:rPr>
              <w:t>A</w:t>
            </w:r>
          </w:p>
        </w:tc>
        <w:tc>
          <w:tcPr>
            <w:tcW w:w="852" w:type="dxa"/>
          </w:tcPr>
          <w:p>
            <w:pPr>
              <w:pStyle w:val="TableParagraph"/>
              <w:spacing w:before="19"/>
              <w:ind w:left="308" w:right="294"/>
              <w:jc w:val="center"/>
              <w:rPr>
                <w:sz w:val="20"/>
              </w:rPr>
            </w:pPr>
            <w:r>
              <w:rPr>
                <w:sz w:val="20"/>
              </w:rPr>
              <w:t>01</w:t>
            </w:r>
          </w:p>
        </w:tc>
        <w:tc>
          <w:tcPr>
            <w:tcW w:w="729" w:type="dxa"/>
          </w:tcPr>
          <w:p>
            <w:pPr>
              <w:pStyle w:val="TableParagraph"/>
              <w:spacing w:before="19"/>
              <w:ind w:left="248" w:right="231"/>
              <w:jc w:val="center"/>
              <w:rPr>
                <w:sz w:val="20"/>
              </w:rPr>
            </w:pPr>
            <w:r>
              <w:rPr>
                <w:sz w:val="20"/>
              </w:rPr>
              <w:t>02</w:t>
            </w:r>
          </w:p>
        </w:tc>
        <w:tc>
          <w:tcPr>
            <w:tcW w:w="686" w:type="dxa"/>
          </w:tcPr>
          <w:p>
            <w:pPr>
              <w:pStyle w:val="TableParagraph"/>
              <w:spacing w:before="19"/>
              <w:ind w:left="224" w:right="211"/>
              <w:jc w:val="center"/>
              <w:rPr>
                <w:sz w:val="20"/>
              </w:rPr>
            </w:pPr>
            <w:r>
              <w:rPr>
                <w:sz w:val="20"/>
              </w:rPr>
              <w:t>03</w:t>
            </w:r>
          </w:p>
        </w:tc>
        <w:tc>
          <w:tcPr>
            <w:tcW w:w="775" w:type="dxa"/>
          </w:tcPr>
          <w:p>
            <w:pPr>
              <w:pStyle w:val="TableParagraph"/>
              <w:spacing w:before="19"/>
              <w:ind w:left="268" w:right="256"/>
              <w:jc w:val="center"/>
              <w:rPr>
                <w:sz w:val="20"/>
              </w:rPr>
            </w:pPr>
            <w:r>
              <w:rPr>
                <w:sz w:val="20"/>
              </w:rPr>
              <w:t>04</w:t>
            </w:r>
          </w:p>
        </w:tc>
        <w:tc>
          <w:tcPr>
            <w:tcW w:w="784" w:type="dxa"/>
          </w:tcPr>
          <w:p>
            <w:pPr>
              <w:pStyle w:val="TableParagraph"/>
              <w:spacing w:before="19"/>
              <w:ind w:left="273" w:right="260"/>
              <w:jc w:val="center"/>
              <w:rPr>
                <w:sz w:val="20"/>
              </w:rPr>
            </w:pPr>
            <w:r>
              <w:rPr>
                <w:sz w:val="20"/>
              </w:rPr>
              <w:t>05</w:t>
            </w:r>
          </w:p>
        </w:tc>
        <w:tc>
          <w:tcPr>
            <w:tcW w:w="849" w:type="dxa"/>
          </w:tcPr>
          <w:p>
            <w:pPr>
              <w:pStyle w:val="TableParagraph"/>
              <w:spacing w:before="19"/>
              <w:ind w:left="303" w:right="286"/>
              <w:jc w:val="center"/>
              <w:rPr>
                <w:sz w:val="20"/>
              </w:rPr>
            </w:pPr>
            <w:r>
              <w:rPr>
                <w:sz w:val="20"/>
              </w:rPr>
              <w:t>06</w:t>
            </w:r>
          </w:p>
        </w:tc>
        <w:tc>
          <w:tcPr>
            <w:tcW w:w="592" w:type="dxa"/>
          </w:tcPr>
          <w:p>
            <w:pPr>
              <w:pStyle w:val="TableParagraph"/>
              <w:spacing w:before="19"/>
              <w:ind w:left="201"/>
              <w:rPr>
                <w:sz w:val="20"/>
              </w:rPr>
            </w:pPr>
            <w:r>
              <w:rPr>
                <w:sz w:val="20"/>
              </w:rPr>
              <w:t>07</w:t>
            </w:r>
          </w:p>
        </w:tc>
        <w:tc>
          <w:tcPr>
            <w:tcW w:w="542" w:type="dxa"/>
          </w:tcPr>
          <w:p>
            <w:pPr>
              <w:pStyle w:val="TableParagraph"/>
              <w:spacing w:before="19"/>
              <w:ind w:left="175"/>
              <w:rPr>
                <w:sz w:val="20"/>
              </w:rPr>
            </w:pPr>
            <w:r>
              <w:rPr>
                <w:sz w:val="20"/>
              </w:rPr>
              <w:t>08</w:t>
            </w:r>
          </w:p>
        </w:tc>
        <w:tc>
          <w:tcPr>
            <w:tcW w:w="849" w:type="dxa"/>
          </w:tcPr>
          <w:p>
            <w:pPr>
              <w:pStyle w:val="TableParagraph"/>
              <w:ind w:left="308" w:right="282"/>
              <w:jc w:val="center"/>
              <w:rPr>
                <w:sz w:val="20"/>
              </w:rPr>
            </w:pPr>
            <w:r>
              <w:rPr>
                <w:sz w:val="20"/>
              </w:rPr>
              <w:t>09</w:t>
            </w:r>
          </w:p>
        </w:tc>
        <w:tc>
          <w:tcPr>
            <w:tcW w:w="497" w:type="dxa"/>
          </w:tcPr>
          <w:p>
            <w:pPr>
              <w:pStyle w:val="TableParagraph"/>
              <w:ind w:right="129"/>
              <w:jc w:val="right"/>
              <w:rPr>
                <w:sz w:val="20"/>
              </w:rPr>
            </w:pPr>
            <w:r>
              <w:rPr>
                <w:sz w:val="20"/>
              </w:rPr>
              <w:t>10</w:t>
            </w:r>
          </w:p>
        </w:tc>
        <w:tc>
          <w:tcPr>
            <w:tcW w:w="473" w:type="dxa"/>
          </w:tcPr>
          <w:p>
            <w:pPr>
              <w:pStyle w:val="TableParagraph"/>
              <w:ind w:right="116"/>
              <w:jc w:val="right"/>
              <w:rPr>
                <w:sz w:val="20"/>
              </w:rPr>
            </w:pPr>
            <w:r>
              <w:rPr>
                <w:sz w:val="20"/>
              </w:rPr>
              <w:t>11</w:t>
            </w:r>
          </w:p>
        </w:tc>
        <w:tc>
          <w:tcPr>
            <w:tcW w:w="540" w:type="dxa"/>
          </w:tcPr>
          <w:p>
            <w:pPr>
              <w:pStyle w:val="TableParagraph"/>
              <w:ind w:left="176"/>
              <w:rPr>
                <w:sz w:val="20"/>
              </w:rPr>
            </w:pPr>
            <w:r>
              <w:rPr>
                <w:sz w:val="20"/>
              </w:rPr>
              <w:t>12</w:t>
            </w:r>
          </w:p>
        </w:tc>
      </w:tr>
      <w:tr>
        <w:trPr>
          <w:trHeight w:val="345" w:hRule="atLeast"/>
        </w:trPr>
        <w:tc>
          <w:tcPr>
            <w:tcW w:w="2093" w:type="dxa"/>
            <w:vMerge w:val="restart"/>
          </w:tcPr>
          <w:p>
            <w:pPr>
              <w:pStyle w:val="TableParagraph"/>
              <w:spacing w:before="122"/>
              <w:ind w:left="107" w:right="131"/>
              <w:rPr>
                <w:sz w:val="18"/>
              </w:rPr>
            </w:pPr>
            <w:r>
              <w:rPr>
                <w:sz w:val="18"/>
              </w:rPr>
              <w:t>Tbc.pulmonară – pozitivi la examenul microscopic</w:t>
            </w:r>
          </w:p>
        </w:tc>
        <w:tc>
          <w:tcPr>
            <w:tcW w:w="283" w:type="dxa"/>
          </w:tcPr>
          <w:p>
            <w:pPr>
              <w:pStyle w:val="TableParagraph"/>
              <w:spacing w:before="47"/>
              <w:ind w:right="33"/>
              <w:jc w:val="right"/>
              <w:rPr>
                <w:sz w:val="18"/>
              </w:rPr>
            </w:pPr>
            <w:r>
              <w:rPr>
                <w:w w:val="99"/>
                <w:sz w:val="18"/>
              </w:rPr>
              <w:t>N</w:t>
            </w:r>
          </w:p>
        </w:tc>
        <w:tc>
          <w:tcPr>
            <w:tcW w:w="852" w:type="dxa"/>
          </w:tcPr>
          <w:p>
            <w:pPr>
              <w:pStyle w:val="TableParagraph"/>
              <w:spacing w:before="80"/>
              <w:ind w:right="95"/>
              <w:jc w:val="right"/>
              <w:rPr>
                <w:rFonts w:ascii="Arial"/>
                <w:sz w:val="16"/>
              </w:rPr>
            </w:pPr>
            <w:r>
              <w:rPr>
                <w:rFonts w:ascii="Arial"/>
                <w:sz w:val="16"/>
              </w:rPr>
              <w:t>479</w:t>
            </w:r>
          </w:p>
        </w:tc>
        <w:tc>
          <w:tcPr>
            <w:tcW w:w="729" w:type="dxa"/>
          </w:tcPr>
          <w:p>
            <w:pPr>
              <w:pStyle w:val="TableParagraph"/>
              <w:spacing w:before="80"/>
              <w:ind w:right="92"/>
              <w:jc w:val="right"/>
              <w:rPr>
                <w:rFonts w:ascii="Arial"/>
                <w:sz w:val="16"/>
              </w:rPr>
            </w:pPr>
            <w:r>
              <w:rPr>
                <w:rFonts w:ascii="Arial"/>
                <w:sz w:val="16"/>
              </w:rPr>
              <w:t>474</w:t>
            </w:r>
          </w:p>
        </w:tc>
        <w:tc>
          <w:tcPr>
            <w:tcW w:w="686" w:type="dxa"/>
          </w:tcPr>
          <w:p>
            <w:pPr>
              <w:pStyle w:val="TableParagraph"/>
              <w:spacing w:before="81"/>
              <w:ind w:right="93"/>
              <w:jc w:val="right"/>
              <w:rPr>
                <w:sz w:val="16"/>
              </w:rPr>
            </w:pPr>
            <w:r>
              <w:rPr>
                <w:sz w:val="16"/>
              </w:rPr>
              <w:t>353</w:t>
            </w:r>
          </w:p>
        </w:tc>
        <w:tc>
          <w:tcPr>
            <w:tcW w:w="775" w:type="dxa"/>
          </w:tcPr>
          <w:p>
            <w:pPr>
              <w:pStyle w:val="TableParagraph"/>
              <w:spacing w:before="81"/>
              <w:ind w:right="93"/>
              <w:jc w:val="right"/>
              <w:rPr>
                <w:sz w:val="16"/>
              </w:rPr>
            </w:pPr>
            <w:r>
              <w:rPr>
                <w:sz w:val="16"/>
              </w:rPr>
              <w:t>28</w:t>
            </w:r>
          </w:p>
        </w:tc>
        <w:tc>
          <w:tcPr>
            <w:tcW w:w="784" w:type="dxa"/>
          </w:tcPr>
          <w:p>
            <w:pPr>
              <w:pStyle w:val="TableParagraph"/>
              <w:spacing w:before="81"/>
              <w:ind w:right="91"/>
              <w:jc w:val="right"/>
              <w:rPr>
                <w:sz w:val="16"/>
              </w:rPr>
            </w:pPr>
            <w:r>
              <w:rPr>
                <w:w w:val="100"/>
                <w:sz w:val="16"/>
              </w:rPr>
              <w:t>1</w:t>
            </w:r>
          </w:p>
        </w:tc>
        <w:tc>
          <w:tcPr>
            <w:tcW w:w="849" w:type="dxa"/>
          </w:tcPr>
          <w:p>
            <w:pPr>
              <w:pStyle w:val="TableParagraph"/>
              <w:spacing w:before="81"/>
              <w:ind w:right="89"/>
              <w:jc w:val="right"/>
              <w:rPr>
                <w:sz w:val="16"/>
              </w:rPr>
            </w:pPr>
            <w:r>
              <w:rPr>
                <w:sz w:val="16"/>
              </w:rPr>
              <w:t>20</w:t>
            </w:r>
          </w:p>
        </w:tc>
        <w:tc>
          <w:tcPr>
            <w:tcW w:w="592" w:type="dxa"/>
          </w:tcPr>
          <w:p>
            <w:pPr>
              <w:pStyle w:val="TableParagraph"/>
              <w:spacing w:before="81"/>
              <w:ind w:right="88"/>
              <w:jc w:val="right"/>
              <w:rPr>
                <w:sz w:val="16"/>
              </w:rPr>
            </w:pPr>
            <w:r>
              <w:rPr>
                <w:sz w:val="16"/>
              </w:rPr>
              <w:t>19</w:t>
            </w:r>
          </w:p>
        </w:tc>
        <w:tc>
          <w:tcPr>
            <w:tcW w:w="542" w:type="dxa"/>
          </w:tcPr>
          <w:p>
            <w:pPr>
              <w:pStyle w:val="TableParagraph"/>
              <w:spacing w:before="81"/>
              <w:ind w:right="89"/>
              <w:jc w:val="right"/>
              <w:rPr>
                <w:sz w:val="16"/>
              </w:rPr>
            </w:pPr>
            <w:r>
              <w:rPr>
                <w:w w:val="100"/>
                <w:sz w:val="16"/>
              </w:rPr>
              <w:t>7</w:t>
            </w:r>
          </w:p>
        </w:tc>
        <w:tc>
          <w:tcPr>
            <w:tcW w:w="849" w:type="dxa"/>
          </w:tcPr>
          <w:p>
            <w:pPr>
              <w:pStyle w:val="TableParagraph"/>
              <w:spacing w:before="81"/>
              <w:ind w:right="86"/>
              <w:jc w:val="right"/>
              <w:rPr>
                <w:sz w:val="16"/>
              </w:rPr>
            </w:pPr>
            <w:r>
              <w:rPr>
                <w:sz w:val="16"/>
              </w:rPr>
              <w:t>15</w:t>
            </w:r>
          </w:p>
        </w:tc>
        <w:tc>
          <w:tcPr>
            <w:tcW w:w="497" w:type="dxa"/>
          </w:tcPr>
          <w:p>
            <w:pPr>
              <w:pStyle w:val="TableParagraph"/>
              <w:spacing w:before="81"/>
              <w:ind w:right="87"/>
              <w:jc w:val="right"/>
              <w:rPr>
                <w:sz w:val="16"/>
              </w:rPr>
            </w:pPr>
            <w:r>
              <w:rPr>
                <w:sz w:val="16"/>
              </w:rPr>
              <w:t>24</w:t>
            </w:r>
          </w:p>
        </w:tc>
        <w:tc>
          <w:tcPr>
            <w:tcW w:w="473" w:type="dxa"/>
          </w:tcPr>
          <w:p>
            <w:pPr>
              <w:pStyle w:val="TableParagraph"/>
              <w:spacing w:before="81"/>
              <w:ind w:right="88"/>
              <w:jc w:val="right"/>
              <w:rPr>
                <w:sz w:val="16"/>
              </w:rPr>
            </w:pPr>
            <w:r>
              <w:rPr>
                <w:w w:val="100"/>
                <w:sz w:val="16"/>
              </w:rPr>
              <w:t>7</w:t>
            </w:r>
          </w:p>
        </w:tc>
        <w:tc>
          <w:tcPr>
            <w:tcW w:w="540" w:type="dxa"/>
          </w:tcPr>
          <w:p>
            <w:pPr>
              <w:pStyle w:val="TableParagraph"/>
              <w:spacing w:before="81"/>
              <w:ind w:right="88"/>
              <w:jc w:val="right"/>
              <w:rPr>
                <w:sz w:val="16"/>
              </w:rPr>
            </w:pPr>
            <w:r>
              <w:rPr>
                <w:w w:val="100"/>
                <w:sz w:val="16"/>
              </w:rPr>
              <w:t>5</w:t>
            </w:r>
          </w:p>
        </w:tc>
      </w:tr>
      <w:tr>
        <w:trPr>
          <w:trHeight w:val="345" w:hRule="atLeast"/>
        </w:trPr>
        <w:tc>
          <w:tcPr>
            <w:tcW w:w="2093" w:type="dxa"/>
            <w:vMerge/>
            <w:tcBorders>
              <w:top w:val="nil"/>
            </w:tcBorders>
          </w:tcPr>
          <w:p>
            <w:pPr>
              <w:rPr>
                <w:sz w:val="2"/>
                <w:szCs w:val="2"/>
              </w:rPr>
            </w:pPr>
          </w:p>
        </w:tc>
        <w:tc>
          <w:tcPr>
            <w:tcW w:w="283" w:type="dxa"/>
          </w:tcPr>
          <w:p>
            <w:pPr>
              <w:pStyle w:val="TableParagraph"/>
              <w:spacing w:before="47"/>
              <w:ind w:right="42"/>
              <w:jc w:val="right"/>
              <w:rPr>
                <w:sz w:val="18"/>
              </w:rPr>
            </w:pPr>
            <w:r>
              <w:rPr>
                <w:sz w:val="18"/>
              </w:rPr>
              <w:t>R</w:t>
            </w:r>
          </w:p>
        </w:tc>
        <w:tc>
          <w:tcPr>
            <w:tcW w:w="852" w:type="dxa"/>
          </w:tcPr>
          <w:p>
            <w:pPr>
              <w:pStyle w:val="TableParagraph"/>
              <w:spacing w:before="80"/>
              <w:ind w:right="95"/>
              <w:jc w:val="right"/>
              <w:rPr>
                <w:rFonts w:ascii="Arial"/>
                <w:sz w:val="16"/>
              </w:rPr>
            </w:pPr>
            <w:r>
              <w:rPr>
                <w:rFonts w:ascii="Arial"/>
                <w:sz w:val="16"/>
              </w:rPr>
              <w:t>89</w:t>
            </w:r>
          </w:p>
        </w:tc>
        <w:tc>
          <w:tcPr>
            <w:tcW w:w="729" w:type="dxa"/>
          </w:tcPr>
          <w:p>
            <w:pPr>
              <w:pStyle w:val="TableParagraph"/>
              <w:spacing w:before="80"/>
              <w:ind w:right="92"/>
              <w:jc w:val="right"/>
              <w:rPr>
                <w:rFonts w:ascii="Arial"/>
                <w:sz w:val="16"/>
              </w:rPr>
            </w:pPr>
            <w:r>
              <w:rPr>
                <w:rFonts w:ascii="Arial"/>
                <w:sz w:val="16"/>
              </w:rPr>
              <w:t>89</w:t>
            </w:r>
          </w:p>
        </w:tc>
        <w:tc>
          <w:tcPr>
            <w:tcW w:w="686" w:type="dxa"/>
          </w:tcPr>
          <w:p>
            <w:pPr>
              <w:pStyle w:val="TableParagraph"/>
              <w:spacing w:before="81"/>
              <w:ind w:right="91"/>
              <w:jc w:val="right"/>
              <w:rPr>
                <w:sz w:val="16"/>
              </w:rPr>
            </w:pPr>
            <w:r>
              <w:rPr>
                <w:sz w:val="16"/>
              </w:rPr>
              <w:t>45</w:t>
            </w:r>
          </w:p>
        </w:tc>
        <w:tc>
          <w:tcPr>
            <w:tcW w:w="775" w:type="dxa"/>
          </w:tcPr>
          <w:p>
            <w:pPr>
              <w:pStyle w:val="TableParagraph"/>
              <w:spacing w:before="81"/>
              <w:ind w:right="94"/>
              <w:jc w:val="right"/>
              <w:rPr>
                <w:sz w:val="16"/>
              </w:rPr>
            </w:pPr>
            <w:r>
              <w:rPr>
                <w:w w:val="100"/>
                <w:sz w:val="16"/>
              </w:rPr>
              <w:t>6</w:t>
            </w:r>
          </w:p>
        </w:tc>
        <w:tc>
          <w:tcPr>
            <w:tcW w:w="784" w:type="dxa"/>
          </w:tcPr>
          <w:p>
            <w:pPr>
              <w:pStyle w:val="TableParagraph"/>
              <w:spacing w:before="81"/>
              <w:ind w:right="91"/>
              <w:jc w:val="right"/>
              <w:rPr>
                <w:sz w:val="16"/>
              </w:rPr>
            </w:pPr>
            <w:r>
              <w:rPr>
                <w:w w:val="100"/>
                <w:sz w:val="16"/>
              </w:rPr>
              <w:t>1</w:t>
            </w:r>
          </w:p>
        </w:tc>
        <w:tc>
          <w:tcPr>
            <w:tcW w:w="849" w:type="dxa"/>
          </w:tcPr>
          <w:p>
            <w:pPr>
              <w:pStyle w:val="TableParagraph"/>
              <w:spacing w:before="81"/>
              <w:ind w:right="89"/>
              <w:jc w:val="right"/>
              <w:rPr>
                <w:sz w:val="16"/>
              </w:rPr>
            </w:pPr>
            <w:r>
              <w:rPr>
                <w:sz w:val="16"/>
              </w:rPr>
              <w:t>14</w:t>
            </w:r>
          </w:p>
        </w:tc>
        <w:tc>
          <w:tcPr>
            <w:tcW w:w="592" w:type="dxa"/>
          </w:tcPr>
          <w:p>
            <w:pPr>
              <w:pStyle w:val="TableParagraph"/>
              <w:spacing w:before="81"/>
              <w:ind w:right="89"/>
              <w:jc w:val="right"/>
              <w:rPr>
                <w:sz w:val="16"/>
              </w:rPr>
            </w:pPr>
            <w:r>
              <w:rPr>
                <w:w w:val="100"/>
                <w:sz w:val="16"/>
              </w:rPr>
              <w:t>0</w:t>
            </w:r>
          </w:p>
        </w:tc>
        <w:tc>
          <w:tcPr>
            <w:tcW w:w="542" w:type="dxa"/>
          </w:tcPr>
          <w:p>
            <w:pPr>
              <w:pStyle w:val="TableParagraph"/>
              <w:spacing w:before="81"/>
              <w:ind w:right="89"/>
              <w:jc w:val="right"/>
              <w:rPr>
                <w:sz w:val="16"/>
              </w:rPr>
            </w:pPr>
            <w:r>
              <w:rPr>
                <w:w w:val="100"/>
                <w:sz w:val="16"/>
              </w:rPr>
              <w:t>2</w:t>
            </w:r>
          </w:p>
        </w:tc>
        <w:tc>
          <w:tcPr>
            <w:tcW w:w="849" w:type="dxa"/>
          </w:tcPr>
          <w:p>
            <w:pPr>
              <w:pStyle w:val="TableParagraph"/>
              <w:spacing w:before="81"/>
              <w:ind w:right="86"/>
              <w:jc w:val="right"/>
              <w:rPr>
                <w:sz w:val="16"/>
              </w:rPr>
            </w:pPr>
            <w:r>
              <w:rPr>
                <w:w w:val="100"/>
                <w:sz w:val="16"/>
              </w:rPr>
              <w:t>6</w:t>
            </w:r>
          </w:p>
        </w:tc>
        <w:tc>
          <w:tcPr>
            <w:tcW w:w="497" w:type="dxa"/>
          </w:tcPr>
          <w:p>
            <w:pPr>
              <w:pStyle w:val="TableParagraph"/>
              <w:spacing w:before="81"/>
              <w:ind w:right="87"/>
              <w:jc w:val="right"/>
              <w:rPr>
                <w:sz w:val="16"/>
              </w:rPr>
            </w:pPr>
            <w:r>
              <w:rPr>
                <w:sz w:val="16"/>
              </w:rPr>
              <w:t>13</w:t>
            </w:r>
          </w:p>
        </w:tc>
        <w:tc>
          <w:tcPr>
            <w:tcW w:w="473" w:type="dxa"/>
          </w:tcPr>
          <w:p>
            <w:pPr>
              <w:pStyle w:val="TableParagraph"/>
              <w:spacing w:before="81"/>
              <w:ind w:right="88"/>
              <w:jc w:val="right"/>
              <w:rPr>
                <w:sz w:val="16"/>
              </w:rPr>
            </w:pPr>
            <w:r>
              <w:rPr>
                <w:w w:val="100"/>
                <w:sz w:val="16"/>
              </w:rPr>
              <w:t>2</w:t>
            </w:r>
          </w:p>
        </w:tc>
        <w:tc>
          <w:tcPr>
            <w:tcW w:w="540" w:type="dxa"/>
          </w:tcPr>
          <w:p>
            <w:pPr>
              <w:pStyle w:val="TableParagraph"/>
              <w:spacing w:before="81"/>
              <w:ind w:right="88"/>
              <w:jc w:val="right"/>
              <w:rPr>
                <w:sz w:val="16"/>
              </w:rPr>
            </w:pPr>
            <w:r>
              <w:rPr>
                <w:w w:val="100"/>
                <w:sz w:val="16"/>
              </w:rPr>
              <w:t>0</w:t>
            </w:r>
          </w:p>
        </w:tc>
      </w:tr>
      <w:tr>
        <w:trPr>
          <w:trHeight w:val="345" w:hRule="atLeast"/>
        </w:trPr>
        <w:tc>
          <w:tcPr>
            <w:tcW w:w="2093" w:type="dxa"/>
            <w:vMerge w:val="restart"/>
          </w:tcPr>
          <w:p>
            <w:pPr>
              <w:pStyle w:val="TableParagraph"/>
              <w:spacing w:before="122"/>
              <w:ind w:left="107" w:right="131"/>
              <w:rPr>
                <w:sz w:val="18"/>
              </w:rPr>
            </w:pPr>
            <w:r>
              <w:rPr>
                <w:sz w:val="18"/>
              </w:rPr>
              <w:t>Tbc.pulmonară – pozitivi numai la cultură</w:t>
            </w:r>
          </w:p>
        </w:tc>
        <w:tc>
          <w:tcPr>
            <w:tcW w:w="283" w:type="dxa"/>
          </w:tcPr>
          <w:p>
            <w:pPr>
              <w:pStyle w:val="TableParagraph"/>
              <w:spacing w:before="47"/>
              <w:ind w:right="33"/>
              <w:jc w:val="right"/>
              <w:rPr>
                <w:sz w:val="18"/>
              </w:rPr>
            </w:pPr>
            <w:r>
              <w:rPr>
                <w:w w:val="99"/>
                <w:sz w:val="18"/>
              </w:rPr>
              <w:t>N</w:t>
            </w:r>
          </w:p>
        </w:tc>
        <w:tc>
          <w:tcPr>
            <w:tcW w:w="852" w:type="dxa"/>
          </w:tcPr>
          <w:p>
            <w:pPr>
              <w:pStyle w:val="TableParagraph"/>
              <w:spacing w:before="80"/>
              <w:ind w:right="95"/>
              <w:jc w:val="right"/>
              <w:rPr>
                <w:rFonts w:ascii="Arial"/>
                <w:sz w:val="16"/>
              </w:rPr>
            </w:pPr>
            <w:r>
              <w:rPr>
                <w:rFonts w:ascii="Arial"/>
                <w:sz w:val="16"/>
              </w:rPr>
              <w:t>139</w:t>
            </w:r>
          </w:p>
        </w:tc>
        <w:tc>
          <w:tcPr>
            <w:tcW w:w="729" w:type="dxa"/>
          </w:tcPr>
          <w:p>
            <w:pPr>
              <w:pStyle w:val="TableParagraph"/>
              <w:spacing w:before="80"/>
              <w:ind w:right="92"/>
              <w:jc w:val="right"/>
              <w:rPr>
                <w:rFonts w:ascii="Arial"/>
                <w:sz w:val="16"/>
              </w:rPr>
            </w:pPr>
            <w:r>
              <w:rPr>
                <w:rFonts w:ascii="Arial"/>
                <w:sz w:val="16"/>
              </w:rPr>
              <w:t>138</w:t>
            </w:r>
          </w:p>
        </w:tc>
        <w:tc>
          <w:tcPr>
            <w:tcW w:w="686" w:type="dxa"/>
          </w:tcPr>
          <w:p>
            <w:pPr>
              <w:pStyle w:val="TableParagraph"/>
              <w:spacing w:before="81"/>
              <w:ind w:right="91"/>
              <w:jc w:val="right"/>
              <w:rPr>
                <w:sz w:val="16"/>
              </w:rPr>
            </w:pPr>
            <w:r>
              <w:rPr>
                <w:sz w:val="16"/>
              </w:rPr>
              <w:t>99</w:t>
            </w:r>
          </w:p>
        </w:tc>
        <w:tc>
          <w:tcPr>
            <w:tcW w:w="775" w:type="dxa"/>
          </w:tcPr>
          <w:p>
            <w:pPr>
              <w:pStyle w:val="TableParagraph"/>
              <w:spacing w:before="81"/>
              <w:ind w:right="93"/>
              <w:jc w:val="right"/>
              <w:rPr>
                <w:sz w:val="16"/>
              </w:rPr>
            </w:pPr>
            <w:r>
              <w:rPr>
                <w:sz w:val="16"/>
              </w:rPr>
              <w:t>12</w:t>
            </w:r>
          </w:p>
        </w:tc>
        <w:tc>
          <w:tcPr>
            <w:tcW w:w="784" w:type="dxa"/>
          </w:tcPr>
          <w:p>
            <w:pPr>
              <w:pStyle w:val="TableParagraph"/>
              <w:spacing w:before="81"/>
              <w:ind w:right="91"/>
              <w:jc w:val="right"/>
              <w:rPr>
                <w:sz w:val="16"/>
              </w:rPr>
            </w:pPr>
            <w:r>
              <w:rPr>
                <w:w w:val="100"/>
                <w:sz w:val="16"/>
              </w:rPr>
              <w:t>0</w:t>
            </w:r>
          </w:p>
        </w:tc>
        <w:tc>
          <w:tcPr>
            <w:tcW w:w="849" w:type="dxa"/>
          </w:tcPr>
          <w:p>
            <w:pPr>
              <w:pStyle w:val="TableParagraph"/>
              <w:spacing w:before="81"/>
              <w:ind w:right="89"/>
              <w:jc w:val="right"/>
              <w:rPr>
                <w:sz w:val="16"/>
              </w:rPr>
            </w:pPr>
            <w:r>
              <w:rPr>
                <w:sz w:val="16"/>
              </w:rPr>
              <w:t>10</w:t>
            </w:r>
          </w:p>
        </w:tc>
        <w:tc>
          <w:tcPr>
            <w:tcW w:w="592" w:type="dxa"/>
          </w:tcPr>
          <w:p>
            <w:pPr>
              <w:pStyle w:val="TableParagraph"/>
              <w:spacing w:before="81"/>
              <w:ind w:right="89"/>
              <w:jc w:val="right"/>
              <w:rPr>
                <w:sz w:val="16"/>
              </w:rPr>
            </w:pPr>
            <w:r>
              <w:rPr>
                <w:w w:val="100"/>
                <w:sz w:val="16"/>
              </w:rPr>
              <w:t>6</w:t>
            </w:r>
          </w:p>
        </w:tc>
        <w:tc>
          <w:tcPr>
            <w:tcW w:w="542" w:type="dxa"/>
          </w:tcPr>
          <w:p>
            <w:pPr>
              <w:pStyle w:val="TableParagraph"/>
              <w:spacing w:before="81"/>
              <w:ind w:right="89"/>
              <w:jc w:val="right"/>
              <w:rPr>
                <w:sz w:val="16"/>
              </w:rPr>
            </w:pPr>
            <w:r>
              <w:rPr>
                <w:w w:val="100"/>
                <w:sz w:val="16"/>
              </w:rPr>
              <w:t>3</w:t>
            </w:r>
          </w:p>
        </w:tc>
        <w:tc>
          <w:tcPr>
            <w:tcW w:w="849" w:type="dxa"/>
          </w:tcPr>
          <w:p>
            <w:pPr>
              <w:pStyle w:val="TableParagraph"/>
              <w:spacing w:before="81"/>
              <w:ind w:right="86"/>
              <w:jc w:val="right"/>
              <w:rPr>
                <w:sz w:val="16"/>
              </w:rPr>
            </w:pPr>
            <w:r>
              <w:rPr>
                <w:w w:val="100"/>
                <w:sz w:val="16"/>
              </w:rPr>
              <w:t>3</w:t>
            </w:r>
          </w:p>
        </w:tc>
        <w:tc>
          <w:tcPr>
            <w:tcW w:w="497" w:type="dxa"/>
          </w:tcPr>
          <w:p>
            <w:pPr>
              <w:pStyle w:val="TableParagraph"/>
              <w:spacing w:before="81"/>
              <w:ind w:right="88"/>
              <w:jc w:val="right"/>
              <w:rPr>
                <w:sz w:val="16"/>
              </w:rPr>
            </w:pPr>
            <w:r>
              <w:rPr>
                <w:w w:val="100"/>
                <w:sz w:val="16"/>
              </w:rPr>
              <w:t>5</w:t>
            </w:r>
          </w:p>
        </w:tc>
        <w:tc>
          <w:tcPr>
            <w:tcW w:w="473" w:type="dxa"/>
          </w:tcPr>
          <w:p>
            <w:pPr>
              <w:pStyle w:val="TableParagraph"/>
              <w:spacing w:before="81"/>
              <w:ind w:right="88"/>
              <w:jc w:val="right"/>
              <w:rPr>
                <w:sz w:val="16"/>
              </w:rPr>
            </w:pPr>
            <w:r>
              <w:rPr>
                <w:w w:val="100"/>
                <w:sz w:val="16"/>
              </w:rPr>
              <w:t>0</w:t>
            </w:r>
          </w:p>
        </w:tc>
        <w:tc>
          <w:tcPr>
            <w:tcW w:w="540" w:type="dxa"/>
          </w:tcPr>
          <w:p>
            <w:pPr>
              <w:pStyle w:val="TableParagraph"/>
              <w:spacing w:before="81"/>
              <w:ind w:right="88"/>
              <w:jc w:val="right"/>
              <w:rPr>
                <w:sz w:val="16"/>
              </w:rPr>
            </w:pPr>
            <w:r>
              <w:rPr>
                <w:w w:val="100"/>
                <w:sz w:val="16"/>
              </w:rPr>
              <w:t>1</w:t>
            </w:r>
          </w:p>
        </w:tc>
      </w:tr>
      <w:tr>
        <w:trPr>
          <w:trHeight w:val="342" w:hRule="atLeast"/>
        </w:trPr>
        <w:tc>
          <w:tcPr>
            <w:tcW w:w="2093" w:type="dxa"/>
            <w:vMerge/>
            <w:tcBorders>
              <w:top w:val="nil"/>
            </w:tcBorders>
          </w:tcPr>
          <w:p>
            <w:pPr>
              <w:rPr>
                <w:sz w:val="2"/>
                <w:szCs w:val="2"/>
              </w:rPr>
            </w:pPr>
          </w:p>
        </w:tc>
        <w:tc>
          <w:tcPr>
            <w:tcW w:w="283" w:type="dxa"/>
          </w:tcPr>
          <w:p>
            <w:pPr>
              <w:pStyle w:val="TableParagraph"/>
              <w:spacing w:before="47"/>
              <w:ind w:right="42"/>
              <w:jc w:val="right"/>
              <w:rPr>
                <w:sz w:val="18"/>
              </w:rPr>
            </w:pPr>
            <w:r>
              <w:rPr>
                <w:sz w:val="18"/>
              </w:rPr>
              <w:t>R</w:t>
            </w:r>
          </w:p>
        </w:tc>
        <w:tc>
          <w:tcPr>
            <w:tcW w:w="852" w:type="dxa"/>
          </w:tcPr>
          <w:p>
            <w:pPr>
              <w:pStyle w:val="TableParagraph"/>
              <w:spacing w:before="80"/>
              <w:ind w:right="94"/>
              <w:jc w:val="right"/>
              <w:rPr>
                <w:rFonts w:ascii="Arial"/>
                <w:sz w:val="16"/>
              </w:rPr>
            </w:pPr>
            <w:r>
              <w:rPr>
                <w:rFonts w:ascii="Arial"/>
                <w:sz w:val="16"/>
              </w:rPr>
              <w:t>21</w:t>
            </w:r>
          </w:p>
        </w:tc>
        <w:tc>
          <w:tcPr>
            <w:tcW w:w="729" w:type="dxa"/>
          </w:tcPr>
          <w:p>
            <w:pPr>
              <w:pStyle w:val="TableParagraph"/>
              <w:spacing w:before="80"/>
              <w:ind w:right="92"/>
              <w:jc w:val="right"/>
              <w:rPr>
                <w:rFonts w:ascii="Arial"/>
                <w:sz w:val="16"/>
              </w:rPr>
            </w:pPr>
            <w:r>
              <w:rPr>
                <w:rFonts w:ascii="Arial"/>
                <w:sz w:val="16"/>
              </w:rPr>
              <w:t>19</w:t>
            </w:r>
          </w:p>
        </w:tc>
        <w:tc>
          <w:tcPr>
            <w:tcW w:w="686" w:type="dxa"/>
          </w:tcPr>
          <w:p>
            <w:pPr>
              <w:pStyle w:val="TableParagraph"/>
              <w:spacing w:before="81"/>
              <w:ind w:right="91"/>
              <w:jc w:val="right"/>
              <w:rPr>
                <w:sz w:val="16"/>
              </w:rPr>
            </w:pPr>
            <w:r>
              <w:rPr>
                <w:sz w:val="16"/>
              </w:rPr>
              <w:t>12</w:t>
            </w:r>
          </w:p>
        </w:tc>
        <w:tc>
          <w:tcPr>
            <w:tcW w:w="775" w:type="dxa"/>
          </w:tcPr>
          <w:p>
            <w:pPr>
              <w:pStyle w:val="TableParagraph"/>
              <w:spacing w:before="81"/>
              <w:ind w:right="94"/>
              <w:jc w:val="right"/>
              <w:rPr>
                <w:sz w:val="16"/>
              </w:rPr>
            </w:pPr>
            <w:r>
              <w:rPr>
                <w:w w:val="100"/>
                <w:sz w:val="16"/>
              </w:rPr>
              <w:t>2</w:t>
            </w:r>
          </w:p>
        </w:tc>
        <w:tc>
          <w:tcPr>
            <w:tcW w:w="784" w:type="dxa"/>
          </w:tcPr>
          <w:p>
            <w:pPr>
              <w:pStyle w:val="TableParagraph"/>
              <w:spacing w:before="81"/>
              <w:ind w:right="91"/>
              <w:jc w:val="right"/>
              <w:rPr>
                <w:sz w:val="16"/>
              </w:rPr>
            </w:pPr>
            <w:r>
              <w:rPr>
                <w:w w:val="100"/>
                <w:sz w:val="16"/>
              </w:rPr>
              <w:t>0</w:t>
            </w:r>
          </w:p>
        </w:tc>
        <w:tc>
          <w:tcPr>
            <w:tcW w:w="849" w:type="dxa"/>
          </w:tcPr>
          <w:p>
            <w:pPr>
              <w:pStyle w:val="TableParagraph"/>
              <w:spacing w:before="81"/>
              <w:ind w:right="92"/>
              <w:jc w:val="right"/>
              <w:rPr>
                <w:sz w:val="16"/>
              </w:rPr>
            </w:pPr>
            <w:r>
              <w:rPr>
                <w:w w:val="100"/>
                <w:sz w:val="16"/>
              </w:rPr>
              <w:t>1</w:t>
            </w:r>
          </w:p>
        </w:tc>
        <w:tc>
          <w:tcPr>
            <w:tcW w:w="592" w:type="dxa"/>
          </w:tcPr>
          <w:p>
            <w:pPr>
              <w:pStyle w:val="TableParagraph"/>
              <w:spacing w:before="81"/>
              <w:ind w:right="89"/>
              <w:jc w:val="right"/>
              <w:rPr>
                <w:sz w:val="16"/>
              </w:rPr>
            </w:pPr>
            <w:r>
              <w:rPr>
                <w:w w:val="100"/>
                <w:sz w:val="16"/>
              </w:rPr>
              <w:t>0</w:t>
            </w:r>
          </w:p>
        </w:tc>
        <w:tc>
          <w:tcPr>
            <w:tcW w:w="542" w:type="dxa"/>
          </w:tcPr>
          <w:p>
            <w:pPr>
              <w:pStyle w:val="TableParagraph"/>
              <w:spacing w:before="81"/>
              <w:ind w:right="89"/>
              <w:jc w:val="right"/>
              <w:rPr>
                <w:sz w:val="16"/>
              </w:rPr>
            </w:pPr>
            <w:r>
              <w:rPr>
                <w:w w:val="100"/>
                <w:sz w:val="16"/>
              </w:rPr>
              <w:t>0</w:t>
            </w:r>
          </w:p>
        </w:tc>
        <w:tc>
          <w:tcPr>
            <w:tcW w:w="849" w:type="dxa"/>
          </w:tcPr>
          <w:p>
            <w:pPr>
              <w:pStyle w:val="TableParagraph"/>
              <w:spacing w:before="81"/>
              <w:ind w:right="86"/>
              <w:jc w:val="right"/>
              <w:rPr>
                <w:sz w:val="16"/>
              </w:rPr>
            </w:pPr>
            <w:r>
              <w:rPr>
                <w:w w:val="100"/>
                <w:sz w:val="16"/>
              </w:rPr>
              <w:t>2</w:t>
            </w:r>
          </w:p>
        </w:tc>
        <w:tc>
          <w:tcPr>
            <w:tcW w:w="497" w:type="dxa"/>
          </w:tcPr>
          <w:p>
            <w:pPr>
              <w:pStyle w:val="TableParagraph"/>
              <w:spacing w:before="81"/>
              <w:ind w:right="88"/>
              <w:jc w:val="right"/>
              <w:rPr>
                <w:sz w:val="16"/>
              </w:rPr>
            </w:pPr>
            <w:r>
              <w:rPr>
                <w:w w:val="100"/>
                <w:sz w:val="16"/>
              </w:rPr>
              <w:t>2</w:t>
            </w:r>
          </w:p>
        </w:tc>
        <w:tc>
          <w:tcPr>
            <w:tcW w:w="473" w:type="dxa"/>
          </w:tcPr>
          <w:p>
            <w:pPr>
              <w:pStyle w:val="TableParagraph"/>
              <w:spacing w:before="81"/>
              <w:ind w:right="88"/>
              <w:jc w:val="right"/>
              <w:rPr>
                <w:sz w:val="16"/>
              </w:rPr>
            </w:pPr>
            <w:r>
              <w:rPr>
                <w:w w:val="100"/>
                <w:sz w:val="16"/>
              </w:rPr>
              <w:t>0</w:t>
            </w:r>
          </w:p>
        </w:tc>
        <w:tc>
          <w:tcPr>
            <w:tcW w:w="540" w:type="dxa"/>
          </w:tcPr>
          <w:p>
            <w:pPr>
              <w:pStyle w:val="TableParagraph"/>
              <w:spacing w:before="81"/>
              <w:ind w:right="88"/>
              <w:jc w:val="right"/>
              <w:rPr>
                <w:sz w:val="16"/>
              </w:rPr>
            </w:pPr>
            <w:r>
              <w:rPr>
                <w:w w:val="100"/>
                <w:sz w:val="16"/>
              </w:rPr>
              <w:t>2</w:t>
            </w:r>
          </w:p>
        </w:tc>
      </w:tr>
      <w:tr>
        <w:trPr>
          <w:trHeight w:val="345" w:hRule="atLeast"/>
        </w:trPr>
        <w:tc>
          <w:tcPr>
            <w:tcW w:w="2093" w:type="dxa"/>
            <w:vMerge w:val="restart"/>
          </w:tcPr>
          <w:p>
            <w:pPr>
              <w:pStyle w:val="TableParagraph"/>
              <w:spacing w:before="124"/>
              <w:ind w:left="107" w:right="496"/>
              <w:rPr>
                <w:sz w:val="18"/>
              </w:rPr>
            </w:pPr>
            <w:r>
              <w:rPr>
                <w:sz w:val="18"/>
              </w:rPr>
              <w:t>Alte TB (pulmonare negative)</w:t>
            </w:r>
          </w:p>
        </w:tc>
        <w:tc>
          <w:tcPr>
            <w:tcW w:w="283" w:type="dxa"/>
          </w:tcPr>
          <w:p>
            <w:pPr>
              <w:pStyle w:val="TableParagraph"/>
              <w:spacing w:before="50"/>
              <w:ind w:right="33"/>
              <w:jc w:val="right"/>
              <w:rPr>
                <w:sz w:val="18"/>
              </w:rPr>
            </w:pPr>
            <w:r>
              <w:rPr>
                <w:w w:val="99"/>
                <w:sz w:val="18"/>
              </w:rPr>
              <w:t>N</w:t>
            </w:r>
          </w:p>
        </w:tc>
        <w:tc>
          <w:tcPr>
            <w:tcW w:w="852" w:type="dxa"/>
          </w:tcPr>
          <w:p>
            <w:pPr>
              <w:pStyle w:val="TableParagraph"/>
              <w:spacing w:before="82"/>
              <w:ind w:right="95"/>
              <w:jc w:val="right"/>
              <w:rPr>
                <w:rFonts w:ascii="Arial"/>
                <w:sz w:val="16"/>
              </w:rPr>
            </w:pPr>
            <w:r>
              <w:rPr>
                <w:rFonts w:ascii="Arial"/>
                <w:sz w:val="16"/>
              </w:rPr>
              <w:t>310</w:t>
            </w:r>
          </w:p>
        </w:tc>
        <w:tc>
          <w:tcPr>
            <w:tcW w:w="729" w:type="dxa"/>
          </w:tcPr>
          <w:p>
            <w:pPr>
              <w:pStyle w:val="TableParagraph"/>
              <w:spacing w:before="82"/>
              <w:ind w:right="92"/>
              <w:jc w:val="right"/>
              <w:rPr>
                <w:rFonts w:ascii="Arial"/>
                <w:sz w:val="16"/>
              </w:rPr>
            </w:pPr>
            <w:r>
              <w:rPr>
                <w:rFonts w:ascii="Arial"/>
                <w:sz w:val="16"/>
              </w:rPr>
              <w:t>303</w:t>
            </w:r>
          </w:p>
        </w:tc>
        <w:tc>
          <w:tcPr>
            <w:tcW w:w="686" w:type="dxa"/>
          </w:tcPr>
          <w:p>
            <w:pPr>
              <w:pStyle w:val="TableParagraph"/>
              <w:spacing w:before="83"/>
              <w:ind w:right="91"/>
              <w:jc w:val="right"/>
              <w:rPr>
                <w:sz w:val="16"/>
              </w:rPr>
            </w:pPr>
            <w:r>
              <w:rPr>
                <w:sz w:val="16"/>
              </w:rPr>
              <w:t>23</w:t>
            </w:r>
          </w:p>
        </w:tc>
        <w:tc>
          <w:tcPr>
            <w:tcW w:w="775" w:type="dxa"/>
          </w:tcPr>
          <w:p>
            <w:pPr>
              <w:pStyle w:val="TableParagraph"/>
              <w:spacing w:before="83"/>
              <w:ind w:right="94"/>
              <w:jc w:val="right"/>
              <w:rPr>
                <w:sz w:val="16"/>
              </w:rPr>
            </w:pPr>
            <w:r>
              <w:rPr>
                <w:sz w:val="16"/>
              </w:rPr>
              <w:t>233</w:t>
            </w:r>
          </w:p>
        </w:tc>
        <w:tc>
          <w:tcPr>
            <w:tcW w:w="784" w:type="dxa"/>
          </w:tcPr>
          <w:p>
            <w:pPr>
              <w:pStyle w:val="TableParagraph"/>
              <w:spacing w:before="83"/>
              <w:ind w:right="91"/>
              <w:jc w:val="right"/>
              <w:rPr>
                <w:sz w:val="16"/>
              </w:rPr>
            </w:pPr>
            <w:r>
              <w:rPr>
                <w:w w:val="100"/>
                <w:sz w:val="16"/>
              </w:rPr>
              <w:t>9</w:t>
            </w:r>
          </w:p>
        </w:tc>
        <w:tc>
          <w:tcPr>
            <w:tcW w:w="849" w:type="dxa"/>
          </w:tcPr>
          <w:p>
            <w:pPr>
              <w:pStyle w:val="TableParagraph"/>
              <w:spacing w:before="83"/>
              <w:ind w:right="89"/>
              <w:jc w:val="right"/>
              <w:rPr>
                <w:sz w:val="16"/>
              </w:rPr>
            </w:pPr>
            <w:r>
              <w:rPr>
                <w:sz w:val="16"/>
              </w:rPr>
              <w:t>11</w:t>
            </w:r>
          </w:p>
        </w:tc>
        <w:tc>
          <w:tcPr>
            <w:tcW w:w="592" w:type="dxa"/>
          </w:tcPr>
          <w:p>
            <w:pPr>
              <w:pStyle w:val="TableParagraph"/>
              <w:spacing w:before="83"/>
              <w:ind w:right="89"/>
              <w:jc w:val="right"/>
              <w:rPr>
                <w:sz w:val="16"/>
              </w:rPr>
            </w:pPr>
            <w:r>
              <w:rPr>
                <w:w w:val="100"/>
                <w:sz w:val="16"/>
              </w:rPr>
              <w:t>4</w:t>
            </w:r>
          </w:p>
        </w:tc>
        <w:tc>
          <w:tcPr>
            <w:tcW w:w="542" w:type="dxa"/>
          </w:tcPr>
          <w:p>
            <w:pPr>
              <w:pStyle w:val="TableParagraph"/>
              <w:spacing w:before="83"/>
              <w:ind w:right="89"/>
              <w:jc w:val="right"/>
              <w:rPr>
                <w:sz w:val="16"/>
              </w:rPr>
            </w:pPr>
            <w:r>
              <w:rPr>
                <w:w w:val="100"/>
                <w:sz w:val="16"/>
              </w:rPr>
              <w:t>4</w:t>
            </w:r>
          </w:p>
        </w:tc>
        <w:tc>
          <w:tcPr>
            <w:tcW w:w="849" w:type="dxa"/>
          </w:tcPr>
          <w:p>
            <w:pPr>
              <w:pStyle w:val="TableParagraph"/>
              <w:spacing w:before="83"/>
              <w:ind w:right="86"/>
              <w:jc w:val="right"/>
              <w:rPr>
                <w:sz w:val="16"/>
              </w:rPr>
            </w:pPr>
            <w:r>
              <w:rPr>
                <w:w w:val="100"/>
                <w:sz w:val="16"/>
              </w:rPr>
              <w:t>5</w:t>
            </w:r>
          </w:p>
        </w:tc>
        <w:tc>
          <w:tcPr>
            <w:tcW w:w="497" w:type="dxa"/>
          </w:tcPr>
          <w:p>
            <w:pPr>
              <w:pStyle w:val="TableParagraph"/>
              <w:spacing w:before="83"/>
              <w:ind w:right="88"/>
              <w:jc w:val="right"/>
              <w:rPr>
                <w:sz w:val="16"/>
              </w:rPr>
            </w:pPr>
            <w:r>
              <w:rPr>
                <w:w w:val="100"/>
                <w:sz w:val="16"/>
              </w:rPr>
              <w:t>8</w:t>
            </w:r>
          </w:p>
        </w:tc>
        <w:tc>
          <w:tcPr>
            <w:tcW w:w="473" w:type="dxa"/>
          </w:tcPr>
          <w:p>
            <w:pPr>
              <w:pStyle w:val="TableParagraph"/>
              <w:spacing w:before="83"/>
              <w:ind w:right="88"/>
              <w:jc w:val="right"/>
              <w:rPr>
                <w:sz w:val="16"/>
              </w:rPr>
            </w:pPr>
            <w:r>
              <w:rPr>
                <w:w w:val="100"/>
                <w:sz w:val="16"/>
              </w:rPr>
              <w:t>6</w:t>
            </w:r>
          </w:p>
        </w:tc>
        <w:tc>
          <w:tcPr>
            <w:tcW w:w="540" w:type="dxa"/>
          </w:tcPr>
          <w:p>
            <w:pPr>
              <w:pStyle w:val="TableParagraph"/>
              <w:spacing w:before="83"/>
              <w:ind w:right="88"/>
              <w:jc w:val="right"/>
              <w:rPr>
                <w:sz w:val="16"/>
              </w:rPr>
            </w:pPr>
            <w:r>
              <w:rPr>
                <w:w w:val="100"/>
                <w:sz w:val="16"/>
              </w:rPr>
              <w:t>7</w:t>
            </w:r>
          </w:p>
        </w:tc>
      </w:tr>
      <w:tr>
        <w:trPr>
          <w:trHeight w:val="345" w:hRule="atLeast"/>
        </w:trPr>
        <w:tc>
          <w:tcPr>
            <w:tcW w:w="2093" w:type="dxa"/>
            <w:vMerge/>
            <w:tcBorders>
              <w:top w:val="nil"/>
            </w:tcBorders>
          </w:tcPr>
          <w:p>
            <w:pPr>
              <w:rPr>
                <w:sz w:val="2"/>
                <w:szCs w:val="2"/>
              </w:rPr>
            </w:pPr>
          </w:p>
        </w:tc>
        <w:tc>
          <w:tcPr>
            <w:tcW w:w="283" w:type="dxa"/>
          </w:tcPr>
          <w:p>
            <w:pPr>
              <w:pStyle w:val="TableParagraph"/>
              <w:spacing w:before="50"/>
              <w:ind w:right="42"/>
              <w:jc w:val="right"/>
              <w:rPr>
                <w:sz w:val="18"/>
              </w:rPr>
            </w:pPr>
            <w:r>
              <w:rPr>
                <w:sz w:val="18"/>
              </w:rPr>
              <w:t>R</w:t>
            </w:r>
          </w:p>
        </w:tc>
        <w:tc>
          <w:tcPr>
            <w:tcW w:w="852" w:type="dxa"/>
          </w:tcPr>
          <w:p>
            <w:pPr>
              <w:pStyle w:val="TableParagraph"/>
              <w:spacing w:before="83"/>
              <w:ind w:right="95"/>
              <w:jc w:val="right"/>
              <w:rPr>
                <w:rFonts w:ascii="Arial"/>
                <w:sz w:val="16"/>
              </w:rPr>
            </w:pPr>
            <w:r>
              <w:rPr>
                <w:rFonts w:ascii="Arial"/>
                <w:sz w:val="16"/>
              </w:rPr>
              <w:t>29</w:t>
            </w:r>
          </w:p>
        </w:tc>
        <w:tc>
          <w:tcPr>
            <w:tcW w:w="729" w:type="dxa"/>
          </w:tcPr>
          <w:p>
            <w:pPr>
              <w:pStyle w:val="TableParagraph"/>
              <w:spacing w:before="83"/>
              <w:ind w:right="92"/>
              <w:jc w:val="right"/>
              <w:rPr>
                <w:rFonts w:ascii="Arial"/>
                <w:sz w:val="16"/>
              </w:rPr>
            </w:pPr>
            <w:r>
              <w:rPr>
                <w:rFonts w:ascii="Arial"/>
                <w:sz w:val="16"/>
              </w:rPr>
              <w:t>29</w:t>
            </w:r>
          </w:p>
        </w:tc>
        <w:tc>
          <w:tcPr>
            <w:tcW w:w="686" w:type="dxa"/>
          </w:tcPr>
          <w:p>
            <w:pPr>
              <w:pStyle w:val="TableParagraph"/>
              <w:spacing w:before="83"/>
              <w:ind w:right="94"/>
              <w:jc w:val="right"/>
              <w:rPr>
                <w:sz w:val="16"/>
              </w:rPr>
            </w:pPr>
            <w:r>
              <w:rPr>
                <w:w w:val="100"/>
                <w:sz w:val="16"/>
              </w:rPr>
              <w:t>1</w:t>
            </w:r>
          </w:p>
        </w:tc>
        <w:tc>
          <w:tcPr>
            <w:tcW w:w="775" w:type="dxa"/>
          </w:tcPr>
          <w:p>
            <w:pPr>
              <w:pStyle w:val="TableParagraph"/>
              <w:spacing w:before="83"/>
              <w:ind w:right="93"/>
              <w:jc w:val="right"/>
              <w:rPr>
                <w:sz w:val="16"/>
              </w:rPr>
            </w:pPr>
            <w:r>
              <w:rPr>
                <w:sz w:val="16"/>
              </w:rPr>
              <w:t>16</w:t>
            </w:r>
          </w:p>
        </w:tc>
        <w:tc>
          <w:tcPr>
            <w:tcW w:w="784" w:type="dxa"/>
          </w:tcPr>
          <w:p>
            <w:pPr>
              <w:pStyle w:val="TableParagraph"/>
              <w:spacing w:before="83"/>
              <w:ind w:right="91"/>
              <w:jc w:val="right"/>
              <w:rPr>
                <w:sz w:val="16"/>
              </w:rPr>
            </w:pPr>
            <w:r>
              <w:rPr>
                <w:w w:val="100"/>
                <w:sz w:val="16"/>
              </w:rPr>
              <w:t>8</w:t>
            </w:r>
          </w:p>
        </w:tc>
        <w:tc>
          <w:tcPr>
            <w:tcW w:w="849" w:type="dxa"/>
          </w:tcPr>
          <w:p>
            <w:pPr>
              <w:pStyle w:val="TableParagraph"/>
              <w:spacing w:before="83"/>
              <w:ind w:right="92"/>
              <w:jc w:val="right"/>
              <w:rPr>
                <w:sz w:val="16"/>
              </w:rPr>
            </w:pPr>
            <w:r>
              <w:rPr>
                <w:w w:val="100"/>
                <w:sz w:val="16"/>
              </w:rPr>
              <w:t>0</w:t>
            </w:r>
          </w:p>
        </w:tc>
        <w:tc>
          <w:tcPr>
            <w:tcW w:w="592" w:type="dxa"/>
          </w:tcPr>
          <w:p>
            <w:pPr>
              <w:pStyle w:val="TableParagraph"/>
              <w:spacing w:before="83"/>
              <w:ind w:right="89"/>
              <w:jc w:val="right"/>
              <w:rPr>
                <w:sz w:val="16"/>
              </w:rPr>
            </w:pPr>
            <w:r>
              <w:rPr>
                <w:w w:val="100"/>
                <w:sz w:val="16"/>
              </w:rPr>
              <w:t>0</w:t>
            </w:r>
          </w:p>
        </w:tc>
        <w:tc>
          <w:tcPr>
            <w:tcW w:w="542" w:type="dxa"/>
          </w:tcPr>
          <w:p>
            <w:pPr>
              <w:pStyle w:val="TableParagraph"/>
              <w:spacing w:before="83"/>
              <w:ind w:right="89"/>
              <w:jc w:val="right"/>
              <w:rPr>
                <w:sz w:val="16"/>
              </w:rPr>
            </w:pPr>
            <w:r>
              <w:rPr>
                <w:w w:val="100"/>
                <w:sz w:val="16"/>
              </w:rPr>
              <w:t>1</w:t>
            </w:r>
          </w:p>
        </w:tc>
        <w:tc>
          <w:tcPr>
            <w:tcW w:w="849" w:type="dxa"/>
          </w:tcPr>
          <w:p>
            <w:pPr>
              <w:pStyle w:val="TableParagraph"/>
              <w:spacing w:before="83"/>
              <w:ind w:right="86"/>
              <w:jc w:val="right"/>
              <w:rPr>
                <w:sz w:val="16"/>
              </w:rPr>
            </w:pPr>
            <w:r>
              <w:rPr>
                <w:w w:val="100"/>
                <w:sz w:val="16"/>
              </w:rPr>
              <w:t>1</w:t>
            </w:r>
          </w:p>
        </w:tc>
        <w:tc>
          <w:tcPr>
            <w:tcW w:w="497" w:type="dxa"/>
          </w:tcPr>
          <w:p>
            <w:pPr>
              <w:pStyle w:val="TableParagraph"/>
              <w:spacing w:before="83"/>
              <w:ind w:right="88"/>
              <w:jc w:val="right"/>
              <w:rPr>
                <w:sz w:val="16"/>
              </w:rPr>
            </w:pPr>
            <w:r>
              <w:rPr>
                <w:w w:val="100"/>
                <w:sz w:val="16"/>
              </w:rPr>
              <w:t>2</w:t>
            </w:r>
          </w:p>
        </w:tc>
        <w:tc>
          <w:tcPr>
            <w:tcW w:w="473" w:type="dxa"/>
          </w:tcPr>
          <w:p>
            <w:pPr>
              <w:pStyle w:val="TableParagraph"/>
              <w:spacing w:before="83"/>
              <w:ind w:right="88"/>
              <w:jc w:val="right"/>
              <w:rPr>
                <w:sz w:val="16"/>
              </w:rPr>
            </w:pPr>
            <w:r>
              <w:rPr>
                <w:w w:val="100"/>
                <w:sz w:val="16"/>
              </w:rPr>
              <w:t>0</w:t>
            </w:r>
          </w:p>
        </w:tc>
        <w:tc>
          <w:tcPr>
            <w:tcW w:w="540" w:type="dxa"/>
          </w:tcPr>
          <w:p>
            <w:pPr>
              <w:pStyle w:val="TableParagraph"/>
              <w:spacing w:before="83"/>
              <w:ind w:right="88"/>
              <w:jc w:val="right"/>
              <w:rPr>
                <w:sz w:val="16"/>
              </w:rPr>
            </w:pPr>
            <w:r>
              <w:rPr>
                <w:w w:val="100"/>
                <w:sz w:val="16"/>
              </w:rPr>
              <w:t>0</w:t>
            </w:r>
          </w:p>
        </w:tc>
      </w:tr>
    </w:tbl>
    <w:p>
      <w:pPr>
        <w:spacing w:after="0"/>
        <w:jc w:val="right"/>
        <w:rPr>
          <w:sz w:val="16"/>
        </w:rPr>
        <w:sectPr>
          <w:type w:val="continuous"/>
          <w:pgSz w:w="11910" w:h="16840"/>
          <w:pgMar w:top="1280" w:bottom="280" w:left="400" w:right="0"/>
        </w:sectPr>
      </w:pPr>
    </w:p>
    <w:p>
      <w:pPr>
        <w:spacing w:before="70"/>
        <w:ind w:left="680" w:right="0" w:firstLine="0"/>
        <w:jc w:val="left"/>
        <w:rPr>
          <w:sz w:val="20"/>
        </w:rPr>
      </w:pPr>
      <w:r>
        <w:rPr>
          <w:sz w:val="20"/>
        </w:rPr>
        <w:t>N = caz nou; R = recidive.</w:t>
      </w:r>
    </w:p>
    <w:p>
      <w:pPr>
        <w:pStyle w:val="BodyText"/>
        <w:spacing w:before="24"/>
      </w:pPr>
      <w:r>
        <w:rPr/>
        <w:t>*</w:t>
      </w:r>
      <w:r>
        <w:rPr>
          <w:position w:val="9"/>
          <w:sz w:val="16"/>
        </w:rPr>
        <w:t>) </w:t>
      </w:r>
      <w:r>
        <w:rPr/>
        <w:t>se trece anul anterior celui raportat</w:t>
      </w:r>
    </w:p>
    <w:p>
      <w:pPr>
        <w:pStyle w:val="BodyText"/>
        <w:ind w:left="0"/>
        <w:rPr>
          <w:sz w:val="28"/>
        </w:rPr>
      </w:pPr>
      <w:r>
        <w:rPr/>
        <w:br w:type="column"/>
      </w:r>
      <w:r>
        <w:rPr>
          <w:sz w:val="28"/>
        </w:rPr>
      </w:r>
    </w:p>
    <w:p>
      <w:pPr>
        <w:pStyle w:val="BodyText"/>
        <w:ind w:left="0"/>
        <w:rPr>
          <w:sz w:val="28"/>
        </w:rPr>
      </w:pPr>
    </w:p>
    <w:p>
      <w:pPr>
        <w:spacing w:before="225"/>
        <w:ind w:left="680" w:right="0" w:firstLine="0"/>
        <w:jc w:val="left"/>
        <w:rPr>
          <w:sz w:val="16"/>
        </w:rPr>
      </w:pPr>
      <w:r>
        <w:rPr>
          <w:b/>
          <w:sz w:val="24"/>
        </w:rPr>
        <w:t>Sifilis</w:t>
      </w:r>
      <w:r>
        <w:rPr>
          <w:sz w:val="24"/>
        </w:rPr>
        <w:t>*</w:t>
      </w:r>
      <w:r>
        <w:rPr>
          <w:position w:val="9"/>
          <w:sz w:val="16"/>
        </w:rPr>
        <w:t>)</w:t>
      </w:r>
    </w:p>
    <w:p>
      <w:pPr>
        <w:pStyle w:val="BodyText"/>
        <w:ind w:left="0"/>
        <w:rPr>
          <w:sz w:val="18"/>
        </w:rPr>
      </w:pPr>
      <w:r>
        <w:rPr/>
        <w:br w:type="column"/>
      </w:r>
      <w:r>
        <w:rPr>
          <w:sz w:val="18"/>
        </w:rPr>
      </w:r>
    </w:p>
    <w:p>
      <w:pPr>
        <w:pStyle w:val="BodyText"/>
        <w:ind w:left="0"/>
        <w:rPr>
          <w:sz w:val="18"/>
        </w:rPr>
      </w:pPr>
    </w:p>
    <w:p>
      <w:pPr>
        <w:pStyle w:val="BodyText"/>
        <w:ind w:left="0"/>
        <w:rPr>
          <w:sz w:val="18"/>
        </w:rPr>
      </w:pPr>
    </w:p>
    <w:p>
      <w:pPr>
        <w:pStyle w:val="BodyText"/>
        <w:ind w:left="0"/>
        <w:rPr>
          <w:sz w:val="18"/>
        </w:rPr>
      </w:pPr>
    </w:p>
    <w:p>
      <w:pPr>
        <w:pStyle w:val="BodyText"/>
        <w:ind w:left="0"/>
        <w:rPr>
          <w:sz w:val="18"/>
        </w:rPr>
      </w:pPr>
    </w:p>
    <w:p>
      <w:pPr>
        <w:spacing w:before="126"/>
        <w:ind w:left="680" w:right="0" w:firstLine="0"/>
        <w:jc w:val="left"/>
        <w:rPr>
          <w:sz w:val="16"/>
        </w:rPr>
      </w:pPr>
      <w:r>
        <w:rPr>
          <w:sz w:val="16"/>
        </w:rPr>
        <w:t>Tabel T09</w:t>
      </w:r>
    </w:p>
    <w:p>
      <w:pPr>
        <w:spacing w:after="0"/>
        <w:jc w:val="left"/>
        <w:rPr>
          <w:sz w:val="16"/>
        </w:rPr>
        <w:sectPr>
          <w:type w:val="continuous"/>
          <w:pgSz w:w="11910" w:h="16840"/>
          <w:pgMar w:top="1280" w:bottom="280" w:left="400" w:right="0"/>
          <w:cols w:num="3" w:equalWidth="0">
            <w:col w:w="4288" w:space="516"/>
            <w:col w:w="1470" w:space="3360"/>
            <w:col w:w="1876"/>
          </w:cols>
        </w:sectPr>
      </w:pPr>
    </w:p>
    <w:p>
      <w:pPr>
        <w:pStyle w:val="BodyText"/>
        <w:spacing w:before="5"/>
        <w:ind w:left="0"/>
        <w:rPr>
          <w:sz w:val="2"/>
        </w:rPr>
      </w:pP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399"/>
        <w:gridCol w:w="4226"/>
        <w:gridCol w:w="4087"/>
      </w:tblGrid>
      <w:tr>
        <w:trPr>
          <w:trHeight w:val="611" w:hRule="atLeast"/>
        </w:trPr>
        <w:tc>
          <w:tcPr>
            <w:tcW w:w="1700" w:type="dxa"/>
            <w:tcBorders>
              <w:bottom w:val="single" w:sz="6" w:space="0" w:color="000000"/>
              <w:right w:val="single" w:sz="6" w:space="0" w:color="000000"/>
            </w:tcBorders>
          </w:tcPr>
          <w:p>
            <w:pPr>
              <w:pStyle w:val="TableParagraph"/>
              <w:spacing w:before="8"/>
              <w:rPr>
                <w:sz w:val="17"/>
              </w:rPr>
            </w:pPr>
          </w:p>
          <w:p>
            <w:pPr>
              <w:pStyle w:val="TableParagraph"/>
              <w:ind w:left="398"/>
              <w:rPr>
                <w:sz w:val="20"/>
              </w:rPr>
            </w:pPr>
            <w:r>
              <w:rPr>
                <w:sz w:val="20"/>
              </w:rPr>
              <w:t>Specificare</w:t>
            </w:r>
          </w:p>
        </w:tc>
        <w:tc>
          <w:tcPr>
            <w:tcW w:w="399" w:type="dxa"/>
            <w:tcBorders>
              <w:left w:val="single" w:sz="6" w:space="0" w:color="000000"/>
              <w:bottom w:val="single" w:sz="6" w:space="0" w:color="000000"/>
              <w:right w:val="single" w:sz="6" w:space="0" w:color="000000"/>
            </w:tcBorders>
            <w:textDirection w:val="btLr"/>
          </w:tcPr>
          <w:p>
            <w:pPr>
              <w:pStyle w:val="TableParagraph"/>
              <w:spacing w:before="119"/>
              <w:ind w:left="46"/>
              <w:rPr>
                <w:sz w:val="18"/>
              </w:rPr>
            </w:pPr>
            <w:r>
              <w:rPr>
                <w:sz w:val="18"/>
              </w:rPr>
              <w:t>Rând</w:t>
            </w:r>
          </w:p>
        </w:tc>
        <w:tc>
          <w:tcPr>
            <w:tcW w:w="4226" w:type="dxa"/>
            <w:tcBorders>
              <w:left w:val="single" w:sz="6" w:space="0" w:color="000000"/>
              <w:bottom w:val="single" w:sz="6" w:space="0" w:color="000000"/>
            </w:tcBorders>
          </w:tcPr>
          <w:p>
            <w:pPr>
              <w:pStyle w:val="TableParagraph"/>
              <w:spacing w:before="8"/>
              <w:rPr>
                <w:sz w:val="17"/>
              </w:rPr>
            </w:pPr>
          </w:p>
          <w:p>
            <w:pPr>
              <w:pStyle w:val="TableParagraph"/>
              <w:ind w:left="1667" w:right="1666"/>
              <w:jc w:val="center"/>
              <w:rPr>
                <w:sz w:val="20"/>
              </w:rPr>
            </w:pPr>
            <w:r>
              <w:rPr>
                <w:sz w:val="20"/>
              </w:rPr>
              <w:t>Cazuri noi</w:t>
            </w:r>
          </w:p>
        </w:tc>
        <w:tc>
          <w:tcPr>
            <w:tcW w:w="4087" w:type="dxa"/>
            <w:tcBorders>
              <w:bottom w:val="single" w:sz="6" w:space="0" w:color="000000"/>
            </w:tcBorders>
          </w:tcPr>
          <w:p>
            <w:pPr>
              <w:pStyle w:val="TableParagraph"/>
              <w:spacing w:before="8"/>
              <w:rPr>
                <w:sz w:val="17"/>
              </w:rPr>
            </w:pPr>
          </w:p>
          <w:p>
            <w:pPr>
              <w:pStyle w:val="TableParagraph"/>
              <w:ind w:left="1272"/>
              <w:rPr>
                <w:sz w:val="20"/>
              </w:rPr>
            </w:pPr>
            <w:r>
              <w:rPr>
                <w:sz w:val="20"/>
              </w:rPr>
              <w:t>Rămaşi în evidenţă</w:t>
            </w:r>
          </w:p>
        </w:tc>
      </w:tr>
      <w:tr>
        <w:trPr>
          <w:trHeight w:val="222" w:hRule="atLeast"/>
        </w:trPr>
        <w:tc>
          <w:tcPr>
            <w:tcW w:w="1700" w:type="dxa"/>
            <w:tcBorders>
              <w:top w:val="single" w:sz="6" w:space="0" w:color="000000"/>
              <w:bottom w:val="single" w:sz="6" w:space="0" w:color="000000"/>
              <w:right w:val="single" w:sz="6" w:space="0" w:color="000000"/>
            </w:tcBorders>
          </w:tcPr>
          <w:p>
            <w:pPr>
              <w:pStyle w:val="TableParagraph"/>
              <w:spacing w:line="171" w:lineRule="exact" w:before="32"/>
              <w:ind w:left="13"/>
              <w:jc w:val="center"/>
              <w:rPr>
                <w:sz w:val="16"/>
              </w:rPr>
            </w:pPr>
            <w:r>
              <w:rPr>
                <w:w w:val="100"/>
                <w:sz w:val="16"/>
              </w:rPr>
              <w:t>A</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32"/>
              <w:ind w:left="9"/>
              <w:jc w:val="center"/>
              <w:rPr>
                <w:sz w:val="16"/>
              </w:rPr>
            </w:pPr>
            <w:r>
              <w:rPr>
                <w:w w:val="100"/>
                <w:sz w:val="16"/>
              </w:rPr>
              <w:t>B</w:t>
            </w:r>
          </w:p>
        </w:tc>
        <w:tc>
          <w:tcPr>
            <w:tcW w:w="4226" w:type="dxa"/>
            <w:tcBorders>
              <w:top w:val="single" w:sz="6" w:space="0" w:color="000000"/>
              <w:left w:val="single" w:sz="6" w:space="0" w:color="000000"/>
              <w:bottom w:val="single" w:sz="6" w:space="0" w:color="000000"/>
            </w:tcBorders>
          </w:tcPr>
          <w:p>
            <w:pPr>
              <w:pStyle w:val="TableParagraph"/>
              <w:spacing w:line="171" w:lineRule="exact" w:before="32"/>
              <w:ind w:left="1667" w:right="1663"/>
              <w:jc w:val="center"/>
              <w:rPr>
                <w:sz w:val="16"/>
              </w:rPr>
            </w:pPr>
            <w:r>
              <w:rPr>
                <w:sz w:val="16"/>
              </w:rPr>
              <w:t>01</w:t>
            </w:r>
          </w:p>
        </w:tc>
        <w:tc>
          <w:tcPr>
            <w:tcW w:w="4087" w:type="dxa"/>
            <w:tcBorders>
              <w:top w:val="single" w:sz="6" w:space="0" w:color="000000"/>
              <w:bottom w:val="single" w:sz="6" w:space="0" w:color="000000"/>
            </w:tcBorders>
          </w:tcPr>
          <w:p>
            <w:pPr>
              <w:pStyle w:val="TableParagraph"/>
              <w:spacing w:line="171" w:lineRule="exact" w:before="32"/>
              <w:ind w:left="1940" w:right="1936"/>
              <w:jc w:val="center"/>
              <w:rPr>
                <w:sz w:val="16"/>
              </w:rPr>
            </w:pPr>
            <w:r>
              <w:rPr>
                <w:sz w:val="16"/>
              </w:rPr>
              <w:t>02</w:t>
            </w:r>
          </w:p>
        </w:tc>
      </w:tr>
      <w:tr>
        <w:trPr>
          <w:trHeight w:val="467" w:hRule="atLeast"/>
        </w:trPr>
        <w:tc>
          <w:tcPr>
            <w:tcW w:w="1700" w:type="dxa"/>
            <w:tcBorders>
              <w:top w:val="single" w:sz="6" w:space="0" w:color="000000"/>
              <w:bottom w:val="single" w:sz="6" w:space="0" w:color="000000"/>
              <w:right w:val="single" w:sz="6" w:space="0" w:color="000000"/>
            </w:tcBorders>
          </w:tcPr>
          <w:p>
            <w:pPr>
              <w:pStyle w:val="TableParagraph"/>
              <w:spacing w:before="134"/>
              <w:ind w:left="55"/>
              <w:rPr>
                <w:b/>
                <w:sz w:val="20"/>
              </w:rPr>
            </w:pPr>
            <w:r>
              <w:rPr>
                <w:b/>
                <w:sz w:val="20"/>
              </w:rPr>
              <w:t>Total</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135"/>
              <w:ind w:left="98" w:right="85"/>
              <w:jc w:val="center"/>
              <w:rPr>
                <w:b/>
                <w:sz w:val="16"/>
              </w:rPr>
            </w:pPr>
            <w:r>
              <w:rPr>
                <w:b/>
                <w:sz w:val="16"/>
              </w:rPr>
              <w:t>01</w:t>
            </w:r>
          </w:p>
        </w:tc>
        <w:tc>
          <w:tcPr>
            <w:tcW w:w="4226" w:type="dxa"/>
            <w:tcBorders>
              <w:top w:val="single" w:sz="6" w:space="0" w:color="000000"/>
              <w:left w:val="single" w:sz="6" w:space="0" w:color="000000"/>
            </w:tcBorders>
          </w:tcPr>
          <w:p>
            <w:pPr>
              <w:pStyle w:val="TableParagraph"/>
              <w:spacing w:before="156"/>
              <w:ind w:right="47"/>
              <w:jc w:val="right"/>
              <w:rPr>
                <w:rFonts w:ascii="Arial"/>
                <w:sz w:val="16"/>
              </w:rPr>
            </w:pPr>
            <w:r>
              <w:rPr>
                <w:rFonts w:ascii="Arial"/>
                <w:sz w:val="16"/>
              </w:rPr>
              <w:t>118</w:t>
            </w:r>
          </w:p>
        </w:tc>
        <w:tc>
          <w:tcPr>
            <w:tcW w:w="4087" w:type="dxa"/>
            <w:tcBorders>
              <w:top w:val="single" w:sz="6" w:space="0" w:color="000000"/>
            </w:tcBorders>
          </w:tcPr>
          <w:p>
            <w:pPr>
              <w:pStyle w:val="TableParagraph"/>
              <w:spacing w:before="156"/>
              <w:ind w:right="50"/>
              <w:jc w:val="right"/>
              <w:rPr>
                <w:rFonts w:ascii="Arial"/>
                <w:sz w:val="16"/>
              </w:rPr>
            </w:pPr>
            <w:r>
              <w:rPr>
                <w:rFonts w:ascii="Arial"/>
                <w:sz w:val="16"/>
              </w:rPr>
              <w:t>313</w:t>
            </w:r>
          </w:p>
        </w:tc>
      </w:tr>
      <w:tr>
        <w:trPr>
          <w:trHeight w:val="518" w:hRule="atLeast"/>
        </w:trPr>
        <w:tc>
          <w:tcPr>
            <w:tcW w:w="1700" w:type="dxa"/>
            <w:tcBorders>
              <w:top w:val="single" w:sz="6" w:space="0" w:color="000000"/>
              <w:bottom w:val="single" w:sz="6" w:space="0" w:color="000000"/>
              <w:right w:val="single" w:sz="6" w:space="0" w:color="000000"/>
            </w:tcBorders>
          </w:tcPr>
          <w:p>
            <w:pPr>
              <w:pStyle w:val="TableParagraph"/>
              <w:spacing w:before="119"/>
              <w:ind w:left="55"/>
              <w:rPr>
                <w:sz w:val="16"/>
              </w:rPr>
            </w:pPr>
            <w:r>
              <w:rPr>
                <w:sz w:val="20"/>
              </w:rPr>
              <w:t>Urban</w:t>
            </w:r>
            <w:r>
              <w:rPr>
                <w:sz w:val="24"/>
              </w:rPr>
              <w:t>**</w:t>
            </w:r>
            <w:r>
              <w:rPr>
                <w:position w:val="9"/>
                <w:sz w:val="16"/>
              </w:rPr>
              <w:t>)</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10"/>
              <w:rPr>
                <w:sz w:val="15"/>
              </w:rPr>
            </w:pPr>
          </w:p>
          <w:p>
            <w:pPr>
              <w:pStyle w:val="TableParagraph"/>
              <w:ind w:left="98" w:right="85"/>
              <w:jc w:val="center"/>
              <w:rPr>
                <w:sz w:val="16"/>
              </w:rPr>
            </w:pPr>
            <w:r>
              <w:rPr>
                <w:sz w:val="16"/>
              </w:rPr>
              <w:t>02</w:t>
            </w:r>
          </w:p>
        </w:tc>
        <w:tc>
          <w:tcPr>
            <w:tcW w:w="4226" w:type="dxa"/>
            <w:tcBorders>
              <w:left w:val="single" w:sz="6" w:space="0" w:color="000000"/>
            </w:tcBorders>
          </w:tcPr>
          <w:p>
            <w:pPr>
              <w:pStyle w:val="TableParagraph"/>
              <w:spacing w:before="10"/>
              <w:rPr>
                <w:sz w:val="15"/>
              </w:rPr>
            </w:pPr>
          </w:p>
          <w:p>
            <w:pPr>
              <w:pStyle w:val="TableParagraph"/>
              <w:ind w:right="47"/>
              <w:jc w:val="right"/>
              <w:rPr>
                <w:rFonts w:ascii="Arial"/>
                <w:sz w:val="16"/>
              </w:rPr>
            </w:pPr>
            <w:r>
              <w:rPr>
                <w:rFonts w:ascii="Arial"/>
                <w:sz w:val="16"/>
              </w:rPr>
              <w:t>80</w:t>
            </w:r>
          </w:p>
        </w:tc>
        <w:tc>
          <w:tcPr>
            <w:tcW w:w="4087" w:type="dxa"/>
          </w:tcPr>
          <w:p>
            <w:pPr>
              <w:pStyle w:val="TableParagraph"/>
              <w:spacing w:before="10"/>
              <w:rPr>
                <w:sz w:val="15"/>
              </w:rPr>
            </w:pPr>
          </w:p>
          <w:p>
            <w:pPr>
              <w:pStyle w:val="TableParagraph"/>
              <w:ind w:right="50"/>
              <w:jc w:val="right"/>
              <w:rPr>
                <w:rFonts w:ascii="Arial"/>
                <w:sz w:val="16"/>
              </w:rPr>
            </w:pPr>
            <w:r>
              <w:rPr>
                <w:rFonts w:ascii="Arial"/>
                <w:sz w:val="16"/>
              </w:rPr>
              <w:t>222</w:t>
            </w:r>
          </w:p>
        </w:tc>
      </w:tr>
      <w:tr>
        <w:trPr>
          <w:trHeight w:val="517" w:hRule="atLeast"/>
        </w:trPr>
        <w:tc>
          <w:tcPr>
            <w:tcW w:w="1700" w:type="dxa"/>
            <w:tcBorders>
              <w:top w:val="single" w:sz="6" w:space="0" w:color="000000"/>
              <w:right w:val="single" w:sz="6" w:space="0" w:color="000000"/>
            </w:tcBorders>
          </w:tcPr>
          <w:p>
            <w:pPr>
              <w:pStyle w:val="TableParagraph"/>
              <w:spacing w:before="117"/>
              <w:ind w:left="55"/>
              <w:rPr>
                <w:sz w:val="16"/>
              </w:rPr>
            </w:pPr>
            <w:r>
              <w:rPr>
                <w:sz w:val="20"/>
              </w:rPr>
              <w:t>Rural</w:t>
            </w:r>
            <w:r>
              <w:rPr>
                <w:sz w:val="24"/>
              </w:rPr>
              <w:t>**</w:t>
            </w:r>
            <w:r>
              <w:rPr>
                <w:position w:val="9"/>
                <w:sz w:val="16"/>
              </w:rPr>
              <w:t>)</w:t>
            </w:r>
          </w:p>
        </w:tc>
        <w:tc>
          <w:tcPr>
            <w:tcW w:w="399" w:type="dxa"/>
            <w:tcBorders>
              <w:top w:val="single" w:sz="6" w:space="0" w:color="000000"/>
              <w:left w:val="single" w:sz="6" w:space="0" w:color="000000"/>
              <w:right w:val="single" w:sz="6" w:space="0" w:color="000000"/>
            </w:tcBorders>
          </w:tcPr>
          <w:p>
            <w:pPr>
              <w:pStyle w:val="TableParagraph"/>
              <w:spacing w:before="8"/>
              <w:rPr>
                <w:sz w:val="15"/>
              </w:rPr>
            </w:pPr>
          </w:p>
          <w:p>
            <w:pPr>
              <w:pStyle w:val="TableParagraph"/>
              <w:ind w:left="98" w:right="85"/>
              <w:jc w:val="center"/>
              <w:rPr>
                <w:sz w:val="16"/>
              </w:rPr>
            </w:pPr>
            <w:r>
              <w:rPr>
                <w:sz w:val="16"/>
              </w:rPr>
              <w:t>03</w:t>
            </w:r>
          </w:p>
        </w:tc>
        <w:tc>
          <w:tcPr>
            <w:tcW w:w="4226" w:type="dxa"/>
            <w:tcBorders>
              <w:left w:val="single" w:sz="6" w:space="0" w:color="000000"/>
            </w:tcBorders>
          </w:tcPr>
          <w:p>
            <w:pPr>
              <w:pStyle w:val="TableParagraph"/>
              <w:spacing w:before="7"/>
              <w:rPr>
                <w:sz w:val="15"/>
              </w:rPr>
            </w:pPr>
          </w:p>
          <w:p>
            <w:pPr>
              <w:pStyle w:val="TableParagraph"/>
              <w:ind w:right="47"/>
              <w:jc w:val="right"/>
              <w:rPr>
                <w:rFonts w:ascii="Arial"/>
                <w:sz w:val="16"/>
              </w:rPr>
            </w:pPr>
            <w:r>
              <w:rPr>
                <w:rFonts w:ascii="Arial"/>
                <w:sz w:val="16"/>
              </w:rPr>
              <w:t>38</w:t>
            </w:r>
          </w:p>
        </w:tc>
        <w:tc>
          <w:tcPr>
            <w:tcW w:w="4087" w:type="dxa"/>
          </w:tcPr>
          <w:p>
            <w:pPr>
              <w:pStyle w:val="TableParagraph"/>
              <w:spacing w:before="7"/>
              <w:rPr>
                <w:sz w:val="15"/>
              </w:rPr>
            </w:pPr>
          </w:p>
          <w:p>
            <w:pPr>
              <w:pStyle w:val="TableParagraph"/>
              <w:ind w:right="50"/>
              <w:jc w:val="right"/>
              <w:rPr>
                <w:rFonts w:ascii="Arial"/>
                <w:sz w:val="16"/>
              </w:rPr>
            </w:pPr>
            <w:r>
              <w:rPr>
                <w:rFonts w:ascii="Arial"/>
                <w:sz w:val="16"/>
              </w:rPr>
              <w:t>91</w:t>
            </w:r>
          </w:p>
        </w:tc>
      </w:tr>
    </w:tbl>
    <w:p>
      <w:pPr>
        <w:pStyle w:val="BodyText"/>
        <w:spacing w:line="279" w:lineRule="exact"/>
      </w:pPr>
      <w:r>
        <w:rPr/>
        <w:t>*</w:t>
      </w:r>
      <w:r>
        <w:rPr>
          <w:position w:val="9"/>
          <w:sz w:val="16"/>
        </w:rPr>
        <w:t>) </w:t>
      </w:r>
      <w:r>
        <w:rPr/>
        <w:t>toate formele clinice</w:t>
      </w:r>
    </w:p>
    <w:p>
      <w:pPr>
        <w:pStyle w:val="BodyText"/>
        <w:spacing w:line="284" w:lineRule="exact"/>
      </w:pPr>
      <w:r>
        <w:rPr/>
        <w:t>**</w:t>
      </w:r>
      <w:r>
        <w:rPr>
          <w:position w:val="9"/>
          <w:sz w:val="16"/>
        </w:rPr>
        <w:t>)</w:t>
      </w:r>
      <w:r>
        <w:rPr/>
        <w:t>după domiciliul stabil al pacientului</w:t>
      </w:r>
    </w:p>
    <w:p>
      <w:pPr>
        <w:pStyle w:val="BodyText"/>
        <w:ind w:left="0"/>
        <w:rPr>
          <w:sz w:val="20"/>
        </w:rPr>
      </w:pPr>
    </w:p>
    <w:p>
      <w:pPr>
        <w:pStyle w:val="BodyText"/>
        <w:ind w:left="0"/>
        <w:rPr>
          <w:sz w:val="20"/>
        </w:rPr>
      </w:pPr>
    </w:p>
    <w:p>
      <w:pPr>
        <w:pStyle w:val="BodyText"/>
        <w:spacing w:before="5"/>
        <w:ind w:left="0"/>
        <w:rPr>
          <w:sz w:val="21"/>
        </w:rPr>
      </w:pPr>
    </w:p>
    <w:p>
      <w:pPr>
        <w:pStyle w:val="Heading1"/>
        <w:spacing w:before="90"/>
        <w:ind w:left="4860" w:right="5315"/>
        <w:jc w:val="center"/>
        <w:rPr>
          <w:u w:val="none"/>
        </w:rPr>
      </w:pPr>
      <w:r>
        <w:rPr>
          <w:u w:val="none"/>
        </w:rPr>
        <w:t>Hemodializă</w:t>
      </w:r>
    </w:p>
    <w:p>
      <w:pPr>
        <w:pStyle w:val="BodyText"/>
        <w:ind w:left="0"/>
        <w:rPr>
          <w:b/>
          <w:sz w:val="12"/>
        </w:rPr>
      </w:pPr>
    </w:p>
    <w:p>
      <w:pPr>
        <w:spacing w:after="0"/>
        <w:rPr>
          <w:sz w:val="12"/>
        </w:rPr>
        <w:sectPr>
          <w:type w:val="continuous"/>
          <w:pgSz w:w="11910" w:h="16840"/>
          <w:pgMar w:top="1280" w:bottom="280" w:left="400" w:right="0"/>
        </w:sectPr>
      </w:pPr>
    </w:p>
    <w:p>
      <w:pPr>
        <w:spacing w:before="91"/>
        <w:ind w:left="730" w:right="0" w:firstLine="0"/>
        <w:jc w:val="left"/>
        <w:rPr>
          <w:b/>
          <w:sz w:val="20"/>
        </w:rPr>
      </w:pPr>
      <w:r>
        <w:rPr>
          <w:b/>
          <w:sz w:val="20"/>
        </w:rPr>
        <w:t>Insuficienţă renală cronică</w:t>
      </w:r>
    </w:p>
    <w:p>
      <w:pPr>
        <w:pStyle w:val="BodyText"/>
        <w:ind w:left="0"/>
        <w:rPr>
          <w:b/>
          <w:sz w:val="18"/>
        </w:rPr>
      </w:pPr>
      <w:r>
        <w:rPr/>
        <w:br w:type="column"/>
      </w:r>
      <w:r>
        <w:rPr>
          <w:b/>
          <w:sz w:val="18"/>
        </w:rPr>
      </w:r>
    </w:p>
    <w:p>
      <w:pPr>
        <w:spacing w:before="135"/>
        <w:ind w:left="730" w:right="0" w:firstLine="0"/>
        <w:jc w:val="left"/>
        <w:rPr>
          <w:sz w:val="16"/>
        </w:rPr>
      </w:pPr>
      <w:r>
        <w:rPr>
          <w:sz w:val="16"/>
        </w:rPr>
        <w:t>Tabel T 13</w:t>
      </w:r>
    </w:p>
    <w:p>
      <w:pPr>
        <w:spacing w:after="0"/>
        <w:jc w:val="left"/>
        <w:rPr>
          <w:sz w:val="16"/>
        </w:rPr>
        <w:sectPr>
          <w:type w:val="continuous"/>
          <w:pgSz w:w="11910" w:h="16840"/>
          <w:pgMar w:top="1280" w:bottom="280" w:left="400" w:right="0"/>
          <w:cols w:num="2" w:equalWidth="0">
            <w:col w:w="3058" w:space="5860"/>
            <w:col w:w="2592"/>
          </w:cols>
        </w:sectPr>
      </w:pP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4933"/>
        <w:gridCol w:w="1645"/>
        <w:gridCol w:w="1647"/>
      </w:tblGrid>
      <w:tr>
        <w:trPr>
          <w:trHeight w:val="311" w:hRule="atLeast"/>
        </w:trPr>
        <w:tc>
          <w:tcPr>
            <w:tcW w:w="1644" w:type="dxa"/>
          </w:tcPr>
          <w:p>
            <w:pPr>
              <w:pStyle w:val="TableParagraph"/>
              <w:spacing w:before="41"/>
              <w:ind w:left="221"/>
              <w:rPr>
                <w:sz w:val="20"/>
              </w:rPr>
            </w:pPr>
            <w:r>
              <w:rPr>
                <w:sz w:val="20"/>
              </w:rPr>
              <w:t>Număr bolnavi</w:t>
            </w:r>
          </w:p>
        </w:tc>
        <w:tc>
          <w:tcPr>
            <w:tcW w:w="4933" w:type="dxa"/>
          </w:tcPr>
          <w:p>
            <w:pPr>
              <w:pStyle w:val="TableParagraph"/>
              <w:spacing w:before="41"/>
              <w:ind w:left="1781" w:right="1773"/>
              <w:jc w:val="center"/>
              <w:rPr>
                <w:sz w:val="20"/>
              </w:rPr>
            </w:pPr>
            <w:r>
              <w:rPr>
                <w:sz w:val="20"/>
              </w:rPr>
              <w:t>Bolnavi dializaţi</w:t>
            </w:r>
          </w:p>
        </w:tc>
        <w:tc>
          <w:tcPr>
            <w:tcW w:w="1645" w:type="dxa"/>
          </w:tcPr>
          <w:p>
            <w:pPr>
              <w:pStyle w:val="TableParagraph"/>
              <w:spacing w:before="41"/>
              <w:ind w:left="545"/>
              <w:rPr>
                <w:sz w:val="20"/>
              </w:rPr>
            </w:pPr>
            <w:r>
              <w:rPr>
                <w:sz w:val="20"/>
              </w:rPr>
              <w:t>Număr</w:t>
            </w:r>
          </w:p>
        </w:tc>
        <w:tc>
          <w:tcPr>
            <w:tcW w:w="1647" w:type="dxa"/>
          </w:tcPr>
          <w:p>
            <w:pPr>
              <w:pStyle w:val="TableParagraph"/>
              <w:spacing w:before="41"/>
              <w:ind w:left="119"/>
              <w:rPr>
                <w:sz w:val="20"/>
              </w:rPr>
            </w:pPr>
            <w:r>
              <w:rPr>
                <w:sz w:val="20"/>
              </w:rPr>
              <w:t>Număr schimburi</w:t>
            </w:r>
          </w:p>
        </w:tc>
      </w:tr>
    </w:tbl>
    <w:p>
      <w:pPr>
        <w:spacing w:after="0"/>
        <w:rPr>
          <w:sz w:val="20"/>
        </w:rPr>
        <w:sectPr>
          <w:type w:val="continuous"/>
          <w:pgSz w:w="11910" w:h="16840"/>
          <w:pgMar w:top="1280" w:bottom="280" w:left="400" w:right="0"/>
        </w:sectPr>
      </w:pP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1644"/>
        <w:gridCol w:w="1644"/>
        <w:gridCol w:w="1644"/>
        <w:gridCol w:w="1645"/>
        <w:gridCol w:w="1647"/>
      </w:tblGrid>
      <w:tr>
        <w:trPr>
          <w:trHeight w:val="268" w:hRule="atLeast"/>
        </w:trPr>
        <w:tc>
          <w:tcPr>
            <w:tcW w:w="1644" w:type="dxa"/>
            <w:vMerge w:val="restart"/>
          </w:tcPr>
          <w:p>
            <w:pPr>
              <w:pStyle w:val="TableParagraph"/>
              <w:ind w:left="156" w:right="145"/>
              <w:jc w:val="center"/>
              <w:rPr>
                <w:sz w:val="20"/>
              </w:rPr>
            </w:pPr>
            <w:r>
              <w:rPr>
                <w:sz w:val="20"/>
              </w:rPr>
              <w:t>cu insuficienţă renală cronică în evidenţă</w:t>
            </w:r>
          </w:p>
        </w:tc>
        <w:tc>
          <w:tcPr>
            <w:tcW w:w="1644" w:type="dxa"/>
            <w:vMerge w:val="restart"/>
          </w:tcPr>
          <w:p>
            <w:pPr>
              <w:pStyle w:val="TableParagraph"/>
              <w:spacing w:before="2"/>
              <w:rPr>
                <w:sz w:val="22"/>
              </w:rPr>
            </w:pPr>
          </w:p>
          <w:p>
            <w:pPr>
              <w:pStyle w:val="TableParagraph"/>
              <w:ind w:left="494"/>
              <w:rPr>
                <w:sz w:val="20"/>
              </w:rPr>
            </w:pPr>
            <w:r>
              <w:rPr>
                <w:sz w:val="20"/>
              </w:rPr>
              <w:t>TOTAL</w:t>
            </w:r>
          </w:p>
        </w:tc>
        <w:tc>
          <w:tcPr>
            <w:tcW w:w="3288" w:type="dxa"/>
            <w:gridSpan w:val="2"/>
            <w:tcBorders>
              <w:bottom w:val="single" w:sz="6" w:space="0" w:color="000000"/>
            </w:tcBorders>
          </w:tcPr>
          <w:p>
            <w:pPr>
              <w:pStyle w:val="TableParagraph"/>
              <w:spacing w:line="229" w:lineRule="exact" w:before="19"/>
              <w:ind w:left="1275" w:right="1267"/>
              <w:jc w:val="center"/>
              <w:rPr>
                <w:sz w:val="20"/>
              </w:rPr>
            </w:pPr>
            <w:r>
              <w:rPr>
                <w:sz w:val="20"/>
              </w:rPr>
              <w:t>din care:</w:t>
            </w:r>
          </w:p>
        </w:tc>
        <w:tc>
          <w:tcPr>
            <w:tcW w:w="1645" w:type="dxa"/>
            <w:vMerge w:val="restart"/>
          </w:tcPr>
          <w:p>
            <w:pPr>
              <w:pStyle w:val="TableParagraph"/>
              <w:ind w:left="314" w:right="303"/>
              <w:jc w:val="center"/>
              <w:rPr>
                <w:sz w:val="20"/>
              </w:rPr>
            </w:pPr>
            <w:r>
              <w:rPr>
                <w:sz w:val="20"/>
              </w:rPr>
              <w:t>total şedinţe de     hemodializă</w:t>
            </w:r>
          </w:p>
        </w:tc>
        <w:tc>
          <w:tcPr>
            <w:tcW w:w="1647" w:type="dxa"/>
            <w:vMerge w:val="restart"/>
          </w:tcPr>
          <w:p>
            <w:pPr>
              <w:pStyle w:val="TableParagraph"/>
              <w:ind w:left="377" w:firstLine="57"/>
              <w:rPr>
                <w:sz w:val="20"/>
              </w:rPr>
            </w:pPr>
            <w:r>
              <w:rPr>
                <w:sz w:val="20"/>
              </w:rPr>
              <w:t>de dializă </w:t>
            </w:r>
            <w:r>
              <w:rPr>
                <w:w w:val="95"/>
                <w:sz w:val="20"/>
              </w:rPr>
              <w:t>peritoneală</w:t>
            </w:r>
          </w:p>
        </w:tc>
      </w:tr>
      <w:tr>
        <w:trPr>
          <w:trHeight w:val="455" w:hRule="atLeast"/>
        </w:trPr>
        <w:tc>
          <w:tcPr>
            <w:tcW w:w="1644" w:type="dxa"/>
            <w:vMerge/>
            <w:tcBorders>
              <w:top w:val="nil"/>
            </w:tcBorders>
          </w:tcPr>
          <w:p>
            <w:pPr>
              <w:rPr>
                <w:sz w:val="2"/>
                <w:szCs w:val="2"/>
              </w:rPr>
            </w:pPr>
          </w:p>
        </w:tc>
        <w:tc>
          <w:tcPr>
            <w:tcW w:w="1644" w:type="dxa"/>
            <w:vMerge/>
            <w:tcBorders>
              <w:top w:val="nil"/>
            </w:tcBorders>
          </w:tcPr>
          <w:p>
            <w:pPr>
              <w:rPr>
                <w:sz w:val="2"/>
                <w:szCs w:val="2"/>
              </w:rPr>
            </w:pPr>
          </w:p>
        </w:tc>
        <w:tc>
          <w:tcPr>
            <w:tcW w:w="1644" w:type="dxa"/>
            <w:tcBorders>
              <w:top w:val="single" w:sz="6" w:space="0" w:color="000000"/>
            </w:tcBorders>
          </w:tcPr>
          <w:p>
            <w:pPr>
              <w:pStyle w:val="TableParagraph"/>
              <w:spacing w:before="113"/>
              <w:ind w:left="310"/>
              <w:rPr>
                <w:sz w:val="20"/>
              </w:rPr>
            </w:pPr>
            <w:r>
              <w:rPr>
                <w:sz w:val="20"/>
              </w:rPr>
              <w:t>Hemodializă</w:t>
            </w:r>
          </w:p>
        </w:tc>
        <w:tc>
          <w:tcPr>
            <w:tcW w:w="1644" w:type="dxa"/>
            <w:tcBorders>
              <w:top w:val="single" w:sz="6" w:space="0" w:color="000000"/>
            </w:tcBorders>
          </w:tcPr>
          <w:p>
            <w:pPr>
              <w:pStyle w:val="TableParagraph"/>
              <w:spacing w:line="228" w:lineRule="exact" w:before="2"/>
              <w:ind w:left="377" w:right="348" w:firstLine="156"/>
              <w:rPr>
                <w:sz w:val="20"/>
              </w:rPr>
            </w:pPr>
            <w:r>
              <w:rPr>
                <w:sz w:val="20"/>
              </w:rPr>
              <w:t>Dializă peritoneală</w:t>
            </w: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218" w:hRule="atLeast"/>
        </w:trPr>
        <w:tc>
          <w:tcPr>
            <w:tcW w:w="1644" w:type="dxa"/>
          </w:tcPr>
          <w:p>
            <w:pPr>
              <w:pStyle w:val="TableParagraph"/>
              <w:spacing w:line="180" w:lineRule="exact" w:before="18"/>
              <w:ind w:left="156" w:right="144"/>
              <w:jc w:val="center"/>
              <w:rPr>
                <w:sz w:val="16"/>
              </w:rPr>
            </w:pPr>
            <w:r>
              <w:rPr>
                <w:sz w:val="16"/>
              </w:rPr>
              <w:t>01</w:t>
            </w:r>
          </w:p>
        </w:tc>
        <w:tc>
          <w:tcPr>
            <w:tcW w:w="1644" w:type="dxa"/>
          </w:tcPr>
          <w:p>
            <w:pPr>
              <w:pStyle w:val="TableParagraph"/>
              <w:spacing w:line="180" w:lineRule="exact" w:before="18"/>
              <w:ind w:left="156" w:right="142"/>
              <w:jc w:val="center"/>
              <w:rPr>
                <w:sz w:val="16"/>
              </w:rPr>
            </w:pPr>
            <w:r>
              <w:rPr>
                <w:sz w:val="16"/>
              </w:rPr>
              <w:t>02</w:t>
            </w:r>
          </w:p>
        </w:tc>
        <w:tc>
          <w:tcPr>
            <w:tcW w:w="1644" w:type="dxa"/>
          </w:tcPr>
          <w:p>
            <w:pPr>
              <w:pStyle w:val="TableParagraph"/>
              <w:spacing w:line="180" w:lineRule="exact" w:before="18"/>
              <w:ind w:left="156" w:right="142"/>
              <w:jc w:val="center"/>
              <w:rPr>
                <w:sz w:val="16"/>
              </w:rPr>
            </w:pPr>
            <w:r>
              <w:rPr>
                <w:sz w:val="16"/>
              </w:rPr>
              <w:t>03</w:t>
            </w:r>
          </w:p>
        </w:tc>
        <w:tc>
          <w:tcPr>
            <w:tcW w:w="1644" w:type="dxa"/>
          </w:tcPr>
          <w:p>
            <w:pPr>
              <w:pStyle w:val="TableParagraph"/>
              <w:spacing w:line="180" w:lineRule="exact" w:before="18"/>
              <w:ind w:left="156" w:right="142"/>
              <w:jc w:val="center"/>
              <w:rPr>
                <w:sz w:val="16"/>
              </w:rPr>
            </w:pPr>
            <w:r>
              <w:rPr>
                <w:sz w:val="16"/>
              </w:rPr>
              <w:t>04</w:t>
            </w:r>
          </w:p>
        </w:tc>
        <w:tc>
          <w:tcPr>
            <w:tcW w:w="1645" w:type="dxa"/>
          </w:tcPr>
          <w:p>
            <w:pPr>
              <w:pStyle w:val="TableParagraph"/>
              <w:spacing w:line="180" w:lineRule="exact" w:before="18"/>
              <w:ind w:left="314" w:right="299"/>
              <w:jc w:val="center"/>
              <w:rPr>
                <w:sz w:val="16"/>
              </w:rPr>
            </w:pPr>
            <w:r>
              <w:rPr>
                <w:sz w:val="16"/>
              </w:rPr>
              <w:t>05</w:t>
            </w:r>
          </w:p>
        </w:tc>
        <w:tc>
          <w:tcPr>
            <w:tcW w:w="1647" w:type="dxa"/>
          </w:tcPr>
          <w:p>
            <w:pPr>
              <w:pStyle w:val="TableParagraph"/>
              <w:spacing w:line="180" w:lineRule="exact" w:before="18"/>
              <w:ind w:left="724" w:right="713"/>
              <w:jc w:val="center"/>
              <w:rPr>
                <w:sz w:val="16"/>
              </w:rPr>
            </w:pPr>
            <w:r>
              <w:rPr>
                <w:sz w:val="16"/>
              </w:rPr>
              <w:t>06</w:t>
            </w:r>
          </w:p>
        </w:tc>
      </w:tr>
      <w:tr>
        <w:trPr>
          <w:trHeight w:val="445" w:hRule="atLeast"/>
        </w:trPr>
        <w:tc>
          <w:tcPr>
            <w:tcW w:w="1644" w:type="dxa"/>
          </w:tcPr>
          <w:p>
            <w:pPr>
              <w:pStyle w:val="TableParagraph"/>
              <w:spacing w:before="121"/>
              <w:ind w:right="94"/>
              <w:jc w:val="right"/>
              <w:rPr>
                <w:sz w:val="16"/>
              </w:rPr>
            </w:pPr>
            <w:r>
              <w:rPr>
                <w:sz w:val="16"/>
              </w:rPr>
              <w:t>2789</w:t>
            </w:r>
          </w:p>
        </w:tc>
        <w:tc>
          <w:tcPr>
            <w:tcW w:w="1644" w:type="dxa"/>
          </w:tcPr>
          <w:p>
            <w:pPr>
              <w:pStyle w:val="TableParagraph"/>
              <w:spacing w:before="121"/>
              <w:ind w:right="94"/>
              <w:jc w:val="right"/>
              <w:rPr>
                <w:sz w:val="16"/>
              </w:rPr>
            </w:pPr>
            <w:r>
              <w:rPr>
                <w:sz w:val="16"/>
              </w:rPr>
              <w:t>2587</w:t>
            </w:r>
          </w:p>
        </w:tc>
        <w:tc>
          <w:tcPr>
            <w:tcW w:w="1644" w:type="dxa"/>
          </w:tcPr>
          <w:p>
            <w:pPr>
              <w:pStyle w:val="TableParagraph"/>
              <w:spacing w:before="121"/>
              <w:ind w:right="94"/>
              <w:jc w:val="right"/>
              <w:rPr>
                <w:sz w:val="16"/>
              </w:rPr>
            </w:pPr>
            <w:r>
              <w:rPr>
                <w:sz w:val="16"/>
              </w:rPr>
              <w:t>2439</w:t>
            </w:r>
          </w:p>
        </w:tc>
        <w:tc>
          <w:tcPr>
            <w:tcW w:w="1644" w:type="dxa"/>
          </w:tcPr>
          <w:p>
            <w:pPr>
              <w:pStyle w:val="TableParagraph"/>
              <w:spacing w:before="121"/>
              <w:ind w:right="93"/>
              <w:jc w:val="right"/>
              <w:rPr>
                <w:sz w:val="16"/>
              </w:rPr>
            </w:pPr>
            <w:r>
              <w:rPr>
                <w:sz w:val="16"/>
              </w:rPr>
              <w:t>148</w:t>
            </w:r>
          </w:p>
        </w:tc>
        <w:tc>
          <w:tcPr>
            <w:tcW w:w="1645" w:type="dxa"/>
          </w:tcPr>
          <w:p>
            <w:pPr>
              <w:pStyle w:val="TableParagraph"/>
              <w:spacing w:before="121"/>
              <w:ind w:right="94"/>
              <w:jc w:val="right"/>
              <w:rPr>
                <w:sz w:val="16"/>
              </w:rPr>
            </w:pPr>
            <w:r>
              <w:rPr>
                <w:sz w:val="16"/>
              </w:rPr>
              <w:t>36778</w:t>
            </w:r>
          </w:p>
        </w:tc>
        <w:tc>
          <w:tcPr>
            <w:tcW w:w="1647" w:type="dxa"/>
          </w:tcPr>
          <w:p>
            <w:pPr>
              <w:pStyle w:val="TableParagraph"/>
              <w:spacing w:before="121"/>
              <w:ind w:right="96"/>
              <w:jc w:val="right"/>
              <w:rPr>
                <w:sz w:val="16"/>
              </w:rPr>
            </w:pPr>
            <w:r>
              <w:rPr>
                <w:sz w:val="16"/>
              </w:rPr>
              <w:t>34917</w:t>
            </w:r>
          </w:p>
        </w:tc>
      </w:tr>
    </w:tbl>
    <w:p>
      <w:pPr>
        <w:pStyle w:val="BodyText"/>
        <w:ind w:left="0"/>
        <w:rPr>
          <w:sz w:val="14"/>
        </w:rPr>
      </w:pPr>
    </w:p>
    <w:p>
      <w:pPr>
        <w:spacing w:after="0"/>
        <w:rPr>
          <w:sz w:val="14"/>
        </w:rPr>
        <w:sectPr>
          <w:pgSz w:w="11910" w:h="16840"/>
          <w:pgMar w:header="0" w:footer="658" w:top="1420" w:bottom="920" w:left="400" w:right="0"/>
        </w:sectPr>
      </w:pPr>
    </w:p>
    <w:p>
      <w:pPr>
        <w:spacing w:before="91"/>
        <w:ind w:left="730" w:right="0" w:firstLine="0"/>
        <w:jc w:val="left"/>
        <w:rPr>
          <w:b/>
          <w:sz w:val="20"/>
        </w:rPr>
      </w:pPr>
      <w:r>
        <w:rPr>
          <w:b/>
          <w:sz w:val="20"/>
        </w:rPr>
        <w:t>Insuficienţă renala acută</w:t>
      </w:r>
    </w:p>
    <w:p>
      <w:pPr>
        <w:pStyle w:val="BodyText"/>
        <w:ind w:left="0"/>
        <w:rPr>
          <w:b/>
          <w:sz w:val="18"/>
        </w:rPr>
      </w:pPr>
      <w:r>
        <w:rPr/>
        <w:br w:type="column"/>
      </w:r>
      <w:r>
        <w:rPr>
          <w:b/>
          <w:sz w:val="18"/>
        </w:rPr>
      </w:r>
    </w:p>
    <w:p>
      <w:pPr>
        <w:spacing w:before="133"/>
        <w:ind w:left="730" w:right="0" w:firstLine="0"/>
        <w:jc w:val="left"/>
        <w:rPr>
          <w:sz w:val="16"/>
        </w:rPr>
      </w:pPr>
      <w:r>
        <w:rPr>
          <w:sz w:val="16"/>
        </w:rPr>
        <w:t>Tabel T 14</w:t>
      </w:r>
    </w:p>
    <w:p>
      <w:pPr>
        <w:spacing w:after="0"/>
        <w:jc w:val="left"/>
        <w:rPr>
          <w:sz w:val="16"/>
        </w:rPr>
        <w:sectPr>
          <w:type w:val="continuous"/>
          <w:pgSz w:w="11910" w:h="16840"/>
          <w:pgMar w:top="1280" w:bottom="280" w:left="400" w:right="0"/>
          <w:cols w:num="2" w:equalWidth="0">
            <w:col w:w="2893" w:space="6024"/>
            <w:col w:w="2593"/>
          </w:cols>
        </w:sectPr>
      </w:pPr>
    </w:p>
    <w:tbl>
      <w:tblPr>
        <w:tblW w:w="0" w:type="auto"/>
        <w:jc w:val="lef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023"/>
        <w:gridCol w:w="1020"/>
        <w:gridCol w:w="1078"/>
        <w:gridCol w:w="1020"/>
        <w:gridCol w:w="1022"/>
        <w:gridCol w:w="1020"/>
        <w:gridCol w:w="1077"/>
        <w:gridCol w:w="1020"/>
      </w:tblGrid>
      <w:tr>
        <w:trPr>
          <w:trHeight w:val="309" w:hRule="atLeast"/>
        </w:trPr>
        <w:tc>
          <w:tcPr>
            <w:tcW w:w="1589" w:type="dxa"/>
            <w:vMerge w:val="restart"/>
          </w:tcPr>
          <w:p>
            <w:pPr>
              <w:pStyle w:val="TableParagraph"/>
              <w:ind w:left="171" w:right="162"/>
              <w:jc w:val="center"/>
              <w:rPr>
                <w:sz w:val="20"/>
              </w:rPr>
            </w:pPr>
            <w:r>
              <w:rPr>
                <w:sz w:val="20"/>
              </w:rPr>
              <w:t>Număr bolnavi cu insuficienţă renală acută, intoxicaţii,</w:t>
            </w:r>
          </w:p>
          <w:p>
            <w:pPr>
              <w:pStyle w:val="TableParagraph"/>
              <w:spacing w:line="209" w:lineRule="exact"/>
              <w:ind w:left="168" w:right="162"/>
              <w:jc w:val="center"/>
              <w:rPr>
                <w:sz w:val="20"/>
              </w:rPr>
            </w:pPr>
            <w:r>
              <w:rPr>
                <w:sz w:val="20"/>
              </w:rPr>
              <w:t>plasmafereză</w:t>
            </w:r>
          </w:p>
        </w:tc>
        <w:tc>
          <w:tcPr>
            <w:tcW w:w="4141" w:type="dxa"/>
            <w:gridSpan w:val="4"/>
          </w:tcPr>
          <w:p>
            <w:pPr>
              <w:pStyle w:val="TableParagraph"/>
              <w:spacing w:before="41"/>
              <w:ind w:left="1636" w:right="1626"/>
              <w:jc w:val="center"/>
              <w:rPr>
                <w:sz w:val="20"/>
              </w:rPr>
            </w:pPr>
            <w:r>
              <w:rPr>
                <w:sz w:val="20"/>
              </w:rPr>
              <w:t>Trataţi cu:</w:t>
            </w:r>
          </w:p>
        </w:tc>
        <w:tc>
          <w:tcPr>
            <w:tcW w:w="4139" w:type="dxa"/>
            <w:gridSpan w:val="4"/>
          </w:tcPr>
          <w:p>
            <w:pPr>
              <w:pStyle w:val="TableParagraph"/>
              <w:spacing w:before="41"/>
              <w:ind w:left="1132"/>
              <w:rPr>
                <w:sz w:val="20"/>
              </w:rPr>
            </w:pPr>
            <w:r>
              <w:rPr>
                <w:sz w:val="20"/>
              </w:rPr>
              <w:t>Număr total şedinţe de:</w:t>
            </w:r>
          </w:p>
        </w:tc>
      </w:tr>
      <w:tr>
        <w:trPr>
          <w:trHeight w:val="830" w:hRule="atLeast"/>
        </w:trPr>
        <w:tc>
          <w:tcPr>
            <w:tcW w:w="1589" w:type="dxa"/>
            <w:vMerge/>
            <w:tcBorders>
              <w:top w:val="nil"/>
            </w:tcBorders>
          </w:tcPr>
          <w:p>
            <w:pPr>
              <w:rPr>
                <w:sz w:val="2"/>
                <w:szCs w:val="2"/>
              </w:rPr>
            </w:pPr>
          </w:p>
        </w:tc>
        <w:tc>
          <w:tcPr>
            <w:tcW w:w="1023" w:type="dxa"/>
          </w:tcPr>
          <w:p>
            <w:pPr>
              <w:pStyle w:val="TableParagraph"/>
              <w:spacing w:before="185"/>
              <w:ind w:left="364" w:right="84" w:hanging="255"/>
              <w:rPr>
                <w:sz w:val="20"/>
              </w:rPr>
            </w:pPr>
            <w:r>
              <w:rPr>
                <w:sz w:val="20"/>
              </w:rPr>
              <w:t>Hemodia- liză</w:t>
            </w:r>
          </w:p>
        </w:tc>
        <w:tc>
          <w:tcPr>
            <w:tcW w:w="1020" w:type="dxa"/>
          </w:tcPr>
          <w:p>
            <w:pPr>
              <w:pStyle w:val="TableParagraph"/>
              <w:spacing w:before="70"/>
              <w:ind w:left="142" w:right="131"/>
              <w:jc w:val="center"/>
              <w:rPr>
                <w:sz w:val="20"/>
              </w:rPr>
            </w:pPr>
            <w:r>
              <w:rPr>
                <w:w w:val="95"/>
                <w:sz w:val="20"/>
              </w:rPr>
              <w:t>Hemofil- </w:t>
            </w:r>
            <w:r>
              <w:rPr>
                <w:sz w:val="20"/>
              </w:rPr>
              <w:t>trare continuă</w:t>
            </w:r>
          </w:p>
        </w:tc>
        <w:tc>
          <w:tcPr>
            <w:tcW w:w="1078" w:type="dxa"/>
          </w:tcPr>
          <w:p>
            <w:pPr>
              <w:pStyle w:val="TableParagraph"/>
              <w:spacing w:before="185"/>
              <w:ind w:left="338" w:right="106" w:hanging="207"/>
              <w:rPr>
                <w:sz w:val="20"/>
              </w:rPr>
            </w:pPr>
            <w:r>
              <w:rPr>
                <w:sz w:val="20"/>
              </w:rPr>
              <w:t>Hemoper- fuzie</w:t>
            </w:r>
          </w:p>
        </w:tc>
        <w:tc>
          <w:tcPr>
            <w:tcW w:w="1020" w:type="dxa"/>
          </w:tcPr>
          <w:p>
            <w:pPr>
              <w:pStyle w:val="TableParagraph"/>
              <w:spacing w:before="185"/>
              <w:ind w:left="343" w:right="79" w:hanging="233"/>
              <w:rPr>
                <w:sz w:val="20"/>
              </w:rPr>
            </w:pPr>
            <w:r>
              <w:rPr>
                <w:w w:val="95"/>
                <w:sz w:val="20"/>
              </w:rPr>
              <w:t>Plasmafe- </w:t>
            </w:r>
            <w:r>
              <w:rPr>
                <w:sz w:val="20"/>
              </w:rPr>
              <w:t>reză</w:t>
            </w:r>
          </w:p>
        </w:tc>
        <w:tc>
          <w:tcPr>
            <w:tcW w:w="1022" w:type="dxa"/>
          </w:tcPr>
          <w:p>
            <w:pPr>
              <w:pStyle w:val="TableParagraph"/>
              <w:spacing w:before="185"/>
              <w:ind w:left="364" w:right="83" w:hanging="255"/>
              <w:rPr>
                <w:sz w:val="20"/>
              </w:rPr>
            </w:pPr>
            <w:r>
              <w:rPr>
                <w:sz w:val="20"/>
              </w:rPr>
              <w:t>Hemodia- liză</w:t>
            </w:r>
          </w:p>
        </w:tc>
        <w:tc>
          <w:tcPr>
            <w:tcW w:w="1020" w:type="dxa"/>
          </w:tcPr>
          <w:p>
            <w:pPr>
              <w:pStyle w:val="TableParagraph"/>
              <w:spacing w:before="70"/>
              <w:ind w:left="143" w:right="129"/>
              <w:jc w:val="center"/>
              <w:rPr>
                <w:sz w:val="20"/>
              </w:rPr>
            </w:pPr>
            <w:r>
              <w:rPr>
                <w:w w:val="95"/>
                <w:sz w:val="20"/>
              </w:rPr>
              <w:t>Hemofil- </w:t>
            </w:r>
            <w:r>
              <w:rPr>
                <w:sz w:val="20"/>
              </w:rPr>
              <w:t>trare continuă</w:t>
            </w:r>
          </w:p>
        </w:tc>
        <w:tc>
          <w:tcPr>
            <w:tcW w:w="1077" w:type="dxa"/>
          </w:tcPr>
          <w:p>
            <w:pPr>
              <w:pStyle w:val="TableParagraph"/>
              <w:spacing w:before="185"/>
              <w:ind w:left="339" w:right="104" w:hanging="207"/>
              <w:rPr>
                <w:sz w:val="20"/>
              </w:rPr>
            </w:pPr>
            <w:r>
              <w:rPr>
                <w:sz w:val="20"/>
              </w:rPr>
              <w:t>Hemoper- fuzie</w:t>
            </w:r>
          </w:p>
        </w:tc>
        <w:tc>
          <w:tcPr>
            <w:tcW w:w="1020" w:type="dxa"/>
          </w:tcPr>
          <w:p>
            <w:pPr>
              <w:pStyle w:val="TableParagraph"/>
              <w:spacing w:before="185"/>
              <w:ind w:left="345" w:right="79" w:hanging="234"/>
              <w:rPr>
                <w:sz w:val="20"/>
              </w:rPr>
            </w:pPr>
            <w:r>
              <w:rPr>
                <w:sz w:val="20"/>
              </w:rPr>
              <w:t>Plasmafe- reză</w:t>
            </w:r>
          </w:p>
        </w:tc>
      </w:tr>
      <w:tr>
        <w:trPr>
          <w:trHeight w:val="220" w:hRule="atLeast"/>
        </w:trPr>
        <w:tc>
          <w:tcPr>
            <w:tcW w:w="1589" w:type="dxa"/>
          </w:tcPr>
          <w:p>
            <w:pPr>
              <w:pStyle w:val="TableParagraph"/>
              <w:spacing w:line="163" w:lineRule="exact" w:before="37"/>
              <w:ind w:left="171" w:right="161"/>
              <w:jc w:val="center"/>
              <w:rPr>
                <w:sz w:val="16"/>
              </w:rPr>
            </w:pPr>
            <w:r>
              <w:rPr>
                <w:sz w:val="16"/>
              </w:rPr>
              <w:t>01</w:t>
            </w:r>
          </w:p>
        </w:tc>
        <w:tc>
          <w:tcPr>
            <w:tcW w:w="1023" w:type="dxa"/>
          </w:tcPr>
          <w:p>
            <w:pPr>
              <w:pStyle w:val="TableParagraph"/>
              <w:spacing w:line="163" w:lineRule="exact" w:before="37"/>
              <w:ind w:left="411" w:right="402"/>
              <w:jc w:val="center"/>
              <w:rPr>
                <w:sz w:val="16"/>
              </w:rPr>
            </w:pPr>
            <w:r>
              <w:rPr>
                <w:sz w:val="16"/>
              </w:rPr>
              <w:t>02</w:t>
            </w:r>
          </w:p>
        </w:tc>
        <w:tc>
          <w:tcPr>
            <w:tcW w:w="1020" w:type="dxa"/>
          </w:tcPr>
          <w:p>
            <w:pPr>
              <w:pStyle w:val="TableParagraph"/>
              <w:spacing w:line="163" w:lineRule="exact" w:before="37"/>
              <w:ind w:left="143" w:right="131"/>
              <w:jc w:val="center"/>
              <w:rPr>
                <w:sz w:val="16"/>
              </w:rPr>
            </w:pPr>
            <w:r>
              <w:rPr>
                <w:sz w:val="16"/>
              </w:rPr>
              <w:t>03</w:t>
            </w:r>
          </w:p>
        </w:tc>
        <w:tc>
          <w:tcPr>
            <w:tcW w:w="1078" w:type="dxa"/>
          </w:tcPr>
          <w:p>
            <w:pPr>
              <w:pStyle w:val="TableParagraph"/>
              <w:spacing w:line="163" w:lineRule="exact" w:before="37"/>
              <w:ind w:left="440" w:right="428"/>
              <w:jc w:val="center"/>
              <w:rPr>
                <w:sz w:val="16"/>
              </w:rPr>
            </w:pPr>
            <w:r>
              <w:rPr>
                <w:sz w:val="16"/>
              </w:rPr>
              <w:t>04</w:t>
            </w:r>
          </w:p>
        </w:tc>
        <w:tc>
          <w:tcPr>
            <w:tcW w:w="1020" w:type="dxa"/>
          </w:tcPr>
          <w:p>
            <w:pPr>
              <w:pStyle w:val="TableParagraph"/>
              <w:spacing w:line="163" w:lineRule="exact" w:before="37"/>
              <w:ind w:left="143" w:right="131"/>
              <w:jc w:val="center"/>
              <w:rPr>
                <w:sz w:val="16"/>
              </w:rPr>
            </w:pPr>
            <w:r>
              <w:rPr>
                <w:sz w:val="16"/>
              </w:rPr>
              <w:t>05</w:t>
            </w:r>
          </w:p>
        </w:tc>
        <w:tc>
          <w:tcPr>
            <w:tcW w:w="1022" w:type="dxa"/>
          </w:tcPr>
          <w:p>
            <w:pPr>
              <w:pStyle w:val="TableParagraph"/>
              <w:spacing w:line="163" w:lineRule="exact" w:before="37"/>
              <w:ind w:left="411" w:right="401"/>
              <w:jc w:val="center"/>
              <w:rPr>
                <w:sz w:val="16"/>
              </w:rPr>
            </w:pPr>
            <w:r>
              <w:rPr>
                <w:sz w:val="16"/>
              </w:rPr>
              <w:t>06</w:t>
            </w:r>
          </w:p>
        </w:tc>
        <w:tc>
          <w:tcPr>
            <w:tcW w:w="1020" w:type="dxa"/>
          </w:tcPr>
          <w:p>
            <w:pPr>
              <w:pStyle w:val="TableParagraph"/>
              <w:spacing w:line="163" w:lineRule="exact" w:before="37"/>
              <w:ind w:left="143" w:right="129"/>
              <w:jc w:val="center"/>
              <w:rPr>
                <w:sz w:val="16"/>
              </w:rPr>
            </w:pPr>
            <w:r>
              <w:rPr>
                <w:sz w:val="16"/>
              </w:rPr>
              <w:t>07</w:t>
            </w:r>
          </w:p>
        </w:tc>
        <w:tc>
          <w:tcPr>
            <w:tcW w:w="1077" w:type="dxa"/>
          </w:tcPr>
          <w:p>
            <w:pPr>
              <w:pStyle w:val="TableParagraph"/>
              <w:spacing w:line="163" w:lineRule="exact" w:before="37"/>
              <w:ind w:left="441" w:right="426"/>
              <w:jc w:val="center"/>
              <w:rPr>
                <w:sz w:val="16"/>
              </w:rPr>
            </w:pPr>
            <w:r>
              <w:rPr>
                <w:sz w:val="16"/>
              </w:rPr>
              <w:t>08</w:t>
            </w:r>
          </w:p>
        </w:tc>
        <w:tc>
          <w:tcPr>
            <w:tcW w:w="1020" w:type="dxa"/>
          </w:tcPr>
          <w:p>
            <w:pPr>
              <w:pStyle w:val="TableParagraph"/>
              <w:spacing w:line="163" w:lineRule="exact" w:before="37"/>
              <w:ind w:left="143" w:right="127"/>
              <w:jc w:val="center"/>
              <w:rPr>
                <w:sz w:val="16"/>
              </w:rPr>
            </w:pPr>
            <w:r>
              <w:rPr>
                <w:sz w:val="16"/>
              </w:rPr>
              <w:t>09</w:t>
            </w:r>
          </w:p>
        </w:tc>
      </w:tr>
      <w:tr>
        <w:trPr>
          <w:trHeight w:val="425" w:hRule="atLeast"/>
        </w:trPr>
        <w:tc>
          <w:tcPr>
            <w:tcW w:w="1589" w:type="dxa"/>
          </w:tcPr>
          <w:p>
            <w:pPr>
              <w:pStyle w:val="TableParagraph"/>
              <w:spacing w:before="122"/>
              <w:ind w:left="107"/>
              <w:rPr>
                <w:sz w:val="16"/>
              </w:rPr>
            </w:pPr>
            <w:r>
              <w:rPr>
                <w:sz w:val="16"/>
              </w:rPr>
              <w:t>531</w:t>
            </w:r>
          </w:p>
        </w:tc>
        <w:tc>
          <w:tcPr>
            <w:tcW w:w="1023" w:type="dxa"/>
          </w:tcPr>
          <w:p>
            <w:pPr>
              <w:pStyle w:val="TableParagraph"/>
              <w:spacing w:before="122"/>
              <w:ind w:left="108"/>
              <w:rPr>
                <w:sz w:val="16"/>
              </w:rPr>
            </w:pPr>
            <w:r>
              <w:rPr>
                <w:sz w:val="16"/>
              </w:rPr>
              <w:t>358</w:t>
            </w:r>
          </w:p>
        </w:tc>
        <w:tc>
          <w:tcPr>
            <w:tcW w:w="1020" w:type="dxa"/>
          </w:tcPr>
          <w:p>
            <w:pPr>
              <w:pStyle w:val="TableParagraph"/>
              <w:spacing w:before="122"/>
              <w:ind w:right="93"/>
              <w:jc w:val="right"/>
              <w:rPr>
                <w:sz w:val="16"/>
              </w:rPr>
            </w:pPr>
            <w:r>
              <w:rPr>
                <w:sz w:val="16"/>
              </w:rPr>
              <w:t>98</w:t>
            </w:r>
          </w:p>
        </w:tc>
        <w:tc>
          <w:tcPr>
            <w:tcW w:w="1078" w:type="dxa"/>
          </w:tcPr>
          <w:p>
            <w:pPr>
              <w:pStyle w:val="TableParagraph"/>
              <w:spacing w:before="122"/>
              <w:ind w:right="95"/>
              <w:jc w:val="right"/>
              <w:rPr>
                <w:sz w:val="16"/>
              </w:rPr>
            </w:pPr>
            <w:r>
              <w:rPr>
                <w:w w:val="100"/>
                <w:sz w:val="16"/>
              </w:rPr>
              <w:t>0</w:t>
            </w:r>
          </w:p>
        </w:tc>
        <w:tc>
          <w:tcPr>
            <w:tcW w:w="1020" w:type="dxa"/>
          </w:tcPr>
          <w:p>
            <w:pPr>
              <w:pStyle w:val="TableParagraph"/>
              <w:spacing w:before="122"/>
              <w:ind w:right="93"/>
              <w:jc w:val="right"/>
              <w:rPr>
                <w:sz w:val="16"/>
              </w:rPr>
            </w:pPr>
            <w:r>
              <w:rPr>
                <w:sz w:val="16"/>
              </w:rPr>
              <w:t>47</w:t>
            </w:r>
          </w:p>
        </w:tc>
        <w:tc>
          <w:tcPr>
            <w:tcW w:w="1022" w:type="dxa"/>
          </w:tcPr>
          <w:p>
            <w:pPr>
              <w:pStyle w:val="TableParagraph"/>
              <w:spacing w:before="122"/>
              <w:ind w:left="592"/>
              <w:rPr>
                <w:sz w:val="16"/>
              </w:rPr>
            </w:pPr>
            <w:r>
              <w:rPr>
                <w:sz w:val="16"/>
              </w:rPr>
              <w:t>1025</w:t>
            </w:r>
          </w:p>
        </w:tc>
        <w:tc>
          <w:tcPr>
            <w:tcW w:w="1020" w:type="dxa"/>
          </w:tcPr>
          <w:p>
            <w:pPr>
              <w:pStyle w:val="TableParagraph"/>
              <w:spacing w:before="122"/>
              <w:ind w:left="672"/>
              <w:rPr>
                <w:sz w:val="16"/>
              </w:rPr>
            </w:pPr>
            <w:r>
              <w:rPr>
                <w:sz w:val="16"/>
              </w:rPr>
              <w:t>304</w:t>
            </w:r>
          </w:p>
        </w:tc>
        <w:tc>
          <w:tcPr>
            <w:tcW w:w="1077" w:type="dxa"/>
          </w:tcPr>
          <w:p>
            <w:pPr>
              <w:pStyle w:val="TableParagraph"/>
              <w:spacing w:before="122"/>
              <w:ind w:right="93"/>
              <w:jc w:val="right"/>
              <w:rPr>
                <w:sz w:val="16"/>
              </w:rPr>
            </w:pPr>
            <w:r>
              <w:rPr>
                <w:w w:val="100"/>
                <w:sz w:val="16"/>
              </w:rPr>
              <w:t>0</w:t>
            </w:r>
          </w:p>
        </w:tc>
        <w:tc>
          <w:tcPr>
            <w:tcW w:w="1020" w:type="dxa"/>
          </w:tcPr>
          <w:p>
            <w:pPr>
              <w:pStyle w:val="TableParagraph"/>
              <w:spacing w:before="122"/>
              <w:ind w:right="92"/>
              <w:jc w:val="right"/>
              <w:rPr>
                <w:sz w:val="16"/>
              </w:rPr>
            </w:pPr>
            <w:r>
              <w:rPr>
                <w:sz w:val="16"/>
              </w:rPr>
              <w:t>114</w:t>
            </w:r>
          </w:p>
        </w:tc>
      </w:tr>
    </w:tbl>
    <w:p>
      <w:pPr>
        <w:pStyle w:val="BodyText"/>
        <w:spacing w:before="8"/>
        <w:ind w:left="0"/>
        <w:rPr>
          <w:sz w:val="17"/>
        </w:rPr>
      </w:pPr>
    </w:p>
    <w:p>
      <w:pPr>
        <w:pStyle w:val="BodyText"/>
        <w:spacing w:before="90"/>
      </w:pPr>
      <w:r>
        <w:rPr/>
        <w:t>S-au raportat la Centrul Naţional de Statistică şi Informatică în Sănătate Publică :</w:t>
      </w:r>
    </w:p>
    <w:p>
      <w:pPr>
        <w:pStyle w:val="BodyText"/>
      </w:pPr>
      <w:r>
        <w:rPr/>
        <w:t>-dare de seamă statistică privind activitatea unităţilor ambulatorii de specialitate;</w:t>
      </w:r>
    </w:p>
    <w:p>
      <w:pPr>
        <w:pStyle w:val="BodyText"/>
        <w:ind w:right="1866"/>
      </w:pPr>
      <w:r>
        <w:rPr/>
        <w:t>-darea de seamă statistică departamentală M.S. 4.4.A Cap.14 privind cheltuielile bugetare ale unităţilor sanitare, pentru fiecare unitate sanitară ordonatoare de credit;</w:t>
      </w:r>
    </w:p>
    <w:p>
      <w:pPr>
        <w:pStyle w:val="BodyText"/>
        <w:ind w:right="2234"/>
      </w:pPr>
      <w:r>
        <w:rPr/>
        <w:t>-dare de seamă statistică departamentală privind activitatea cabinetelor (dispensarelor) de pneumologie – T.B.C.;</w:t>
      </w:r>
    </w:p>
    <w:p>
      <w:pPr>
        <w:pStyle w:val="BodyText"/>
      </w:pPr>
      <w:r>
        <w:rPr/>
        <w:t>-centralizatorul activităţii spitalului separat pentru fiecare spital;</w:t>
      </w:r>
    </w:p>
    <w:p>
      <w:pPr>
        <w:pStyle w:val="BodyText"/>
        <w:ind w:right="1561"/>
      </w:pPr>
      <w:r>
        <w:rPr/>
        <w:t>-centralizatorul activităţii spitalului pentru spitalizarea de zi separat pentru fiecare spital care are paturi de zi;</w:t>
      </w:r>
    </w:p>
    <w:p>
      <w:pPr>
        <w:pStyle w:val="BodyText"/>
      </w:pPr>
      <w:r>
        <w:rPr/>
        <w:t>-centralizatorul investigaţiilor de laborator, separat pentru ambulator şi separat pentru staţionar</w:t>
      </w:r>
    </w:p>
    <w:p>
      <w:pPr>
        <w:pStyle w:val="BodyText"/>
        <w:ind w:right="1469"/>
      </w:pPr>
      <w:r>
        <w:rPr/>
        <w:t>-centralizatorul bolnavilor ieşiţi din spital cu bolile codificate pe 4 caractere alfanumerice, dupa – CIM-10- AM pentru fiecare unitate</w:t>
      </w:r>
    </w:p>
    <w:p>
      <w:pPr>
        <w:pStyle w:val="BodyText"/>
        <w:ind w:right="1560"/>
      </w:pPr>
      <w:r>
        <w:rPr/>
        <w:t>-centralizatorul interventiilor chirurgicale si al altor proceduri (explorări funcţionale, investigaţii radiologice şi oncologice şi intervenţii chirurgicale stomatologice şi non invazive)</w:t>
      </w:r>
    </w:p>
    <w:p>
      <w:pPr>
        <w:pStyle w:val="BodyText"/>
        <w:ind w:right="1353"/>
      </w:pPr>
      <w:r>
        <w:rPr/>
        <w:t>-centralizatorul Morbiditatii in Cabinetul Medical de Familie, codificarea bolii făcută după lista de 992 de coduri;</w:t>
      </w:r>
    </w:p>
    <w:p>
      <w:pPr>
        <w:pStyle w:val="BodyText"/>
        <w:ind w:right="1268"/>
      </w:pPr>
      <w:r>
        <w:rPr/>
        <w:t>-centralizarorul morbidităţii în unităţile ambulatorii de specialitate (centrele de diagnostic şi tratament, centre medicale de specialitate, ambulatorii de specialitate, ambulatorii integrate ale spitalelor şi cabinetele medicale de specialitate) pentru fiecare unitate; codificarea bolii făcută după lista de 992 de coduri.</w:t>
      </w:r>
    </w:p>
    <w:p>
      <w:pPr>
        <w:pStyle w:val="BodyText"/>
        <w:spacing w:before="9"/>
        <w:ind w:left="0"/>
        <w:rPr>
          <w:sz w:val="23"/>
        </w:rPr>
      </w:pPr>
    </w:p>
    <w:p>
      <w:pPr>
        <w:pStyle w:val="Heading1"/>
        <w:spacing w:before="1"/>
        <w:ind w:left="680"/>
        <w:rPr>
          <w:u w:val="none"/>
        </w:rPr>
      </w:pPr>
      <w:r>
        <w:rPr>
          <w:u w:val="thick"/>
        </w:rPr>
        <w:t>COMPARTIMENTUL DE EVALUARE SI PROMOVARE A SANATATII</w:t>
      </w:r>
    </w:p>
    <w:p>
      <w:pPr>
        <w:pStyle w:val="BodyText"/>
        <w:spacing w:before="2"/>
        <w:ind w:left="0"/>
        <w:rPr>
          <w:b/>
          <w:sz w:val="16"/>
        </w:rPr>
      </w:pPr>
    </w:p>
    <w:p>
      <w:pPr>
        <w:pStyle w:val="BodyText"/>
        <w:spacing w:before="90"/>
        <w:ind w:right="1140"/>
      </w:pPr>
      <w:r>
        <w:rPr>
          <w:b/>
        </w:rPr>
        <w:t>Obiectiv: </w:t>
      </w:r>
      <w:r>
        <w:rPr/>
        <w:t>imbunătăţirea stării de sănătate a populaţiei prin promovarea unui stil de viaţă sănătos şi combaterea principalilor factori de risc</w:t>
      </w:r>
    </w:p>
    <w:p>
      <w:pPr>
        <w:pStyle w:val="BodyText"/>
      </w:pPr>
      <w:r>
        <w:rPr>
          <w:b/>
        </w:rPr>
        <w:t>Activitati </w:t>
      </w:r>
      <w:r>
        <w:rPr/>
        <w:t>conform O.M.S 377 / 2017, respectiv HG 155/2017:</w:t>
      </w:r>
    </w:p>
    <w:p>
      <w:pPr>
        <w:pStyle w:val="BodyText"/>
      </w:pPr>
      <w:r>
        <w:rPr/>
        <w:t>1. PN V –Evaluare şi promovare a sănătăţii şi educaţie pentru sănătate</w:t>
      </w:r>
    </w:p>
    <w:p>
      <w:pPr>
        <w:pStyle w:val="BodyText"/>
      </w:pPr>
      <w:r>
        <w:rPr/>
        <w:t>V.1 –subprogram de promovare a unui stil de viaţă sănătos.</w:t>
      </w:r>
    </w:p>
    <w:p>
      <w:pPr>
        <w:pStyle w:val="BodyText"/>
        <w:ind w:right="1140" w:firstLine="60"/>
      </w:pPr>
      <w:r>
        <w:rPr/>
        <w:t>“</w:t>
      </w:r>
      <w:r>
        <w:rPr>
          <w:i/>
        </w:rPr>
        <w:t>Promovarea unui stil de viaţă sănătos”,</w:t>
      </w:r>
      <w:r>
        <w:rPr/>
        <w:t>conform Calendarului Sănătăţii, a evenimentelor naţionale şi internaţionale aprobate de INSP/CNEPSS şi MS s-au desfasurat urmatoarele campanii IEC: 1).</w:t>
      </w:r>
      <w:r>
        <w:rPr>
          <w:u w:val="single"/>
        </w:rPr>
        <w:t>Luna naţională de prevenire a cancerului</w:t>
      </w:r>
      <w:r>
        <w:rPr/>
        <w:t> cu celebrarea evenimentelor ocazionate de Săptămâna Europeană de Prevenire a Cancerului de Col Uterin, a zilei Mondiale de Luptă Împotriva Cancerului şi Lunii Internaţionale de Informare despre Cancerul de Sân;</w:t>
      </w:r>
    </w:p>
    <w:p>
      <w:pPr>
        <w:pStyle w:val="BodyText"/>
      </w:pPr>
      <w:r>
        <w:rPr/>
        <w:t>Activităţi derulate:</w:t>
      </w:r>
    </w:p>
    <w:p>
      <w:pPr>
        <w:pStyle w:val="ListParagraph"/>
        <w:numPr>
          <w:ilvl w:val="0"/>
          <w:numId w:val="16"/>
        </w:numPr>
        <w:tabs>
          <w:tab w:pos="820" w:val="left" w:leader="none"/>
        </w:tabs>
        <w:spacing w:line="240" w:lineRule="auto" w:before="0" w:after="0"/>
        <w:ind w:left="819" w:right="0" w:hanging="140"/>
        <w:jc w:val="left"/>
        <w:rPr>
          <w:sz w:val="24"/>
        </w:rPr>
      </w:pPr>
      <w:r>
        <w:rPr>
          <w:sz w:val="24"/>
        </w:rPr>
        <w:t>postare pe site-ul DSP-MB a materialelor informative destinate derulării acestei</w:t>
      </w:r>
      <w:r>
        <w:rPr>
          <w:spacing w:val="-11"/>
          <w:sz w:val="24"/>
        </w:rPr>
        <w:t> </w:t>
      </w:r>
      <w:r>
        <w:rPr>
          <w:sz w:val="24"/>
        </w:rPr>
        <w:t>campanii</w:t>
      </w:r>
    </w:p>
    <w:p>
      <w:pPr>
        <w:spacing w:after="0" w:line="240" w:lineRule="auto"/>
        <w:jc w:val="left"/>
        <w:rPr>
          <w:sz w:val="24"/>
        </w:rPr>
        <w:sectPr>
          <w:type w:val="continuous"/>
          <w:pgSz w:w="11910" w:h="16840"/>
          <w:pgMar w:top="1280" w:bottom="280" w:left="400" w:right="0"/>
        </w:sectPr>
      </w:pPr>
    </w:p>
    <w:p>
      <w:pPr>
        <w:pStyle w:val="ListParagraph"/>
        <w:numPr>
          <w:ilvl w:val="0"/>
          <w:numId w:val="16"/>
        </w:numPr>
        <w:tabs>
          <w:tab w:pos="820" w:val="left" w:leader="none"/>
        </w:tabs>
        <w:spacing w:line="240" w:lineRule="auto" w:before="60" w:after="0"/>
        <w:ind w:left="819" w:right="0" w:hanging="140"/>
        <w:jc w:val="left"/>
        <w:rPr>
          <w:sz w:val="24"/>
        </w:rPr>
      </w:pPr>
      <w:r>
        <w:rPr>
          <w:sz w:val="24"/>
        </w:rPr>
        <w:t>distribuire în format electronic a materialelor informative către</w:t>
      </w:r>
      <w:r>
        <w:rPr>
          <w:spacing w:val="-7"/>
          <w:sz w:val="24"/>
        </w:rPr>
        <w:t> </w:t>
      </w:r>
      <w:r>
        <w:rPr>
          <w:sz w:val="24"/>
        </w:rPr>
        <w:t>parteneri.</w:t>
      </w:r>
    </w:p>
    <w:p>
      <w:pPr>
        <w:pStyle w:val="ListParagraph"/>
        <w:numPr>
          <w:ilvl w:val="0"/>
          <w:numId w:val="16"/>
        </w:numPr>
        <w:tabs>
          <w:tab w:pos="849" w:val="left" w:leader="none"/>
        </w:tabs>
        <w:spacing w:line="240" w:lineRule="auto" w:before="1" w:after="0"/>
        <w:ind w:left="680" w:right="1143" w:firstLine="0"/>
        <w:jc w:val="left"/>
        <w:rPr>
          <w:sz w:val="24"/>
        </w:rPr>
      </w:pPr>
      <w:r>
        <w:rPr>
          <w:sz w:val="24"/>
        </w:rPr>
        <w:t>distribuire materiale IEC (pliante realizate în anul 2012) către medicii de familie şi voluntari ai filialei Crucea Roşie Română sector 1 şi către unităţi</w:t>
      </w:r>
      <w:r>
        <w:rPr>
          <w:spacing w:val="-8"/>
          <w:sz w:val="24"/>
        </w:rPr>
        <w:t> </w:t>
      </w:r>
      <w:r>
        <w:rPr>
          <w:sz w:val="24"/>
        </w:rPr>
        <w:t>sanitare;</w:t>
      </w:r>
    </w:p>
    <w:p>
      <w:pPr>
        <w:pStyle w:val="BodyText"/>
        <w:ind w:right="4018"/>
      </w:pPr>
      <w:r>
        <w:rPr/>
        <w:t>Grupul ţintă: populaţia generală, profesionişti din sistemul de sănătate; Materiale IEC utilizate : 660 buc</w:t>
      </w:r>
    </w:p>
    <w:p>
      <w:pPr>
        <w:pStyle w:val="ListParagraph"/>
        <w:numPr>
          <w:ilvl w:val="0"/>
          <w:numId w:val="22"/>
        </w:numPr>
        <w:tabs>
          <w:tab w:pos="881" w:val="left" w:leader="none"/>
        </w:tabs>
        <w:spacing w:line="240" w:lineRule="auto" w:before="0" w:after="0"/>
        <w:ind w:left="880" w:right="0" w:hanging="201"/>
        <w:jc w:val="left"/>
        <w:rPr>
          <w:sz w:val="24"/>
        </w:rPr>
      </w:pPr>
      <w:r>
        <w:rPr>
          <w:sz w:val="24"/>
          <w:u w:val="single"/>
        </w:rPr>
        <w:t>Ziua Mondială a Sănătăţii Orale</w:t>
      </w:r>
      <w:r>
        <w:rPr>
          <w:spacing w:val="-4"/>
          <w:sz w:val="24"/>
        </w:rPr>
        <w:t> </w:t>
      </w:r>
      <w:r>
        <w:rPr>
          <w:sz w:val="24"/>
          <w:u w:val="single"/>
        </w:rPr>
        <w:t>.</w:t>
      </w:r>
    </w:p>
    <w:p>
      <w:pPr>
        <w:pStyle w:val="BodyText"/>
        <w:ind w:right="1140" w:firstLine="60"/>
      </w:pPr>
      <w:r>
        <w:rPr/>
        <w:t>Tema: Campanie de informare a populaţiei cu privire la importanţa sănătăţii orale; factorii de risc; posibilităţile de prevenire a problemelor de sănătate orală; tehnicile corecte de periaj dentar.</w:t>
      </w:r>
    </w:p>
    <w:p>
      <w:pPr>
        <w:pStyle w:val="BodyText"/>
      </w:pPr>
      <w:r>
        <w:rPr/>
        <w:t>Activităţi derulate:</w:t>
      </w:r>
    </w:p>
    <w:p>
      <w:pPr>
        <w:pStyle w:val="ListParagraph"/>
        <w:numPr>
          <w:ilvl w:val="0"/>
          <w:numId w:val="16"/>
        </w:numPr>
        <w:tabs>
          <w:tab w:pos="820" w:val="left" w:leader="none"/>
        </w:tabs>
        <w:spacing w:line="240" w:lineRule="auto" w:before="0" w:after="0"/>
        <w:ind w:left="819" w:right="0" w:hanging="140"/>
        <w:jc w:val="left"/>
        <w:rPr>
          <w:sz w:val="24"/>
        </w:rPr>
      </w:pPr>
      <w:r>
        <w:rPr>
          <w:sz w:val="24"/>
        </w:rPr>
        <w:t>publicare pe site-ul DSP-MB a materialelor informative destinate susţinerii acestei</w:t>
      </w:r>
      <w:r>
        <w:rPr>
          <w:spacing w:val="-14"/>
          <w:sz w:val="24"/>
        </w:rPr>
        <w:t> </w:t>
      </w:r>
      <w:r>
        <w:rPr>
          <w:sz w:val="24"/>
        </w:rPr>
        <w:t>campanii</w:t>
      </w:r>
    </w:p>
    <w:p>
      <w:pPr>
        <w:pStyle w:val="ListParagraph"/>
        <w:numPr>
          <w:ilvl w:val="0"/>
          <w:numId w:val="16"/>
        </w:numPr>
        <w:tabs>
          <w:tab w:pos="820" w:val="left" w:leader="none"/>
        </w:tabs>
        <w:spacing w:line="240" w:lineRule="auto" w:before="0" w:after="0"/>
        <w:ind w:left="819" w:right="0" w:hanging="140"/>
        <w:jc w:val="left"/>
        <w:rPr>
          <w:sz w:val="24"/>
        </w:rPr>
      </w:pPr>
      <w:r>
        <w:rPr>
          <w:sz w:val="24"/>
        </w:rPr>
        <w:t>transmitere în format electronic a materialelor IEC specifice campaniei către</w:t>
      </w:r>
      <w:r>
        <w:rPr>
          <w:spacing w:val="-5"/>
          <w:sz w:val="24"/>
        </w:rPr>
        <w:t> </w:t>
      </w:r>
      <w:r>
        <w:rPr>
          <w:sz w:val="24"/>
        </w:rPr>
        <w:t>parteneri</w:t>
      </w:r>
    </w:p>
    <w:p>
      <w:pPr>
        <w:pStyle w:val="ListParagraph"/>
        <w:numPr>
          <w:ilvl w:val="0"/>
          <w:numId w:val="16"/>
        </w:numPr>
        <w:tabs>
          <w:tab w:pos="887" w:val="left" w:leader="none"/>
        </w:tabs>
        <w:spacing w:line="240" w:lineRule="auto" w:before="0" w:after="0"/>
        <w:ind w:left="680" w:right="1137" w:firstLine="60"/>
        <w:jc w:val="left"/>
        <w:rPr>
          <w:sz w:val="24"/>
        </w:rPr>
      </w:pPr>
      <w:r>
        <w:rPr>
          <w:sz w:val="24"/>
        </w:rPr>
        <w:t>distribuire de materiale informativ-educative în unităţile de învăţământ adresate elevilor din ciclul primar şi gimnazial</w:t>
      </w:r>
      <w:r>
        <w:rPr>
          <w:spacing w:val="-2"/>
          <w:sz w:val="24"/>
        </w:rPr>
        <w:t> </w:t>
      </w:r>
      <w:r>
        <w:rPr>
          <w:sz w:val="24"/>
        </w:rPr>
        <w:t>.</w:t>
      </w:r>
    </w:p>
    <w:p>
      <w:pPr>
        <w:pStyle w:val="BodyText"/>
        <w:spacing w:before="1"/>
        <w:ind w:right="1140"/>
      </w:pPr>
      <w:r>
        <w:rPr/>
        <w:t>Grupul ţintă : populaţia generală şi în special părinţi , gravide , copii, tineri, cadre didactice; Materiale IEC utilizate :100 buc</w:t>
      </w:r>
    </w:p>
    <w:p>
      <w:pPr>
        <w:pStyle w:val="ListParagraph"/>
        <w:numPr>
          <w:ilvl w:val="0"/>
          <w:numId w:val="22"/>
        </w:numPr>
        <w:tabs>
          <w:tab w:pos="940" w:val="left" w:leader="none"/>
        </w:tabs>
        <w:spacing w:line="240" w:lineRule="auto" w:before="0" w:after="0"/>
        <w:ind w:left="680" w:right="4960" w:firstLine="0"/>
        <w:jc w:val="left"/>
        <w:rPr>
          <w:sz w:val="24"/>
        </w:rPr>
      </w:pPr>
      <w:r>
        <w:rPr>
          <w:sz w:val="24"/>
          <w:u w:val="single"/>
        </w:rPr>
        <w:t>Ziua Mondială de luptă împotriva tuberculozei -24 martie</w:t>
      </w:r>
      <w:r>
        <w:rPr>
          <w:sz w:val="24"/>
        </w:rPr>
        <w:t>; Activitati</w:t>
      </w:r>
      <w:r>
        <w:rPr>
          <w:spacing w:val="-1"/>
          <w:sz w:val="24"/>
        </w:rPr>
        <w:t> </w:t>
      </w:r>
      <w:r>
        <w:rPr>
          <w:sz w:val="24"/>
        </w:rPr>
        <w:t>derulate:</w:t>
      </w:r>
    </w:p>
    <w:p>
      <w:pPr>
        <w:pStyle w:val="ListParagraph"/>
        <w:numPr>
          <w:ilvl w:val="0"/>
          <w:numId w:val="16"/>
        </w:numPr>
        <w:tabs>
          <w:tab w:pos="820" w:val="left" w:leader="none"/>
        </w:tabs>
        <w:spacing w:line="240" w:lineRule="auto" w:before="0" w:after="0"/>
        <w:ind w:left="819" w:right="0" w:hanging="140"/>
        <w:jc w:val="both"/>
        <w:rPr>
          <w:sz w:val="24"/>
        </w:rPr>
      </w:pPr>
      <w:r>
        <w:rPr>
          <w:sz w:val="24"/>
        </w:rPr>
        <w:t>publicarea pe site-ul DSP-MB a materialelor informative destinate susţinerii acestei</w:t>
      </w:r>
      <w:r>
        <w:rPr>
          <w:spacing w:val="-14"/>
          <w:sz w:val="24"/>
        </w:rPr>
        <w:t> </w:t>
      </w:r>
      <w:r>
        <w:rPr>
          <w:sz w:val="24"/>
        </w:rPr>
        <w:t>campanii;</w:t>
      </w:r>
    </w:p>
    <w:p>
      <w:pPr>
        <w:pStyle w:val="ListParagraph"/>
        <w:numPr>
          <w:ilvl w:val="0"/>
          <w:numId w:val="16"/>
        </w:numPr>
        <w:tabs>
          <w:tab w:pos="883" w:val="left" w:leader="none"/>
        </w:tabs>
        <w:spacing w:line="240" w:lineRule="auto" w:before="0" w:after="0"/>
        <w:ind w:left="680" w:right="1134" w:firstLine="0"/>
        <w:jc w:val="both"/>
        <w:rPr>
          <w:sz w:val="24"/>
        </w:rPr>
      </w:pPr>
      <w:r>
        <w:rPr>
          <w:sz w:val="24"/>
        </w:rPr>
        <w:t>transmiterea în format electronic a materialelor IEC specifice campaniei către colaboratorii (ASSMB; AMF-MB; Crucea Roşie ; Asociaţia studenţilor medicinişti-Bucureşti; Primaria Generală- Departamentul</w:t>
      </w:r>
      <w:r>
        <w:rPr>
          <w:spacing w:val="-1"/>
          <w:sz w:val="24"/>
        </w:rPr>
        <w:t> </w:t>
      </w:r>
      <w:r>
        <w:rPr>
          <w:sz w:val="24"/>
        </w:rPr>
        <w:t>Cultură-Învăţământ-Turism).</w:t>
      </w:r>
    </w:p>
    <w:p>
      <w:pPr>
        <w:pStyle w:val="BodyText"/>
        <w:jc w:val="both"/>
      </w:pPr>
      <w:r>
        <w:rPr/>
        <w:t>-sesiuni informativ – educative în unităţi de învăţământ</w:t>
      </w:r>
    </w:p>
    <w:p>
      <w:pPr>
        <w:pStyle w:val="BodyText"/>
        <w:jc w:val="both"/>
      </w:pPr>
      <w:r>
        <w:rPr/>
        <w:t>-distribuţie materiale IEC (pliante realizate în anul 2012) Materiale IEC utilizate 500 buc</w:t>
      </w:r>
    </w:p>
    <w:p>
      <w:pPr>
        <w:pStyle w:val="ListParagraph"/>
        <w:numPr>
          <w:ilvl w:val="0"/>
          <w:numId w:val="22"/>
        </w:numPr>
        <w:tabs>
          <w:tab w:pos="880" w:val="left" w:leader="none"/>
        </w:tabs>
        <w:spacing w:line="240" w:lineRule="auto" w:before="0" w:after="0"/>
        <w:ind w:left="879" w:right="0" w:hanging="260"/>
        <w:jc w:val="both"/>
        <w:rPr>
          <w:sz w:val="24"/>
        </w:rPr>
      </w:pPr>
      <w:r>
        <w:rPr>
          <w:sz w:val="24"/>
          <w:u w:val="single"/>
        </w:rPr>
        <w:t>“Ziua Mondială a</w:t>
      </w:r>
      <w:r>
        <w:rPr>
          <w:spacing w:val="-1"/>
          <w:sz w:val="24"/>
          <w:u w:val="single"/>
        </w:rPr>
        <w:t> </w:t>
      </w:r>
      <w:r>
        <w:rPr>
          <w:sz w:val="24"/>
          <w:u w:val="single"/>
        </w:rPr>
        <w:t>Sănătăţii”</w:t>
      </w:r>
    </w:p>
    <w:p>
      <w:pPr>
        <w:pStyle w:val="BodyText"/>
      </w:pPr>
      <w:r>
        <w:rPr/>
        <w:t>Tema: Importanţa comunicării în profilaxia şi tratarea depresiei</w:t>
      </w:r>
    </w:p>
    <w:p>
      <w:pPr>
        <w:pStyle w:val="BodyText"/>
        <w:ind w:left="620" w:right="1273"/>
      </w:pPr>
      <w:r>
        <w:rPr/>
        <w:t>Grup ţintă: populaţia generală (adolescenţi, tineri,femei la vârsta maternităţii, adulţi peste 60 de ani) Parteneri: medici cabinete MF; OAMGMAMR-filiala Bucuresti</w:t>
      </w:r>
    </w:p>
    <w:p>
      <w:pPr>
        <w:pStyle w:val="BodyText"/>
      </w:pPr>
      <w:r>
        <w:rPr/>
        <w:t>Activităţi derulate:</w:t>
      </w:r>
    </w:p>
    <w:p>
      <w:pPr>
        <w:pStyle w:val="ListParagraph"/>
        <w:numPr>
          <w:ilvl w:val="0"/>
          <w:numId w:val="16"/>
        </w:numPr>
        <w:tabs>
          <w:tab w:pos="820" w:val="left" w:leader="none"/>
        </w:tabs>
        <w:spacing w:line="240" w:lineRule="auto" w:before="0" w:after="0"/>
        <w:ind w:left="819" w:right="0" w:hanging="140"/>
        <w:jc w:val="left"/>
        <w:rPr>
          <w:sz w:val="24"/>
        </w:rPr>
      </w:pPr>
      <w:r>
        <w:rPr>
          <w:sz w:val="24"/>
        </w:rPr>
        <w:t>publicarea pe site-ul DSP-MB a materialelor informative destinate susţinerii acestei</w:t>
      </w:r>
      <w:r>
        <w:rPr>
          <w:spacing w:val="-14"/>
          <w:sz w:val="24"/>
        </w:rPr>
        <w:t> </w:t>
      </w:r>
      <w:r>
        <w:rPr>
          <w:sz w:val="24"/>
        </w:rPr>
        <w:t>campanii;</w:t>
      </w:r>
    </w:p>
    <w:p>
      <w:pPr>
        <w:pStyle w:val="ListParagraph"/>
        <w:numPr>
          <w:ilvl w:val="0"/>
          <w:numId w:val="16"/>
        </w:numPr>
        <w:tabs>
          <w:tab w:pos="794" w:val="left" w:leader="none"/>
        </w:tabs>
        <w:spacing w:line="240" w:lineRule="auto" w:before="1" w:after="0"/>
        <w:ind w:left="680" w:right="1130" w:hanging="60"/>
        <w:jc w:val="left"/>
        <w:rPr>
          <w:sz w:val="24"/>
        </w:rPr>
      </w:pPr>
      <w:r>
        <w:rPr>
          <w:sz w:val="24"/>
        </w:rPr>
        <w:t>multiplicarea materialelor informative destinate susţinerii campaniei şi anume (100 buc. broşura “</w:t>
      </w:r>
      <w:r>
        <w:rPr>
          <w:i/>
          <w:sz w:val="24"/>
        </w:rPr>
        <w:t>Ce este depresia-Importanţa comunicării</w:t>
      </w:r>
      <w:r>
        <w:rPr>
          <w:sz w:val="24"/>
        </w:rPr>
        <w:t>” ; 10 buc poster</w:t>
      </w:r>
      <w:r>
        <w:rPr>
          <w:spacing w:val="-4"/>
          <w:sz w:val="24"/>
        </w:rPr>
        <w:t> </w:t>
      </w:r>
      <w:r>
        <w:rPr>
          <w:sz w:val="24"/>
        </w:rPr>
        <w:t>–“</w:t>
      </w:r>
      <w:r>
        <w:rPr>
          <w:i/>
          <w:sz w:val="24"/>
        </w:rPr>
        <w:t>Depresia</w:t>
      </w:r>
      <w:r>
        <w:rPr>
          <w:sz w:val="24"/>
        </w:rPr>
        <w:t>”</w:t>
      </w:r>
    </w:p>
    <w:p>
      <w:pPr>
        <w:pStyle w:val="ListParagraph"/>
        <w:numPr>
          <w:ilvl w:val="0"/>
          <w:numId w:val="16"/>
        </w:numPr>
        <w:tabs>
          <w:tab w:pos="760" w:val="left" w:leader="none"/>
        </w:tabs>
        <w:spacing w:line="240" w:lineRule="auto" w:before="0" w:after="0"/>
        <w:ind w:left="680" w:right="1496" w:hanging="60"/>
        <w:jc w:val="left"/>
        <w:rPr>
          <w:sz w:val="24"/>
        </w:rPr>
      </w:pPr>
      <w:r>
        <w:rPr>
          <w:sz w:val="24"/>
        </w:rPr>
        <w:t>participarea în data de 7 aprilie 2017 la Conferinţa de presă “ </w:t>
      </w:r>
      <w:r>
        <w:rPr>
          <w:i/>
          <w:sz w:val="24"/>
        </w:rPr>
        <w:t>Să vorbim despre depresie </w:t>
      </w:r>
      <w:r>
        <w:rPr>
          <w:sz w:val="24"/>
        </w:rPr>
        <w:t>“ – organizată de către OAMGMAMR- Bucureşti în parteneriat cu Sp. Clinic de Psihiatrie “Prof. Dr. Al.</w:t>
      </w:r>
      <w:r>
        <w:rPr>
          <w:spacing w:val="-2"/>
          <w:sz w:val="24"/>
        </w:rPr>
        <w:t> </w:t>
      </w:r>
      <w:r>
        <w:rPr>
          <w:sz w:val="24"/>
        </w:rPr>
        <w:t>Obregia”</w:t>
      </w:r>
    </w:p>
    <w:p>
      <w:pPr>
        <w:pStyle w:val="BodyText"/>
        <w:ind w:left="740"/>
      </w:pPr>
      <w:r>
        <w:rPr/>
        <w:t>Materiale IEC utilizate : 100 buc.</w:t>
      </w:r>
    </w:p>
    <w:p>
      <w:pPr>
        <w:pStyle w:val="BodyText"/>
        <w:spacing w:before="11"/>
        <w:ind w:left="0"/>
        <w:rPr>
          <w:sz w:val="23"/>
        </w:rPr>
      </w:pPr>
    </w:p>
    <w:p>
      <w:pPr>
        <w:pStyle w:val="ListParagraph"/>
        <w:numPr>
          <w:ilvl w:val="0"/>
          <w:numId w:val="23"/>
        </w:numPr>
        <w:tabs>
          <w:tab w:pos="861" w:val="left" w:leader="none"/>
        </w:tabs>
        <w:spacing w:line="275" w:lineRule="exact" w:before="0" w:after="0"/>
        <w:ind w:left="860" w:right="0" w:hanging="241"/>
        <w:jc w:val="left"/>
        <w:rPr>
          <w:sz w:val="24"/>
        </w:rPr>
      </w:pPr>
      <w:r>
        <w:rPr>
          <w:sz w:val="24"/>
          <w:u w:val="single"/>
        </w:rPr>
        <w:t>“Săptămâna Europeană a</w:t>
      </w:r>
      <w:r>
        <w:rPr>
          <w:spacing w:val="-4"/>
          <w:sz w:val="24"/>
          <w:u w:val="single"/>
        </w:rPr>
        <w:t> </w:t>
      </w:r>
      <w:r>
        <w:rPr>
          <w:sz w:val="24"/>
          <w:u w:val="single"/>
        </w:rPr>
        <w:t>Vaccinării”</w:t>
      </w:r>
    </w:p>
    <w:p>
      <w:pPr>
        <w:pStyle w:val="BodyText"/>
        <w:ind w:left="620" w:right="1487" w:firstLine="60"/>
      </w:pPr>
      <w:r>
        <w:rPr/>
        <w:t>Tema: “Vaccinurile sunt benefice.Vaccinarea protejează sănătatea în fiecare etapă a vie</w:t>
      </w:r>
      <w:r>
        <w:rPr>
          <w:rFonts w:ascii="Tahoma" w:hAnsi="Tahoma"/>
        </w:rPr>
        <w:t>ț</w:t>
      </w:r>
      <w:r>
        <w:rPr/>
        <w:t>ii” Parteneri: Compartimentul de supraveghere epidemiologică şi control BT din cadrul DSP-MB; Asociaţia Medicilor de familie – Bucureşti;</w:t>
      </w:r>
    </w:p>
    <w:p>
      <w:pPr>
        <w:pStyle w:val="BodyText"/>
        <w:ind w:right="1140" w:hanging="60"/>
      </w:pPr>
      <w:r>
        <w:rPr/>
        <w:t>Grupul tintă: părinţi şi alte persoane care îngrijesc copii; grupe de populaţie considerate la risc; grupe vulnerabile sau greu accesibile; profesionişti din sistemul sanitar, Prefectura Bucureşti, ASSMB Activitati derulate:</w:t>
      </w:r>
    </w:p>
    <w:p>
      <w:pPr>
        <w:pStyle w:val="ListParagraph"/>
        <w:numPr>
          <w:ilvl w:val="0"/>
          <w:numId w:val="16"/>
        </w:numPr>
        <w:tabs>
          <w:tab w:pos="760" w:val="left" w:leader="none"/>
        </w:tabs>
        <w:spacing w:line="240" w:lineRule="auto" w:before="0" w:after="0"/>
        <w:ind w:left="759" w:right="0" w:hanging="140"/>
        <w:jc w:val="left"/>
        <w:rPr>
          <w:sz w:val="24"/>
        </w:rPr>
      </w:pPr>
      <w:r>
        <w:rPr>
          <w:sz w:val="24"/>
        </w:rPr>
        <w:t>publicarea pe site-ul DSP-MB a materialelor informative destinate susţinerii acestei</w:t>
      </w:r>
      <w:r>
        <w:rPr>
          <w:spacing w:val="-13"/>
          <w:sz w:val="24"/>
        </w:rPr>
        <w:t> </w:t>
      </w:r>
      <w:r>
        <w:rPr>
          <w:sz w:val="24"/>
        </w:rPr>
        <w:t>campanii</w:t>
      </w:r>
    </w:p>
    <w:p>
      <w:pPr>
        <w:pStyle w:val="ListParagraph"/>
        <w:numPr>
          <w:ilvl w:val="0"/>
          <w:numId w:val="16"/>
        </w:numPr>
        <w:tabs>
          <w:tab w:pos="760" w:val="left" w:leader="none"/>
        </w:tabs>
        <w:spacing w:line="240" w:lineRule="auto" w:before="0" w:after="0"/>
        <w:ind w:left="759" w:right="0" w:hanging="140"/>
        <w:jc w:val="left"/>
        <w:rPr>
          <w:sz w:val="24"/>
        </w:rPr>
      </w:pPr>
      <w:r>
        <w:rPr>
          <w:sz w:val="24"/>
        </w:rPr>
        <w:t>distribuire materiale informative către CMI – medici MF; prefectură Bucureşti şi</w:t>
      </w:r>
      <w:r>
        <w:rPr>
          <w:spacing w:val="-7"/>
          <w:sz w:val="24"/>
        </w:rPr>
        <w:t> </w:t>
      </w:r>
      <w:r>
        <w:rPr>
          <w:sz w:val="24"/>
        </w:rPr>
        <w:t>ASSMB</w:t>
      </w:r>
    </w:p>
    <w:p>
      <w:pPr>
        <w:pStyle w:val="ListParagraph"/>
        <w:numPr>
          <w:ilvl w:val="0"/>
          <w:numId w:val="16"/>
        </w:numPr>
        <w:tabs>
          <w:tab w:pos="820" w:val="left" w:leader="none"/>
        </w:tabs>
        <w:spacing w:line="240" w:lineRule="auto" w:before="0" w:after="0"/>
        <w:ind w:left="819" w:right="0" w:hanging="200"/>
        <w:jc w:val="left"/>
        <w:rPr>
          <w:sz w:val="24"/>
        </w:rPr>
      </w:pPr>
      <w:r>
        <w:rPr>
          <w:sz w:val="24"/>
        </w:rPr>
        <w:t>Pliante 17.760 buc; broşuri 1.334 buc; afişe 1.290</w:t>
      </w:r>
      <w:r>
        <w:rPr>
          <w:spacing w:val="-1"/>
          <w:sz w:val="24"/>
        </w:rPr>
        <w:t> </w:t>
      </w:r>
      <w:r>
        <w:rPr>
          <w:sz w:val="24"/>
        </w:rPr>
        <w:t>buc</w:t>
      </w:r>
    </w:p>
    <w:p>
      <w:pPr>
        <w:pStyle w:val="ListParagraph"/>
        <w:numPr>
          <w:ilvl w:val="0"/>
          <w:numId w:val="23"/>
        </w:numPr>
        <w:tabs>
          <w:tab w:pos="920" w:val="left" w:leader="none"/>
        </w:tabs>
        <w:spacing w:line="240" w:lineRule="auto" w:before="0" w:after="0"/>
        <w:ind w:left="620" w:right="1188" w:firstLine="60"/>
        <w:jc w:val="left"/>
        <w:rPr>
          <w:sz w:val="24"/>
        </w:rPr>
      </w:pPr>
      <w:r>
        <w:rPr>
          <w:sz w:val="24"/>
        </w:rPr>
        <w:t>Campania:</w:t>
      </w:r>
      <w:r>
        <w:rPr>
          <w:i/>
          <w:sz w:val="24"/>
        </w:rPr>
        <w:t>“Stil de viaţă sănătos”, </w:t>
      </w:r>
      <w:r>
        <w:rPr>
          <w:sz w:val="24"/>
        </w:rPr>
        <w:t>campanie de informare, cu marcarea următoarelor evenimente:</w:t>
      </w:r>
      <w:r>
        <w:rPr>
          <w:sz w:val="24"/>
          <w:u w:val="single"/>
        </w:rPr>
        <w:t> Campanie anuală mondială “ Salvează vieţi : Igiena mâinilor ” 5 mai</w:t>
      </w:r>
      <w:r>
        <w:rPr>
          <w:spacing w:val="-6"/>
          <w:sz w:val="24"/>
          <w:u w:val="single"/>
        </w:rPr>
        <w:t> </w:t>
      </w:r>
      <w:r>
        <w:rPr>
          <w:sz w:val="24"/>
          <w:u w:val="single"/>
        </w:rPr>
        <w:t>2017</w:t>
      </w:r>
    </w:p>
    <w:p>
      <w:pPr>
        <w:spacing w:line="293" w:lineRule="exact" w:before="0"/>
        <w:ind w:left="680" w:right="0" w:firstLine="0"/>
        <w:jc w:val="left"/>
        <w:rPr>
          <w:sz w:val="24"/>
        </w:rPr>
      </w:pPr>
      <w:r>
        <w:rPr>
          <w:sz w:val="24"/>
        </w:rPr>
        <w:t>Tema: ”</w:t>
      </w:r>
      <w:r>
        <w:rPr>
          <w:i/>
          <w:sz w:val="24"/>
        </w:rPr>
        <w:t>Combate rezisten</w:t>
      </w:r>
      <w:r>
        <w:rPr>
          <w:rFonts w:ascii="Tahoma" w:hAnsi="Tahoma"/>
          <w:i/>
          <w:sz w:val="25"/>
        </w:rPr>
        <w:t>ț</w:t>
      </w:r>
      <w:r>
        <w:rPr>
          <w:i/>
          <w:sz w:val="24"/>
        </w:rPr>
        <w:t>a microbiană - este în mâinile tale.</w:t>
      </w:r>
      <w:r>
        <w:rPr>
          <w:sz w:val="24"/>
        </w:rPr>
        <w:t>”</w:t>
      </w:r>
    </w:p>
    <w:p>
      <w:pPr>
        <w:spacing w:after="0" w:line="293" w:lineRule="exact"/>
        <w:jc w:val="left"/>
        <w:rPr>
          <w:sz w:val="24"/>
        </w:rPr>
        <w:sectPr>
          <w:pgSz w:w="11910" w:h="16840"/>
          <w:pgMar w:header="0" w:footer="658" w:top="1360" w:bottom="920" w:left="400" w:right="0"/>
        </w:sectPr>
      </w:pPr>
    </w:p>
    <w:p>
      <w:pPr>
        <w:pStyle w:val="BodyText"/>
        <w:spacing w:before="60"/>
        <w:ind w:right="1135" w:hanging="60"/>
        <w:jc w:val="both"/>
      </w:pPr>
      <w:r>
        <w:rPr/>
        <w:t>Grupuri tintă: personal medical; directori şi administratori de spitale; politicieni; lideri ai programelor de prevenire şi control al</w:t>
      </w:r>
      <w:r>
        <w:rPr>
          <w:spacing w:val="-4"/>
        </w:rPr>
        <w:t> </w:t>
      </w:r>
      <w:r>
        <w:rPr/>
        <w:t>infecţiilor;</w:t>
      </w:r>
    </w:p>
    <w:p>
      <w:pPr>
        <w:pStyle w:val="BodyText"/>
        <w:spacing w:before="1"/>
        <w:ind w:left="620"/>
        <w:jc w:val="both"/>
      </w:pPr>
      <w:r>
        <w:rPr>
          <w:u w:val="single"/>
        </w:rPr>
        <w:t>” Ziua Naţională a inimii” – 4 mai 2017</w:t>
      </w:r>
    </w:p>
    <w:p>
      <w:pPr>
        <w:pStyle w:val="BodyText"/>
        <w:jc w:val="both"/>
      </w:pPr>
      <w:r>
        <w:rPr/>
        <w:t>Tema: Satisfacţia vieţii şi sănătatea inimii în România.</w:t>
      </w:r>
    </w:p>
    <w:p>
      <w:pPr>
        <w:pStyle w:val="BodyText"/>
        <w:ind w:right="1139"/>
        <w:jc w:val="both"/>
      </w:pPr>
      <w:r>
        <w:rPr/>
        <w:t>Grupuri tintă: populaţia generală, educatori ( învăţători şi profesori) din toate ciclurile şcolare, angajaţi ai centrelor/ instituţiilor de cultură,personalul cultelor religioase angajaţi în misiuni umanitare, personal din instituţiile de asistenţă/ îngrijire a tinerilor cu nevoi speciale.</w:t>
      </w:r>
    </w:p>
    <w:p>
      <w:pPr>
        <w:pStyle w:val="BodyText"/>
        <w:ind w:left="620"/>
        <w:jc w:val="both"/>
      </w:pPr>
      <w:r>
        <w:rPr>
          <w:u w:val="single"/>
        </w:rPr>
        <w:t>“ Ziua Mondială de Luptă împotriva Hipertensiunii arteriale</w:t>
      </w:r>
      <w:r>
        <w:rPr/>
        <w:t> ”</w:t>
      </w:r>
    </w:p>
    <w:p>
      <w:pPr>
        <w:pStyle w:val="BodyText"/>
        <w:ind w:left="620"/>
        <w:jc w:val="both"/>
      </w:pPr>
      <w:r>
        <w:rPr/>
        <w:t>Tema: Conştientizarea populaţiei cu privire la importanţa depistării precoce a HTA;</w:t>
      </w:r>
    </w:p>
    <w:p>
      <w:pPr>
        <w:pStyle w:val="BodyText"/>
        <w:ind w:left="620"/>
        <w:jc w:val="both"/>
      </w:pPr>
      <w:r>
        <w:rPr/>
        <w:t>Grup tintă: populaţia generală</w:t>
      </w:r>
    </w:p>
    <w:p>
      <w:pPr>
        <w:pStyle w:val="BodyText"/>
        <w:jc w:val="both"/>
      </w:pPr>
      <w:r>
        <w:rPr>
          <w:u w:val="single"/>
        </w:rPr>
        <w:t>“Ziua Mondială fără Tutun ”- 31 mai 2017</w:t>
      </w:r>
    </w:p>
    <w:p>
      <w:pPr>
        <w:spacing w:before="0"/>
        <w:ind w:left="620" w:right="0" w:firstLine="0"/>
        <w:jc w:val="both"/>
        <w:rPr>
          <w:sz w:val="24"/>
        </w:rPr>
      </w:pPr>
      <w:r>
        <w:rPr>
          <w:sz w:val="24"/>
        </w:rPr>
        <w:t>Tema: “</w:t>
      </w:r>
      <w:r>
        <w:rPr>
          <w:i/>
          <w:sz w:val="24"/>
        </w:rPr>
        <w:t>Tutunul – o ameninţare severă la adresa dezvoltării</w:t>
      </w:r>
      <w:r>
        <w:rPr>
          <w:sz w:val="24"/>
        </w:rPr>
        <w:t>”</w:t>
      </w:r>
    </w:p>
    <w:p>
      <w:pPr>
        <w:pStyle w:val="BodyText"/>
        <w:ind w:right="1132" w:hanging="60"/>
        <w:jc w:val="both"/>
      </w:pPr>
      <w:r>
        <w:rPr/>
        <w:t>Parteneri: Crucea Roşie – sector 1 ; AMF –MB, Asociaţia Studenţilor Medicinişti –Bucureşti; Primaria Generală- departamenele : ASSMB şi Cultură ,învăţământ, turism:, unităţi de învăţământ, spitale şi CMI-uri;</w:t>
      </w:r>
    </w:p>
    <w:p>
      <w:pPr>
        <w:pStyle w:val="BodyText"/>
        <w:spacing w:before="1"/>
        <w:ind w:right="1141" w:hanging="60"/>
        <w:jc w:val="both"/>
      </w:pPr>
      <w:r>
        <w:rPr/>
        <w:t>Grup ţintă populaţia generală; adolescenţi şi adulţi tineri; persoane încă fumătoare; decidenţi locali de sănătate publică; Autorităţile publice locale; ONG-uri cu profil de sănătate;</w:t>
      </w:r>
      <w:r>
        <w:rPr>
          <w:spacing w:val="-11"/>
        </w:rPr>
        <w:t> </w:t>
      </w:r>
      <w:r>
        <w:rPr/>
        <w:t>Mass-media</w:t>
      </w:r>
    </w:p>
    <w:p>
      <w:pPr>
        <w:pStyle w:val="BodyText"/>
        <w:ind w:left="620"/>
        <w:jc w:val="both"/>
      </w:pPr>
      <w:r>
        <w:rPr/>
        <w:t>Activităţi derulate:</w:t>
      </w:r>
    </w:p>
    <w:p>
      <w:pPr>
        <w:pStyle w:val="ListParagraph"/>
        <w:numPr>
          <w:ilvl w:val="0"/>
          <w:numId w:val="16"/>
        </w:numPr>
        <w:tabs>
          <w:tab w:pos="820" w:val="left" w:leader="none"/>
        </w:tabs>
        <w:spacing w:line="240" w:lineRule="auto" w:before="0" w:after="0"/>
        <w:ind w:left="819" w:right="0" w:hanging="140"/>
        <w:jc w:val="both"/>
        <w:rPr>
          <w:sz w:val="24"/>
        </w:rPr>
      </w:pPr>
      <w:r>
        <w:rPr>
          <w:sz w:val="24"/>
        </w:rPr>
        <w:t>publicarea pe site-ul DSP-MB a materialelor informative destinate susţinerii acestei</w:t>
      </w:r>
      <w:r>
        <w:rPr>
          <w:spacing w:val="-14"/>
          <w:sz w:val="24"/>
        </w:rPr>
        <w:t> </w:t>
      </w:r>
      <w:r>
        <w:rPr>
          <w:sz w:val="24"/>
        </w:rPr>
        <w:t>campanii;</w:t>
      </w:r>
    </w:p>
    <w:p>
      <w:pPr>
        <w:pStyle w:val="ListParagraph"/>
        <w:numPr>
          <w:ilvl w:val="0"/>
          <w:numId w:val="16"/>
        </w:numPr>
        <w:tabs>
          <w:tab w:pos="820" w:val="left" w:leader="none"/>
        </w:tabs>
        <w:spacing w:line="240" w:lineRule="auto" w:before="0" w:after="0"/>
        <w:ind w:left="680" w:right="1238" w:firstLine="0"/>
        <w:jc w:val="left"/>
        <w:rPr>
          <w:sz w:val="24"/>
        </w:rPr>
      </w:pPr>
      <w:r>
        <w:rPr>
          <w:sz w:val="24"/>
        </w:rPr>
        <w:t>transmiterea în format electronic a materialelor IEC specifice campaniei către parteneri (ASSMB; AMF-MB; Crucea Roşie ; Asociaţia Studenţilor medicinişti-Bucurelti; Primaria Generală- Departamentul</w:t>
      </w:r>
      <w:r>
        <w:rPr>
          <w:spacing w:val="-1"/>
          <w:sz w:val="24"/>
        </w:rPr>
        <w:t> </w:t>
      </w:r>
      <w:r>
        <w:rPr>
          <w:sz w:val="24"/>
        </w:rPr>
        <w:t>Cultură-Invăţământ-Turism;</w:t>
      </w:r>
    </w:p>
    <w:p>
      <w:pPr>
        <w:pStyle w:val="BodyText"/>
      </w:pPr>
      <w:r>
        <w:rPr/>
        <w:t>-sesiuni informativ –educative în unităţi de învăţământ;</w:t>
      </w:r>
    </w:p>
    <w:p>
      <w:pPr>
        <w:pStyle w:val="BodyText"/>
      </w:pPr>
      <w:r>
        <w:rPr/>
        <w:t>-distribuire materiale IEC</w:t>
      </w:r>
    </w:p>
    <w:p>
      <w:pPr>
        <w:pStyle w:val="ListParagraph"/>
        <w:numPr>
          <w:ilvl w:val="0"/>
          <w:numId w:val="16"/>
        </w:numPr>
        <w:tabs>
          <w:tab w:pos="760" w:val="left" w:leader="none"/>
        </w:tabs>
        <w:spacing w:line="240" w:lineRule="auto" w:before="0" w:after="0"/>
        <w:ind w:left="759" w:right="0" w:hanging="140"/>
        <w:jc w:val="left"/>
        <w:rPr>
          <w:sz w:val="24"/>
        </w:rPr>
      </w:pPr>
      <w:r>
        <w:rPr>
          <w:sz w:val="24"/>
        </w:rPr>
        <w:t>Materiale IEC utilizate: 350</w:t>
      </w:r>
      <w:r>
        <w:rPr>
          <w:spacing w:val="-1"/>
          <w:sz w:val="24"/>
        </w:rPr>
        <w:t> </w:t>
      </w:r>
      <w:r>
        <w:rPr>
          <w:sz w:val="24"/>
        </w:rPr>
        <w:t>buc;</w:t>
      </w:r>
    </w:p>
    <w:p>
      <w:pPr>
        <w:pStyle w:val="ListParagraph"/>
        <w:numPr>
          <w:ilvl w:val="0"/>
          <w:numId w:val="23"/>
        </w:numPr>
        <w:tabs>
          <w:tab w:pos="880" w:val="left" w:leader="none"/>
        </w:tabs>
        <w:spacing w:line="240" w:lineRule="auto" w:before="0" w:after="0"/>
        <w:ind w:left="680" w:right="1133" w:hanging="60"/>
        <w:jc w:val="left"/>
        <w:rPr>
          <w:sz w:val="24"/>
        </w:rPr>
      </w:pPr>
      <w:r>
        <w:rPr>
          <w:sz w:val="24"/>
          <w:u w:val="single"/>
        </w:rPr>
        <w:t>Campania “ Ziua Internatională de Luptă împotriva Abuzului şi Traficului Ilicit de Droguri ”-26 iunie</w:t>
      </w:r>
      <w:r>
        <w:rPr>
          <w:spacing w:val="-1"/>
          <w:sz w:val="24"/>
          <w:u w:val="single"/>
        </w:rPr>
        <w:t> </w:t>
      </w:r>
      <w:r>
        <w:rPr>
          <w:sz w:val="24"/>
          <w:u w:val="single"/>
        </w:rPr>
        <w:t>2017</w:t>
      </w:r>
    </w:p>
    <w:p>
      <w:pPr>
        <w:pStyle w:val="BodyText"/>
        <w:ind w:right="1135" w:hanging="60"/>
        <w:jc w:val="both"/>
      </w:pPr>
      <w:r>
        <w:rPr/>
        <w:t>Parteneri: ASSMB; AMF-MB; Crucea Roşie, Asociaţia Studenţilor Medicinişti –Bucureşti; Primaria Generală- departamentul Cultură-Învăţământ-Turism, Centre de prevenire, evaluare şi consiliere antidrog;</w:t>
      </w:r>
    </w:p>
    <w:p>
      <w:pPr>
        <w:pStyle w:val="BodyText"/>
        <w:spacing w:before="1"/>
        <w:ind w:left="620" w:right="4592"/>
      </w:pPr>
      <w:r>
        <w:rPr/>
        <w:t>Grup ţintă: populaţia generală (cu predilecţie elevi şi adolescenţi) Activităţi derulate:</w:t>
      </w:r>
    </w:p>
    <w:p>
      <w:pPr>
        <w:pStyle w:val="ListParagraph"/>
        <w:numPr>
          <w:ilvl w:val="0"/>
          <w:numId w:val="16"/>
        </w:numPr>
        <w:tabs>
          <w:tab w:pos="820" w:val="left" w:leader="none"/>
        </w:tabs>
        <w:spacing w:line="240" w:lineRule="auto" w:before="0" w:after="0"/>
        <w:ind w:left="819" w:right="0" w:hanging="140"/>
        <w:jc w:val="left"/>
        <w:rPr>
          <w:sz w:val="24"/>
        </w:rPr>
      </w:pPr>
      <w:r>
        <w:rPr>
          <w:sz w:val="24"/>
        </w:rPr>
        <w:t>publicarea pe site-ul DSP-MB a materialelor informative destinate susţinerii acestei</w:t>
      </w:r>
      <w:r>
        <w:rPr>
          <w:spacing w:val="-14"/>
          <w:sz w:val="24"/>
        </w:rPr>
        <w:t> </w:t>
      </w:r>
      <w:r>
        <w:rPr>
          <w:sz w:val="24"/>
        </w:rPr>
        <w:t>campanii;</w:t>
      </w:r>
    </w:p>
    <w:p>
      <w:pPr>
        <w:pStyle w:val="ListParagraph"/>
        <w:numPr>
          <w:ilvl w:val="0"/>
          <w:numId w:val="16"/>
        </w:numPr>
        <w:tabs>
          <w:tab w:pos="820" w:val="left" w:leader="none"/>
        </w:tabs>
        <w:spacing w:line="240" w:lineRule="auto" w:before="0" w:after="0"/>
        <w:ind w:left="819" w:right="0" w:hanging="140"/>
        <w:jc w:val="left"/>
        <w:rPr>
          <w:sz w:val="24"/>
        </w:rPr>
      </w:pPr>
      <w:r>
        <w:rPr>
          <w:sz w:val="24"/>
        </w:rPr>
        <w:t>transmiterea în format electronic a materialelor IEC specifice campaniei către parteneri</w:t>
      </w:r>
      <w:r>
        <w:rPr>
          <w:spacing w:val="-3"/>
          <w:sz w:val="24"/>
        </w:rPr>
        <w:t> </w:t>
      </w:r>
      <w:r>
        <w:rPr>
          <w:sz w:val="24"/>
        </w:rPr>
        <w:t>;</w:t>
      </w:r>
    </w:p>
    <w:p>
      <w:pPr>
        <w:pStyle w:val="BodyText"/>
      </w:pPr>
      <w:r>
        <w:rPr/>
        <w:t>-distribuire materiale IEC</w:t>
      </w:r>
    </w:p>
    <w:p>
      <w:pPr>
        <w:pStyle w:val="ListParagraph"/>
        <w:numPr>
          <w:ilvl w:val="0"/>
          <w:numId w:val="16"/>
        </w:numPr>
        <w:tabs>
          <w:tab w:pos="760" w:val="left" w:leader="none"/>
        </w:tabs>
        <w:spacing w:line="240" w:lineRule="auto" w:before="0" w:after="0"/>
        <w:ind w:left="759" w:right="0" w:hanging="140"/>
        <w:jc w:val="left"/>
        <w:rPr>
          <w:sz w:val="24"/>
        </w:rPr>
      </w:pPr>
      <w:r>
        <w:rPr>
          <w:sz w:val="24"/>
        </w:rPr>
        <w:t>Materiale IEC utilizate: 600</w:t>
      </w:r>
      <w:r>
        <w:rPr>
          <w:spacing w:val="-1"/>
          <w:sz w:val="24"/>
        </w:rPr>
        <w:t> </w:t>
      </w:r>
      <w:r>
        <w:rPr>
          <w:sz w:val="24"/>
        </w:rPr>
        <w:t>buc</w:t>
      </w:r>
    </w:p>
    <w:p>
      <w:pPr>
        <w:pStyle w:val="BodyText"/>
        <w:ind w:left="0"/>
      </w:pPr>
    </w:p>
    <w:p>
      <w:pPr>
        <w:pStyle w:val="ListParagraph"/>
        <w:numPr>
          <w:ilvl w:val="0"/>
          <w:numId w:val="23"/>
        </w:numPr>
        <w:tabs>
          <w:tab w:pos="921" w:val="left" w:leader="none"/>
        </w:tabs>
        <w:spacing w:line="240" w:lineRule="auto" w:before="0" w:after="0"/>
        <w:ind w:left="680" w:right="2917" w:firstLine="0"/>
        <w:jc w:val="left"/>
        <w:rPr>
          <w:sz w:val="24"/>
        </w:rPr>
      </w:pPr>
      <w:r>
        <w:rPr/>
        <w:pict>
          <v:rect style="position:absolute;margin-left:114.620003pt;margin-top:12.523082pt;width:3pt;height:.60004pt;mso-position-horizontal-relative:page;mso-position-vertical-relative:paragraph;z-index:-265237504" filled="true" fillcolor="#003399" stroked="false">
            <v:fill type="solid"/>
            <w10:wrap type="none"/>
          </v:rect>
        </w:pict>
      </w:r>
      <w:r>
        <w:rPr>
          <w:sz w:val="24"/>
          <w:u w:val="single"/>
        </w:rPr>
        <w:t> Campania</w:t>
      </w:r>
      <w:r>
        <w:rPr>
          <w:sz w:val="24"/>
        </w:rPr>
        <w:t> </w:t>
      </w:r>
      <w:r>
        <w:rPr>
          <w:sz w:val="24"/>
          <w:u w:val="single"/>
        </w:rPr>
        <w:t>“Luna naţională a informării despre efectele consumului de alcool”</w:t>
      </w:r>
      <w:r>
        <w:rPr>
          <w:sz w:val="24"/>
        </w:rPr>
        <w:t> Tema: Informarea populaţiei cu privire la efectele consumului dăunător de alcool. Scop: promovarea unui comportament responsabil faţă de consumul de</w:t>
      </w:r>
      <w:r>
        <w:rPr>
          <w:spacing w:val="-7"/>
          <w:sz w:val="24"/>
        </w:rPr>
        <w:t> </w:t>
      </w:r>
      <w:r>
        <w:rPr>
          <w:sz w:val="24"/>
        </w:rPr>
        <w:t>alcool.</w:t>
      </w:r>
    </w:p>
    <w:p>
      <w:pPr>
        <w:pStyle w:val="BodyText"/>
        <w:ind w:right="1140" w:firstLine="60"/>
      </w:pPr>
      <w:r>
        <w:rPr/>
        <w:t>Obiective: informarea tinerilor privind notiunea de “consum dăunător de alcool” si a consecintelor sale asupra sănătăţii fizice şi psihice; conştientizarea tinerilor privind consecintele</w:t>
      </w:r>
    </w:p>
    <w:p>
      <w:pPr>
        <w:pStyle w:val="BodyText"/>
        <w:ind w:right="1140" w:firstLine="120"/>
      </w:pPr>
      <w:r>
        <w:rPr/>
        <w:t>consumului dăunător de alcool asupra vietii sociale,familiale si profesionale; prevenirea debutului timpuriu al consumului de alcool.</w:t>
      </w:r>
    </w:p>
    <w:p>
      <w:pPr>
        <w:pStyle w:val="BodyText"/>
        <w:ind w:right="1133"/>
        <w:jc w:val="both"/>
      </w:pPr>
      <w:r>
        <w:rPr/>
        <w:t>Mesaje cheie: Alcoolul este cea mai răspândită substan</w:t>
      </w:r>
      <w:r>
        <w:rPr>
          <w:rFonts w:ascii="Tahoma" w:hAnsi="Tahoma"/>
        </w:rPr>
        <w:t>ț</w:t>
      </w:r>
      <w:r>
        <w:rPr/>
        <w:t>ă utilizată în scop de relaxare. Consumul de alcool de la o vârstă tânără </w:t>
      </w:r>
      <w:r>
        <w:rPr>
          <w:rFonts w:ascii="Tahoma" w:hAnsi="Tahoma"/>
        </w:rPr>
        <w:t>ș</w:t>
      </w:r>
      <w:r>
        <w:rPr/>
        <w:t>i obiceiul de a bea frecvent </w:t>
      </w:r>
      <w:r>
        <w:rPr>
          <w:rFonts w:ascii="Tahoma" w:hAnsi="Tahoma"/>
        </w:rPr>
        <w:t>ș</w:t>
      </w:r>
      <w:r>
        <w:rPr/>
        <w:t>i/sau în cantită</w:t>
      </w:r>
      <w:r>
        <w:rPr>
          <w:rFonts w:ascii="Tahoma" w:hAnsi="Tahoma"/>
        </w:rPr>
        <w:t>ț</w:t>
      </w:r>
      <w:r>
        <w:rPr/>
        <w:t>i mari poate conduce la dependen</w:t>
      </w:r>
      <w:r>
        <w:rPr>
          <w:rFonts w:ascii="Tahoma" w:hAnsi="Tahoma"/>
        </w:rPr>
        <w:t>ț</w:t>
      </w:r>
      <w:r>
        <w:rPr/>
        <w:t>a de alcool </w:t>
      </w:r>
      <w:r>
        <w:rPr>
          <w:rFonts w:ascii="Tahoma" w:hAnsi="Tahoma"/>
        </w:rPr>
        <w:t>ș</w:t>
      </w:r>
      <w:r>
        <w:rPr/>
        <w:t>i la deteriorarea gravă a sănătă</w:t>
      </w:r>
      <w:r>
        <w:rPr>
          <w:rFonts w:ascii="Tahoma" w:hAnsi="Tahoma"/>
        </w:rPr>
        <w:t>ț</w:t>
      </w:r>
      <w:r>
        <w:rPr/>
        <w:t>ii, rela</w:t>
      </w:r>
      <w:r>
        <w:rPr>
          <w:rFonts w:ascii="Tahoma" w:hAnsi="Tahoma"/>
        </w:rPr>
        <w:t>ț</w:t>
      </w:r>
      <w:r>
        <w:rPr/>
        <w:t>iilor personale </w:t>
      </w:r>
      <w:r>
        <w:rPr>
          <w:rFonts w:ascii="Tahoma" w:hAnsi="Tahoma"/>
        </w:rPr>
        <w:t>ș</w:t>
      </w:r>
      <w:r>
        <w:rPr/>
        <w:t>i carierei.</w:t>
      </w:r>
    </w:p>
    <w:p>
      <w:pPr>
        <w:pStyle w:val="BodyText"/>
        <w:spacing w:line="275" w:lineRule="exact"/>
        <w:jc w:val="both"/>
      </w:pPr>
      <w:r>
        <w:rPr/>
        <w:t>Perioada derularii: luna iulie 217</w:t>
      </w:r>
    </w:p>
    <w:p>
      <w:pPr>
        <w:pStyle w:val="BodyText"/>
        <w:ind w:right="6855"/>
        <w:jc w:val="both"/>
      </w:pPr>
      <w:r>
        <w:rPr/>
        <w:t>Grup ţintă adolescen</w:t>
      </w:r>
      <w:r>
        <w:rPr>
          <w:rFonts w:ascii="Tahoma" w:hAnsi="Tahoma"/>
        </w:rPr>
        <w:t>ț</w:t>
      </w:r>
      <w:r>
        <w:rPr/>
        <w:t>i, tineri sub 25 ani Parteneri: Cabinete MF, Crucea Roşie S1</w:t>
      </w:r>
    </w:p>
    <w:p>
      <w:pPr>
        <w:spacing w:after="0"/>
        <w:jc w:val="both"/>
        <w:sectPr>
          <w:pgSz w:w="11910" w:h="16840"/>
          <w:pgMar w:header="0" w:footer="658" w:top="1360" w:bottom="920" w:left="400" w:right="0"/>
        </w:sectPr>
      </w:pPr>
    </w:p>
    <w:p>
      <w:pPr>
        <w:pStyle w:val="BodyText"/>
        <w:spacing w:before="60"/>
      </w:pPr>
      <w:r>
        <w:rPr/>
        <w:t>Activităţile derulate:</w:t>
      </w:r>
    </w:p>
    <w:p>
      <w:pPr>
        <w:pStyle w:val="ListParagraph"/>
        <w:numPr>
          <w:ilvl w:val="0"/>
          <w:numId w:val="16"/>
        </w:numPr>
        <w:tabs>
          <w:tab w:pos="820" w:val="left" w:leader="none"/>
        </w:tabs>
        <w:spacing w:line="240" w:lineRule="auto" w:before="1" w:after="0"/>
        <w:ind w:left="819" w:right="0" w:hanging="140"/>
        <w:jc w:val="left"/>
        <w:rPr>
          <w:sz w:val="24"/>
        </w:rPr>
      </w:pPr>
      <w:r>
        <w:rPr>
          <w:sz w:val="24"/>
        </w:rPr>
        <w:t>Publicarea pe site-ul DSP-MB a materialelor informative destinate susţinerii</w:t>
      </w:r>
      <w:r>
        <w:rPr>
          <w:spacing w:val="-10"/>
          <w:sz w:val="24"/>
        </w:rPr>
        <w:t> </w:t>
      </w:r>
      <w:r>
        <w:rPr>
          <w:sz w:val="24"/>
        </w:rPr>
        <w:t>campaniei;</w:t>
      </w:r>
    </w:p>
    <w:p>
      <w:pPr>
        <w:pStyle w:val="ListParagraph"/>
        <w:numPr>
          <w:ilvl w:val="0"/>
          <w:numId w:val="16"/>
        </w:numPr>
        <w:tabs>
          <w:tab w:pos="820" w:val="left" w:leader="none"/>
        </w:tabs>
        <w:spacing w:line="240" w:lineRule="auto" w:before="0" w:after="0"/>
        <w:ind w:left="819" w:right="0" w:hanging="140"/>
        <w:jc w:val="left"/>
        <w:rPr>
          <w:sz w:val="24"/>
        </w:rPr>
      </w:pPr>
      <w:r>
        <w:rPr>
          <w:sz w:val="24"/>
        </w:rPr>
        <w:t>Transmiterea în format electronic a materialelor IEC specifice campaniei către colaboratori</w:t>
      </w:r>
    </w:p>
    <w:p>
      <w:pPr>
        <w:pStyle w:val="ListParagraph"/>
        <w:numPr>
          <w:ilvl w:val="0"/>
          <w:numId w:val="16"/>
        </w:numPr>
        <w:tabs>
          <w:tab w:pos="820" w:val="left" w:leader="none"/>
        </w:tabs>
        <w:spacing w:line="240" w:lineRule="auto" w:before="0" w:after="0"/>
        <w:ind w:left="819" w:right="0" w:hanging="140"/>
        <w:jc w:val="left"/>
        <w:rPr>
          <w:sz w:val="24"/>
        </w:rPr>
      </w:pPr>
      <w:r>
        <w:rPr>
          <w:sz w:val="24"/>
        </w:rPr>
        <w:t>Distributie materiale IEC: pliante 200 buc, fluturaşi A4 250</w:t>
      </w:r>
      <w:r>
        <w:rPr>
          <w:spacing w:val="-4"/>
          <w:sz w:val="24"/>
        </w:rPr>
        <w:t> </w:t>
      </w:r>
      <w:r>
        <w:rPr>
          <w:sz w:val="24"/>
        </w:rPr>
        <w:t>buc.</w:t>
      </w:r>
    </w:p>
    <w:p>
      <w:pPr>
        <w:pStyle w:val="ListParagraph"/>
        <w:numPr>
          <w:ilvl w:val="0"/>
          <w:numId w:val="23"/>
        </w:numPr>
        <w:tabs>
          <w:tab w:pos="921" w:val="left" w:leader="none"/>
        </w:tabs>
        <w:spacing w:line="240" w:lineRule="auto" w:before="0" w:after="0"/>
        <w:ind w:left="680" w:right="3658" w:firstLine="0"/>
        <w:jc w:val="left"/>
        <w:rPr>
          <w:sz w:val="24"/>
        </w:rPr>
      </w:pPr>
      <w:r>
        <w:rPr>
          <w:sz w:val="24"/>
          <w:u w:val="single"/>
        </w:rPr>
        <w:t>Campania : Ziua Mondială de Luptă împotriva Hepatitei – 28 iulie 2017</w:t>
      </w:r>
      <w:r>
        <w:rPr>
          <w:sz w:val="24"/>
        </w:rPr>
        <w:t> Tema: eliminarea</w:t>
      </w:r>
      <w:r>
        <w:rPr>
          <w:spacing w:val="-2"/>
          <w:sz w:val="24"/>
        </w:rPr>
        <w:t> </w:t>
      </w:r>
      <w:r>
        <w:rPr>
          <w:sz w:val="24"/>
        </w:rPr>
        <w:t>hepatitei.</w:t>
      </w:r>
    </w:p>
    <w:p>
      <w:pPr>
        <w:pStyle w:val="BodyText"/>
        <w:spacing w:before="1"/>
        <w:ind w:right="1136"/>
        <w:jc w:val="both"/>
      </w:pPr>
      <w:r>
        <w:rPr/>
        <w:t>Scop: Cre</w:t>
      </w:r>
      <w:r>
        <w:rPr>
          <w:rFonts w:ascii="Tahoma" w:hAnsi="Tahoma"/>
        </w:rPr>
        <w:t>ș</w:t>
      </w:r>
      <w:r>
        <w:rPr/>
        <w:t>terea nivelului de con</w:t>
      </w:r>
      <w:r>
        <w:rPr>
          <w:rFonts w:ascii="Tahoma" w:hAnsi="Tahoma"/>
        </w:rPr>
        <w:t>ș</w:t>
      </w:r>
      <w:r>
        <w:rPr/>
        <w:t>tientizare a popula</w:t>
      </w:r>
      <w:r>
        <w:rPr>
          <w:rFonts w:ascii="Tahoma" w:hAnsi="Tahoma"/>
        </w:rPr>
        <w:t>ț</w:t>
      </w:r>
      <w:r>
        <w:rPr/>
        <w:t>iei în privin</w:t>
      </w:r>
      <w:r>
        <w:rPr>
          <w:rFonts w:ascii="Tahoma" w:hAnsi="Tahoma"/>
        </w:rPr>
        <w:t>ț</w:t>
      </w:r>
      <w:r>
        <w:rPr/>
        <w:t>a poverii uria</w:t>
      </w:r>
      <w:r>
        <w:rPr>
          <w:rFonts w:ascii="Tahoma" w:hAnsi="Tahoma"/>
        </w:rPr>
        <w:t>ș</w:t>
      </w:r>
      <w:r>
        <w:rPr/>
        <w:t>e reprezentată de hepatitele virale </w:t>
      </w:r>
      <w:r>
        <w:rPr>
          <w:rFonts w:ascii="Tahoma" w:hAnsi="Tahoma"/>
        </w:rPr>
        <w:t>ș</w:t>
      </w:r>
      <w:r>
        <w:rPr/>
        <w:t>i îmbunătă</w:t>
      </w:r>
      <w:r>
        <w:rPr>
          <w:rFonts w:ascii="Tahoma" w:hAnsi="Tahoma"/>
        </w:rPr>
        <w:t>ț</w:t>
      </w:r>
      <w:r>
        <w:rPr/>
        <w:t>irea prevenirii bolilor </w:t>
      </w:r>
      <w:r>
        <w:rPr>
          <w:rFonts w:ascii="Tahoma" w:hAnsi="Tahoma"/>
        </w:rPr>
        <w:t>ș</w:t>
      </w:r>
      <w:r>
        <w:rPr/>
        <w:t>i a accesului la testare, tratament </w:t>
      </w:r>
      <w:r>
        <w:rPr>
          <w:rFonts w:ascii="Tahoma" w:hAnsi="Tahoma"/>
        </w:rPr>
        <w:t>ș</w:t>
      </w:r>
      <w:r>
        <w:rPr/>
        <w:t>i îngrijire.</w:t>
      </w:r>
    </w:p>
    <w:p>
      <w:pPr>
        <w:pStyle w:val="BodyText"/>
        <w:ind w:right="1132"/>
        <w:jc w:val="both"/>
      </w:pPr>
      <w:r>
        <w:rPr/>
        <w:t>Obiective : Mobilizarea popula</w:t>
      </w:r>
      <w:r>
        <w:rPr>
          <w:rFonts w:ascii="Tahoma" w:hAnsi="Tahoma"/>
        </w:rPr>
        <w:t>ț</w:t>
      </w:r>
      <w:r>
        <w:rPr/>
        <w:t>iei </w:t>
      </w:r>
      <w:r>
        <w:rPr>
          <w:rFonts w:ascii="Tahoma" w:hAnsi="Tahoma"/>
        </w:rPr>
        <w:t>ș</w:t>
      </w:r>
      <w:r>
        <w:rPr/>
        <w:t>i a deciden</w:t>
      </w:r>
      <w:r>
        <w:rPr>
          <w:rFonts w:ascii="Tahoma" w:hAnsi="Tahoma"/>
        </w:rPr>
        <w:t>ț</w:t>
      </w:r>
      <w:r>
        <w:rPr/>
        <w:t>ilor politici în vederea aderării la mi</w:t>
      </w:r>
      <w:r>
        <w:rPr>
          <w:rFonts w:ascii="Tahoma" w:hAnsi="Tahoma"/>
        </w:rPr>
        <w:t>ș</w:t>
      </w:r>
      <w:r>
        <w:rPr/>
        <w:t>carea globală NOhep, pentru a sus</w:t>
      </w:r>
      <w:r>
        <w:rPr>
          <w:rFonts w:ascii="Tahoma" w:hAnsi="Tahoma"/>
        </w:rPr>
        <w:t>ț</w:t>
      </w:r>
      <w:r>
        <w:rPr/>
        <w:t>ine eliminarea hepatitelor virale, cre</w:t>
      </w:r>
      <w:r>
        <w:rPr>
          <w:rFonts w:ascii="Tahoma" w:hAnsi="Tahoma"/>
        </w:rPr>
        <w:t>ș</w:t>
      </w:r>
      <w:r>
        <w:rPr/>
        <w:t>terea nivelului de conştientizare a populaţiei generale în privin</w:t>
      </w:r>
      <w:r>
        <w:rPr>
          <w:rFonts w:ascii="Tahoma" w:hAnsi="Tahoma"/>
        </w:rPr>
        <w:t>ț</w:t>
      </w:r>
      <w:r>
        <w:rPr/>
        <w:t>a diferitelor tipuri de hepatite virale, inclusiv căile de transmitere, educarea oamenilor, în vederea însu</w:t>
      </w:r>
      <w:r>
        <w:rPr>
          <w:rFonts w:ascii="Tahoma" w:hAnsi="Tahoma"/>
        </w:rPr>
        <w:t>ș</w:t>
      </w:r>
      <w:r>
        <w:rPr/>
        <w:t>irii de cuno</w:t>
      </w:r>
      <w:r>
        <w:rPr>
          <w:rFonts w:ascii="Tahoma" w:hAnsi="Tahoma"/>
        </w:rPr>
        <w:t>ș</w:t>
      </w:r>
      <w:r>
        <w:rPr/>
        <w:t>tin</w:t>
      </w:r>
      <w:r>
        <w:rPr>
          <w:rFonts w:ascii="Tahoma" w:hAnsi="Tahoma"/>
        </w:rPr>
        <w:t>ț</w:t>
      </w:r>
      <w:r>
        <w:rPr/>
        <w:t>e privind prevenirea, vaccinarea, depistarea precoce, tratamentul, monitorizarea etc.</w:t>
      </w:r>
    </w:p>
    <w:p>
      <w:pPr>
        <w:pStyle w:val="BodyText"/>
        <w:jc w:val="both"/>
      </w:pPr>
      <w:r>
        <w:rPr/>
        <w:t>Perioada derulării: 24 iulie - 11 august 2017</w:t>
      </w:r>
    </w:p>
    <w:p>
      <w:pPr>
        <w:pStyle w:val="BodyText"/>
        <w:ind w:right="1135"/>
        <w:jc w:val="both"/>
      </w:pPr>
      <w:r>
        <w:rPr/>
        <w:t>Parteneri : Crucea Roşie – sect. 1, AMF-MB, Asociaţia Studenţilor Medicinişti- Bucureşti, Primaria Generală- ASSMB, spitale şi CMI –uri.</w:t>
      </w:r>
    </w:p>
    <w:p>
      <w:pPr>
        <w:pStyle w:val="BodyText"/>
        <w:jc w:val="both"/>
      </w:pPr>
      <w:r>
        <w:rPr/>
        <w:t>Activităţile derulate (tip şi nr) :</w:t>
      </w:r>
    </w:p>
    <w:p>
      <w:pPr>
        <w:pStyle w:val="ListParagraph"/>
        <w:numPr>
          <w:ilvl w:val="0"/>
          <w:numId w:val="16"/>
        </w:numPr>
        <w:tabs>
          <w:tab w:pos="820" w:val="left" w:leader="none"/>
        </w:tabs>
        <w:spacing w:line="240" w:lineRule="auto" w:before="0" w:after="0"/>
        <w:ind w:left="819" w:right="0" w:hanging="140"/>
        <w:jc w:val="both"/>
        <w:rPr>
          <w:sz w:val="24"/>
        </w:rPr>
      </w:pPr>
      <w:r>
        <w:rPr>
          <w:sz w:val="24"/>
        </w:rPr>
        <w:t>publicarea pe site-ul DSP-MB a materialelor informative destinate susţinerii</w:t>
      </w:r>
      <w:r>
        <w:rPr>
          <w:spacing w:val="-10"/>
          <w:sz w:val="24"/>
        </w:rPr>
        <w:t> </w:t>
      </w:r>
      <w:r>
        <w:rPr>
          <w:sz w:val="24"/>
        </w:rPr>
        <w:t>campaniei;</w:t>
      </w:r>
    </w:p>
    <w:p>
      <w:pPr>
        <w:pStyle w:val="ListParagraph"/>
        <w:numPr>
          <w:ilvl w:val="0"/>
          <w:numId w:val="16"/>
        </w:numPr>
        <w:tabs>
          <w:tab w:pos="899" w:val="left" w:leader="none"/>
        </w:tabs>
        <w:spacing w:line="240" w:lineRule="auto" w:before="0" w:after="0"/>
        <w:ind w:left="680" w:right="1136" w:firstLine="0"/>
        <w:jc w:val="both"/>
        <w:rPr>
          <w:sz w:val="24"/>
        </w:rPr>
      </w:pPr>
      <w:r>
        <w:rPr>
          <w:sz w:val="24"/>
        </w:rPr>
        <w:t>transmiterea în format electronic a materialelor IEC specifice campaniei către colaboratori (ASSMB, AMF-MB; Crucea Roşie; Asociaţia Studenţilor Medicinişti- Bucureşti; Primaria Generală-Departamentul Cultură, Învăţământ,</w:t>
      </w:r>
      <w:r>
        <w:rPr>
          <w:spacing w:val="1"/>
          <w:sz w:val="24"/>
        </w:rPr>
        <w:t> </w:t>
      </w:r>
      <w:r>
        <w:rPr>
          <w:sz w:val="24"/>
        </w:rPr>
        <w:t>Turism);</w:t>
      </w:r>
    </w:p>
    <w:p>
      <w:pPr>
        <w:pStyle w:val="ListParagraph"/>
        <w:numPr>
          <w:ilvl w:val="0"/>
          <w:numId w:val="16"/>
        </w:numPr>
        <w:tabs>
          <w:tab w:pos="820" w:val="left" w:leader="none"/>
        </w:tabs>
        <w:spacing w:line="240" w:lineRule="auto" w:before="0" w:after="0"/>
        <w:ind w:left="819" w:right="0" w:hanging="140"/>
        <w:jc w:val="both"/>
        <w:rPr>
          <w:sz w:val="24"/>
        </w:rPr>
      </w:pPr>
      <w:r>
        <w:rPr>
          <w:sz w:val="24"/>
        </w:rPr>
        <w:t>distribuţie materiale</w:t>
      </w:r>
      <w:r>
        <w:rPr>
          <w:spacing w:val="-1"/>
          <w:sz w:val="24"/>
        </w:rPr>
        <w:t> </w:t>
      </w:r>
      <w:r>
        <w:rPr>
          <w:sz w:val="24"/>
        </w:rPr>
        <w:t>IEC</w:t>
      </w:r>
    </w:p>
    <w:p>
      <w:pPr>
        <w:pStyle w:val="BodyText"/>
        <w:ind w:right="1131"/>
        <w:jc w:val="both"/>
      </w:pPr>
      <w:r>
        <w:rPr/>
        <w:t>Grupul  (grupurile)  ţintă  popula</w:t>
      </w:r>
      <w:r>
        <w:rPr>
          <w:rFonts w:ascii="Tahoma" w:hAnsi="Tahoma"/>
        </w:rPr>
        <w:t>ț</w:t>
      </w:r>
      <w:r>
        <w:rPr/>
        <w:t>ia  generală,  grupurile   popula</w:t>
      </w:r>
      <w:r>
        <w:rPr>
          <w:rFonts w:ascii="Tahoma" w:hAnsi="Tahoma"/>
        </w:rPr>
        <w:t>ț</w:t>
      </w:r>
      <w:r>
        <w:rPr/>
        <w:t>ionale   cu   risc   crescut,  pacien</w:t>
      </w:r>
      <w:r>
        <w:rPr>
          <w:rFonts w:ascii="Tahoma" w:hAnsi="Tahoma"/>
        </w:rPr>
        <w:t>ț</w:t>
      </w:r>
      <w:r>
        <w:rPr/>
        <w:t>ii cu hepatite virale </w:t>
      </w:r>
      <w:r>
        <w:rPr>
          <w:rFonts w:ascii="Tahoma" w:hAnsi="Tahoma"/>
        </w:rPr>
        <w:t>ș</w:t>
      </w:r>
      <w:r>
        <w:rPr/>
        <w:t>i familiile acestora, furnizorii de servicii medicale, factorii de decizie politică.</w:t>
      </w:r>
    </w:p>
    <w:p>
      <w:pPr>
        <w:pStyle w:val="BodyText"/>
        <w:spacing w:line="275" w:lineRule="exact"/>
        <w:jc w:val="both"/>
      </w:pPr>
      <w:r>
        <w:rPr/>
        <w:t>Locul derulării activităţii/ilor: unităţi medicale, spitale, policlinici, CMI-uri.</w:t>
      </w:r>
    </w:p>
    <w:p>
      <w:pPr>
        <w:pStyle w:val="BodyText"/>
      </w:pPr>
      <w:r>
        <w:rPr/>
        <w:t>Materiale IEC utilizate (nr. şi tip): pliant: “ Spală-te pe mâini, rupe lanţul infecţiei”, 100 buc</w:t>
      </w:r>
    </w:p>
    <w:p>
      <w:pPr>
        <w:pStyle w:val="ListParagraph"/>
        <w:numPr>
          <w:ilvl w:val="0"/>
          <w:numId w:val="16"/>
        </w:numPr>
        <w:tabs>
          <w:tab w:pos="820" w:val="left" w:leader="none"/>
        </w:tabs>
        <w:spacing w:line="240" w:lineRule="auto" w:before="0" w:after="0"/>
        <w:ind w:left="819" w:right="0" w:hanging="140"/>
        <w:jc w:val="left"/>
        <w:rPr>
          <w:sz w:val="24"/>
        </w:rPr>
      </w:pPr>
      <w:r>
        <w:rPr>
          <w:sz w:val="24"/>
        </w:rPr>
        <w:t>poster A3 « Igiena preşcolarului </w:t>
      </w:r>
      <w:r>
        <w:rPr>
          <w:spacing w:val="-4"/>
          <w:sz w:val="24"/>
        </w:rPr>
        <w:t>»:</w:t>
      </w:r>
      <w:r>
        <w:rPr>
          <w:spacing w:val="52"/>
          <w:sz w:val="24"/>
        </w:rPr>
        <w:t> </w:t>
      </w:r>
      <w:r>
        <w:rPr>
          <w:sz w:val="24"/>
        </w:rPr>
        <w:t>50</w:t>
      </w:r>
      <w:r>
        <w:rPr>
          <w:spacing w:val="17"/>
          <w:sz w:val="24"/>
        </w:rPr>
        <w:t> </w:t>
      </w:r>
      <w:r>
        <w:rPr>
          <w:sz w:val="24"/>
        </w:rPr>
        <w:t>buc.</w:t>
      </w:r>
    </w:p>
    <w:p>
      <w:pPr>
        <w:pStyle w:val="ListParagraph"/>
        <w:numPr>
          <w:ilvl w:val="0"/>
          <w:numId w:val="16"/>
        </w:numPr>
        <w:tabs>
          <w:tab w:pos="880" w:val="left" w:leader="none"/>
        </w:tabs>
        <w:spacing w:line="240" w:lineRule="auto" w:before="0" w:after="0"/>
        <w:ind w:left="879" w:right="0" w:hanging="200"/>
        <w:jc w:val="left"/>
        <w:rPr>
          <w:sz w:val="24"/>
        </w:rPr>
      </w:pPr>
      <w:r>
        <w:rPr>
          <w:sz w:val="24"/>
        </w:rPr>
        <w:t>pliant:“Sărutul şi îmbrăţişarea nu transmit HIV – Ignoranţa o face” - 40</w:t>
      </w:r>
      <w:r>
        <w:rPr>
          <w:spacing w:val="-1"/>
          <w:sz w:val="24"/>
        </w:rPr>
        <w:t> </w:t>
      </w:r>
      <w:r>
        <w:rPr>
          <w:sz w:val="24"/>
        </w:rPr>
        <w:t>buc</w:t>
      </w:r>
    </w:p>
    <w:p>
      <w:pPr>
        <w:pStyle w:val="ListParagraph"/>
        <w:numPr>
          <w:ilvl w:val="0"/>
          <w:numId w:val="16"/>
        </w:numPr>
        <w:tabs>
          <w:tab w:pos="820" w:val="left" w:leader="none"/>
        </w:tabs>
        <w:spacing w:line="240" w:lineRule="auto" w:before="0" w:after="0"/>
        <w:ind w:left="680" w:right="3193" w:firstLine="0"/>
        <w:jc w:val="left"/>
        <w:rPr>
          <w:sz w:val="24"/>
        </w:rPr>
      </w:pPr>
      <w:r>
        <w:rPr>
          <w:sz w:val="24"/>
        </w:rPr>
        <w:t>poster: :“Sărutul şi îmbrăţişarea nu transmit HIV – Ignoranţa o face” - 50 buc.</w:t>
      </w:r>
      <w:r>
        <w:rPr>
          <w:sz w:val="24"/>
          <w:u w:val="single"/>
        </w:rPr>
        <w:t> 10. Campania ” Ziua Mondială a Contracepţiei - 26 septembrie</w:t>
      </w:r>
      <w:r>
        <w:rPr>
          <w:spacing w:val="-2"/>
          <w:sz w:val="24"/>
          <w:u w:val="single"/>
        </w:rPr>
        <w:t> </w:t>
      </w:r>
      <w:r>
        <w:rPr>
          <w:sz w:val="24"/>
          <w:u w:val="single"/>
        </w:rPr>
        <w:t>2017</w:t>
      </w:r>
    </w:p>
    <w:p>
      <w:pPr>
        <w:pStyle w:val="BodyText"/>
        <w:spacing w:before="1"/>
        <w:ind w:right="1162"/>
      </w:pPr>
      <w:r>
        <w:rPr/>
        <w:t>Tema: Campanie de informare şi  de creştere a interesului populaţiei generale, mai ales a minorilor şi tinerilor, cu privire la importanţa utilizării metodelor contraceptive, cunoaşterea tuturor opţiunilor, pentru prevenirea sarcinilor nedorite </w:t>
      </w:r>
      <w:r>
        <w:rPr>
          <w:rFonts w:ascii="Tahoma" w:hAnsi="Tahoma"/>
        </w:rPr>
        <w:t>ș</w:t>
      </w:r>
      <w:r>
        <w:rPr/>
        <w:t>i a consecin</w:t>
      </w:r>
      <w:r>
        <w:rPr>
          <w:rFonts w:ascii="Tahoma" w:hAnsi="Tahoma"/>
        </w:rPr>
        <w:t>ț</w:t>
      </w:r>
      <w:r>
        <w:rPr/>
        <w:t>elor</w:t>
      </w:r>
      <w:r>
        <w:rPr>
          <w:spacing w:val="-3"/>
        </w:rPr>
        <w:t> </w:t>
      </w:r>
      <w:r>
        <w:rPr/>
        <w:t>acestora.</w:t>
      </w:r>
    </w:p>
    <w:p>
      <w:pPr>
        <w:pStyle w:val="BodyText"/>
        <w:spacing w:before="1"/>
        <w:ind w:right="1132" w:firstLine="60"/>
        <w:jc w:val="both"/>
      </w:pPr>
      <w:r>
        <w:rPr/>
        <w:t>Scop: </w:t>
      </w:r>
      <w:r>
        <w:rPr>
          <w:shadow/>
        </w:rPr>
        <w:t>Informarea</w:t>
      </w:r>
      <w:r>
        <w:rPr>
          <w:shadow w:val="0"/>
        </w:rPr>
        <w:t> </w:t>
      </w:r>
      <w:r>
        <w:rPr>
          <w:shadow/>
        </w:rPr>
        <w:t>populaţiei</w:t>
      </w:r>
      <w:r>
        <w:rPr>
          <w:shadow w:val="0"/>
        </w:rPr>
        <w:t> </w:t>
      </w:r>
      <w:r>
        <w:rPr>
          <w:shadow/>
        </w:rPr>
        <w:t>generale</w:t>
      </w:r>
      <w:r>
        <w:rPr>
          <w:shadow w:val="0"/>
        </w:rPr>
        <w:t> </w:t>
      </w:r>
      <w:r>
        <w:rPr>
          <w:shadow/>
        </w:rPr>
        <w:t>cu</w:t>
      </w:r>
      <w:r>
        <w:rPr>
          <w:shadow w:val="0"/>
        </w:rPr>
        <w:t> </w:t>
      </w:r>
      <w:r>
        <w:rPr>
          <w:shadow/>
        </w:rPr>
        <w:t>privire</w:t>
      </w:r>
      <w:r>
        <w:rPr>
          <w:shadow w:val="0"/>
        </w:rPr>
        <w:t> </w:t>
      </w:r>
      <w:r>
        <w:rPr>
          <w:shadow/>
        </w:rPr>
        <w:t>la</w:t>
      </w:r>
      <w:r>
        <w:rPr>
          <w:shadow w:val="0"/>
        </w:rPr>
        <w:t> </w:t>
      </w:r>
      <w:r>
        <w:rPr>
          <w:shadow/>
        </w:rPr>
        <w:t>importan</w:t>
      </w:r>
      <w:r>
        <w:rPr>
          <w:rFonts w:ascii="Tahoma" w:hAnsi="Tahoma"/>
          <w:shadow/>
        </w:rPr>
        <w:t>ț</w:t>
      </w:r>
      <w:r>
        <w:rPr>
          <w:shadow/>
        </w:rPr>
        <w:t>a</w:t>
      </w:r>
      <w:r>
        <w:rPr>
          <w:shadow w:val="0"/>
        </w:rPr>
        <w:t> </w:t>
      </w:r>
      <w:r>
        <w:rPr>
          <w:shadow/>
        </w:rPr>
        <w:t>metodelor</w:t>
      </w:r>
      <w:r>
        <w:rPr>
          <w:shadow w:val="0"/>
        </w:rPr>
        <w:t> </w:t>
      </w:r>
      <w:r>
        <w:rPr>
          <w:shadow/>
        </w:rPr>
        <w:t>contraceptive;</w:t>
      </w:r>
      <w:r>
        <w:rPr>
          <w:shadow w:val="0"/>
        </w:rPr>
        <w:t> </w:t>
      </w:r>
      <w:r>
        <w:rPr>
          <w:shadow/>
        </w:rPr>
        <w:t>Creşterea</w:t>
      </w:r>
      <w:r>
        <w:rPr>
          <w:shadow w:val="0"/>
        </w:rPr>
        <w:t> </w:t>
      </w:r>
      <w:r>
        <w:rPr>
          <w:shadow/>
        </w:rPr>
        <w:t>gradului</w:t>
      </w:r>
      <w:r>
        <w:rPr>
          <w:shadow w:val="0"/>
        </w:rPr>
        <w:t> </w:t>
      </w:r>
      <w:r>
        <w:rPr>
          <w:shadow/>
        </w:rPr>
        <w:t>de</w:t>
      </w:r>
      <w:r>
        <w:rPr>
          <w:shadow w:val="0"/>
        </w:rPr>
        <w:t> </w:t>
      </w:r>
      <w:r>
        <w:rPr>
          <w:shadow/>
        </w:rPr>
        <w:t>conştientizare</w:t>
      </w:r>
      <w:r>
        <w:rPr>
          <w:shadow w:val="0"/>
        </w:rPr>
        <w:t> </w:t>
      </w:r>
      <w:r>
        <w:rPr>
          <w:shadow/>
        </w:rPr>
        <w:t>şi</w:t>
      </w:r>
      <w:r>
        <w:rPr>
          <w:shadow w:val="0"/>
        </w:rPr>
        <w:t> </w:t>
      </w:r>
      <w:r>
        <w:rPr>
          <w:shadow/>
        </w:rPr>
        <w:t>de</w:t>
      </w:r>
      <w:r>
        <w:rPr>
          <w:shadow w:val="0"/>
        </w:rPr>
        <w:t> </w:t>
      </w:r>
      <w:r>
        <w:rPr>
          <w:shadow/>
        </w:rPr>
        <w:t>informare</w:t>
      </w:r>
      <w:r>
        <w:rPr>
          <w:shadow w:val="0"/>
        </w:rPr>
        <w:t> </w:t>
      </w:r>
      <w:r>
        <w:rPr>
          <w:shadow/>
        </w:rPr>
        <w:t>a</w:t>
      </w:r>
      <w:r>
        <w:rPr>
          <w:shadow w:val="0"/>
        </w:rPr>
        <w:t> </w:t>
      </w:r>
      <w:r>
        <w:rPr>
          <w:shadow/>
        </w:rPr>
        <w:t>tinerilor,</w:t>
      </w:r>
      <w:r>
        <w:rPr>
          <w:shadow w:val="0"/>
        </w:rPr>
        <w:t> </w:t>
      </w:r>
      <w:r>
        <w:rPr>
          <w:shadow/>
        </w:rPr>
        <w:t>pentru</w:t>
      </w:r>
      <w:r>
        <w:rPr>
          <w:shadow w:val="0"/>
        </w:rPr>
        <w:t> </w:t>
      </w:r>
      <w:r>
        <w:rPr>
          <w:shadow/>
        </w:rPr>
        <w:t>a</w:t>
      </w:r>
      <w:r>
        <w:rPr>
          <w:shadow w:val="0"/>
        </w:rPr>
        <w:t> </w:t>
      </w:r>
      <w:r>
        <w:rPr>
          <w:shadow/>
        </w:rPr>
        <w:t>face</w:t>
      </w:r>
      <w:r>
        <w:rPr>
          <w:shadow w:val="0"/>
        </w:rPr>
        <w:t> </w:t>
      </w:r>
      <w:r>
        <w:rPr>
          <w:shadow/>
        </w:rPr>
        <w:t>alegeri</w:t>
      </w:r>
      <w:r>
        <w:rPr>
          <w:shadow w:val="0"/>
        </w:rPr>
        <w:t> </w:t>
      </w:r>
      <w:r>
        <w:rPr>
          <w:shadow/>
        </w:rPr>
        <w:t>corecte</w:t>
      </w:r>
      <w:r>
        <w:rPr>
          <w:shadow w:val="0"/>
        </w:rPr>
        <w:t> </w:t>
      </w:r>
      <w:r>
        <w:rPr>
          <w:shadow/>
        </w:rPr>
        <w:t>legate</w:t>
      </w:r>
      <w:r>
        <w:rPr>
          <w:shadow w:val="0"/>
        </w:rPr>
        <w:t> </w:t>
      </w:r>
      <w:r>
        <w:rPr>
          <w:shadow/>
        </w:rPr>
        <w:t>de</w:t>
      </w:r>
      <w:r>
        <w:rPr>
          <w:shadow w:val="0"/>
        </w:rPr>
        <w:t> </w:t>
      </w:r>
      <w:r>
        <w:rPr>
          <w:shadow/>
        </w:rPr>
        <w:t>propria</w:t>
      </w:r>
      <w:r>
        <w:rPr>
          <w:shadow w:val="0"/>
        </w:rPr>
        <w:t> </w:t>
      </w:r>
      <w:r>
        <w:rPr>
          <w:shadow/>
        </w:rPr>
        <w:t>sănătate</w:t>
      </w:r>
      <w:r>
        <w:rPr>
          <w:shadow w:val="0"/>
        </w:rPr>
        <w:t> </w:t>
      </w:r>
      <w:r>
        <w:rPr>
          <w:shadow/>
        </w:rPr>
        <w:t>sexuală</w:t>
      </w:r>
      <w:r>
        <w:rPr>
          <w:shadow w:val="0"/>
        </w:rPr>
        <w:t> </w:t>
      </w:r>
      <w:r>
        <w:rPr>
          <w:shadow/>
        </w:rPr>
        <w:t>şi</w:t>
      </w:r>
      <w:r>
        <w:rPr>
          <w:shadow w:val="0"/>
        </w:rPr>
        <w:t> </w:t>
      </w:r>
      <w:r>
        <w:rPr>
          <w:shadow/>
        </w:rPr>
        <w:t>reproductivă.</w:t>
      </w:r>
    </w:p>
    <w:p>
      <w:pPr>
        <w:pStyle w:val="BodyText"/>
        <w:ind w:right="1135"/>
        <w:jc w:val="both"/>
      </w:pPr>
      <w:r>
        <w:rPr/>
        <w:t>Obiective generale: Creşterea numărului de femei informate corect despre metodele contraceptive, despre accesul liber la acestea, creşterea interesului femeilor faţă de contracepţie, creşterea numărului de femei informate asupra serviciilor de sănătate corespunzătoare, scăderea numărului de sarcini</w:t>
      </w:r>
      <w:r>
        <w:rPr>
          <w:spacing w:val="-1"/>
        </w:rPr>
        <w:t> </w:t>
      </w:r>
      <w:r>
        <w:rPr/>
        <w:t>nedorite.</w:t>
      </w:r>
    </w:p>
    <w:p>
      <w:pPr>
        <w:pStyle w:val="BodyText"/>
        <w:ind w:right="1135"/>
        <w:jc w:val="both"/>
      </w:pPr>
      <w:r>
        <w:rPr/>
        <w:t>Obiective specifice: Diseminarea de informaţii complete în special în rândul tinerelor (inclsuiv minore) privind metodele contraceptive, conştientizarea tuturor femeilor de vârstă fertilă asupra riscului apariţiei unei sarcini nedorite, reducerea numărului de avorturi la vârste tinere.</w:t>
      </w:r>
    </w:p>
    <w:p>
      <w:pPr>
        <w:pStyle w:val="BodyText"/>
        <w:ind w:right="1133"/>
        <w:jc w:val="both"/>
      </w:pPr>
      <w:r>
        <w:rPr/>
        <w:t>Mesaj: tinerii, inclusiv minorii, pot învă</w:t>
      </w:r>
      <w:r>
        <w:rPr>
          <w:rFonts w:ascii="Tahoma" w:hAnsi="Tahoma"/>
        </w:rPr>
        <w:t>ț</w:t>
      </w:r>
      <w:r>
        <w:rPr/>
        <w:t>a despre toate op</w:t>
      </w:r>
      <w:r>
        <w:rPr>
          <w:rFonts w:ascii="Tahoma" w:hAnsi="Tahoma"/>
        </w:rPr>
        <w:t>ț</w:t>
      </w:r>
      <w:r>
        <w:rPr/>
        <w:t>iunile contraceptive disponibile, prin activită</w:t>
      </w:r>
      <w:r>
        <w:rPr>
          <w:rFonts w:ascii="Tahoma" w:hAnsi="Tahoma"/>
        </w:rPr>
        <w:t>ț</w:t>
      </w:r>
      <w:r>
        <w:rPr/>
        <w:t>i educa</w:t>
      </w:r>
      <w:r>
        <w:rPr>
          <w:rFonts w:ascii="Tahoma" w:hAnsi="Tahoma"/>
        </w:rPr>
        <w:t>ț</w:t>
      </w:r>
      <w:r>
        <w:rPr/>
        <w:t>ionale legate de educa</w:t>
      </w:r>
      <w:r>
        <w:rPr>
          <w:rFonts w:ascii="Tahoma" w:hAnsi="Tahoma"/>
        </w:rPr>
        <w:t>ț</w:t>
      </w:r>
      <w:r>
        <w:rPr/>
        <w:t>ia sexuală </w:t>
      </w:r>
      <w:r>
        <w:rPr>
          <w:rFonts w:ascii="Tahoma" w:hAnsi="Tahoma"/>
        </w:rPr>
        <w:t>ș</w:t>
      </w:r>
      <w:r>
        <w:rPr/>
        <w:t>i planificare familială. Con</w:t>
      </w:r>
      <w:r>
        <w:rPr>
          <w:rFonts w:ascii="Tahoma" w:hAnsi="Tahoma"/>
        </w:rPr>
        <w:t>ș</w:t>
      </w:r>
      <w:r>
        <w:rPr/>
        <w:t>tientizarea contracep</w:t>
      </w:r>
      <w:r>
        <w:rPr>
          <w:rFonts w:ascii="Tahoma" w:hAnsi="Tahoma"/>
        </w:rPr>
        <w:t>ț</w:t>
      </w:r>
      <w:r>
        <w:rPr/>
        <w:t>iei </w:t>
      </w:r>
      <w:r>
        <w:rPr>
          <w:rFonts w:ascii="Tahoma" w:hAnsi="Tahoma"/>
        </w:rPr>
        <w:t>ș</w:t>
      </w:r>
      <w:r>
        <w:rPr/>
        <w:t>i sănătă</w:t>
      </w:r>
      <w:r>
        <w:rPr>
          <w:rFonts w:ascii="Tahoma" w:hAnsi="Tahoma"/>
        </w:rPr>
        <w:t>ț</w:t>
      </w:r>
      <w:r>
        <w:rPr/>
        <w:t>ii sexuale permit evitarea apari</w:t>
      </w:r>
      <w:r>
        <w:rPr>
          <w:rFonts w:ascii="Tahoma" w:hAnsi="Tahoma"/>
        </w:rPr>
        <w:t>ț</w:t>
      </w:r>
      <w:r>
        <w:rPr/>
        <w:t>iei sarcinilor neplanificate, avorturilor </w:t>
      </w:r>
      <w:r>
        <w:rPr>
          <w:rFonts w:ascii="Tahoma" w:hAnsi="Tahoma"/>
        </w:rPr>
        <w:t>ș</w:t>
      </w:r>
      <w:r>
        <w:rPr/>
        <w:t>i a bolilor transmise sexual.</w:t>
      </w:r>
    </w:p>
    <w:p>
      <w:pPr>
        <w:pStyle w:val="BodyText"/>
        <w:spacing w:line="275" w:lineRule="exact"/>
        <w:jc w:val="both"/>
      </w:pPr>
      <w:r>
        <w:rPr/>
        <w:t>Perioada de derulare: intervalul 26 septembrie – 15 octombrie 2017</w:t>
      </w:r>
    </w:p>
    <w:p>
      <w:pPr>
        <w:spacing w:after="0" w:line="275" w:lineRule="exact"/>
        <w:jc w:val="both"/>
        <w:sectPr>
          <w:pgSz w:w="11910" w:h="16840"/>
          <w:pgMar w:header="0" w:footer="658" w:top="1360" w:bottom="920" w:left="400" w:right="0"/>
        </w:sectPr>
      </w:pPr>
    </w:p>
    <w:p>
      <w:pPr>
        <w:pStyle w:val="BodyText"/>
        <w:spacing w:before="60"/>
        <w:ind w:right="3805"/>
      </w:pPr>
      <w:r>
        <w:rPr/>
        <w:t>Grup tintă: Femei de vârstă fertilă, în special adolescente şi tinere adulte. Activitati:</w:t>
      </w:r>
    </w:p>
    <w:p>
      <w:pPr>
        <w:pStyle w:val="ListParagraph"/>
        <w:numPr>
          <w:ilvl w:val="0"/>
          <w:numId w:val="16"/>
        </w:numPr>
        <w:tabs>
          <w:tab w:pos="820" w:val="left" w:leader="none"/>
        </w:tabs>
        <w:spacing w:line="240" w:lineRule="auto" w:before="1" w:after="0"/>
        <w:ind w:left="819" w:right="0" w:hanging="140"/>
        <w:jc w:val="left"/>
        <w:rPr>
          <w:sz w:val="24"/>
        </w:rPr>
      </w:pPr>
      <w:r>
        <w:rPr>
          <w:sz w:val="24"/>
        </w:rPr>
        <w:t>publicarea pe site-ul DSP-MB a materialelor informative destinate susţinerii</w:t>
      </w:r>
      <w:r>
        <w:rPr>
          <w:spacing w:val="-10"/>
          <w:sz w:val="24"/>
        </w:rPr>
        <w:t> </w:t>
      </w:r>
      <w:r>
        <w:rPr>
          <w:sz w:val="24"/>
        </w:rPr>
        <w:t>campaniei;</w:t>
      </w:r>
    </w:p>
    <w:p>
      <w:pPr>
        <w:pStyle w:val="ListParagraph"/>
        <w:numPr>
          <w:ilvl w:val="0"/>
          <w:numId w:val="16"/>
        </w:numPr>
        <w:tabs>
          <w:tab w:pos="835" w:val="left" w:leader="none"/>
        </w:tabs>
        <w:spacing w:line="240" w:lineRule="auto" w:before="0" w:after="0"/>
        <w:ind w:left="680" w:right="1134" w:firstLine="0"/>
        <w:jc w:val="both"/>
        <w:rPr>
          <w:sz w:val="24"/>
        </w:rPr>
      </w:pPr>
      <w:r>
        <w:rPr>
          <w:sz w:val="24"/>
        </w:rPr>
        <w:t>transmiterea în format electronic a materialelor IEC specifice campaniei către parteneri (ASSMB, AMF-MB, Crucea Roşie, Asociaţia Studenţilor Medicinişti- Bucureşti, Primaria Generală- Departamentul Cultură, Învăţământ,</w:t>
      </w:r>
      <w:r>
        <w:rPr>
          <w:spacing w:val="1"/>
          <w:sz w:val="24"/>
        </w:rPr>
        <w:t> </w:t>
      </w:r>
      <w:r>
        <w:rPr>
          <w:sz w:val="24"/>
        </w:rPr>
        <w:t>Turism);</w:t>
      </w:r>
    </w:p>
    <w:p>
      <w:pPr>
        <w:pStyle w:val="ListParagraph"/>
        <w:numPr>
          <w:ilvl w:val="0"/>
          <w:numId w:val="16"/>
        </w:numPr>
        <w:tabs>
          <w:tab w:pos="827" w:val="left" w:leader="none"/>
        </w:tabs>
        <w:spacing w:line="240" w:lineRule="auto" w:before="0" w:after="0"/>
        <w:ind w:left="680" w:right="1136" w:firstLine="0"/>
        <w:jc w:val="both"/>
        <w:rPr>
          <w:sz w:val="24"/>
        </w:rPr>
      </w:pPr>
      <w:r>
        <w:rPr>
          <w:sz w:val="24"/>
        </w:rPr>
        <w:t>distribuire de materiale informativ-educative în unităţile de învătământ adresate elevilor din ciclul primar şi gimnazial</w:t>
      </w:r>
      <w:r>
        <w:rPr>
          <w:spacing w:val="-1"/>
          <w:sz w:val="24"/>
        </w:rPr>
        <w:t> </w:t>
      </w:r>
      <w:r>
        <w:rPr>
          <w:sz w:val="24"/>
        </w:rPr>
        <w:t>;</w:t>
      </w:r>
    </w:p>
    <w:p>
      <w:pPr>
        <w:pStyle w:val="BodyText"/>
        <w:ind w:left="740" w:right="2906" w:hanging="61"/>
      </w:pPr>
      <w:r>
        <w:rPr/>
        <w:t>Locul derulării activităţii (ilor) : CMI –uri, unităţi de învăţământ, unităţi medicale. Materiale IEC utilizate (nr. şi tip): broşuri 100 bucati si pliante 220 bucati :</w:t>
      </w:r>
    </w:p>
    <w:p>
      <w:pPr>
        <w:pStyle w:val="BodyText"/>
      </w:pPr>
      <w:r>
        <w:rPr/>
        <w:t>11</w:t>
      </w:r>
      <w:r>
        <w:rPr>
          <w:u w:val="single"/>
        </w:rPr>
        <w:t>. Campania : Stop violenţei împotriva femeilor</w:t>
      </w:r>
      <w:r>
        <w:rPr/>
        <w:t> </w:t>
      </w:r>
      <w:r>
        <w:rPr>
          <w:u w:val="single"/>
        </w:rPr>
        <w:t>.</w:t>
      </w:r>
    </w:p>
    <w:p>
      <w:pPr>
        <w:pStyle w:val="BodyText"/>
      </w:pPr>
      <w:r>
        <w:rPr/>
        <w:t>Tema 2017: Ziua Internaţională pentru eliminarea violenţei împotriva femeilor</w:t>
      </w:r>
    </w:p>
    <w:p>
      <w:pPr>
        <w:pStyle w:val="BodyText"/>
        <w:ind w:right="1133"/>
        <w:jc w:val="both"/>
      </w:pPr>
      <w:r>
        <w:rPr/>
        <w:t>Scop: Conştientizarea populaţiei privind violenţa asupra femeilor pentru prevenirea şi stoparea acestui fenomen </w:t>
      </w:r>
      <w:r>
        <w:rPr>
          <w:rFonts w:ascii="Tahoma" w:hAnsi="Tahoma"/>
        </w:rPr>
        <w:t>ș</w:t>
      </w:r>
      <w:r>
        <w:rPr/>
        <w:t>i îmbunătăţirea calităţii vieţii femeilor, în mod special, cât şi a întregii societăţi prin diverse acţiuni de informare, educare, consiliere, intervenţie, schimbare şi participare</w:t>
      </w:r>
      <w:r>
        <w:rPr>
          <w:spacing w:val="-15"/>
        </w:rPr>
        <w:t> </w:t>
      </w:r>
      <w:r>
        <w:rPr/>
        <w:t>activă.</w:t>
      </w:r>
    </w:p>
    <w:p>
      <w:pPr>
        <w:pStyle w:val="BodyText"/>
        <w:spacing w:before="2"/>
      </w:pPr>
      <w:r>
        <w:rPr/>
        <w:t>Obiective:</w:t>
      </w:r>
    </w:p>
    <w:p>
      <w:pPr>
        <w:pStyle w:val="ListParagraph"/>
        <w:numPr>
          <w:ilvl w:val="0"/>
          <w:numId w:val="16"/>
        </w:numPr>
        <w:tabs>
          <w:tab w:pos="820" w:val="left" w:leader="none"/>
        </w:tabs>
        <w:spacing w:line="240" w:lineRule="auto" w:before="0" w:after="0"/>
        <w:ind w:left="680" w:right="2097" w:firstLine="0"/>
        <w:jc w:val="left"/>
        <w:rPr>
          <w:sz w:val="24"/>
        </w:rPr>
      </w:pPr>
      <w:r>
        <w:rPr>
          <w:sz w:val="24"/>
        </w:rPr>
        <w:t>transmiterea către populaţie a unui mesaj care afirmă că violenţa împotriva femeii este un comportament indezirabil, anomic şi</w:t>
      </w:r>
      <w:r>
        <w:rPr>
          <w:spacing w:val="-3"/>
          <w:sz w:val="24"/>
        </w:rPr>
        <w:t> </w:t>
      </w:r>
      <w:r>
        <w:rPr>
          <w:sz w:val="24"/>
        </w:rPr>
        <w:t>deviant;</w:t>
      </w:r>
    </w:p>
    <w:p>
      <w:pPr>
        <w:pStyle w:val="ListParagraph"/>
        <w:numPr>
          <w:ilvl w:val="0"/>
          <w:numId w:val="16"/>
        </w:numPr>
        <w:tabs>
          <w:tab w:pos="820" w:val="left" w:leader="none"/>
        </w:tabs>
        <w:spacing w:line="237" w:lineRule="auto" w:before="2" w:after="0"/>
        <w:ind w:left="680" w:right="1353" w:firstLine="0"/>
        <w:jc w:val="left"/>
        <w:rPr>
          <w:color w:val="333333"/>
          <w:sz w:val="24"/>
        </w:rPr>
      </w:pPr>
      <w:r>
        <w:rPr>
          <w:color w:val="333333"/>
          <w:sz w:val="24"/>
        </w:rPr>
        <w:t>promovarea unei legislaţii şi a unor practici legislative adecvate care să ofere protecţie victimelor violenţei în familie, abuzului sexual şi</w:t>
      </w:r>
      <w:r>
        <w:rPr>
          <w:color w:val="333333"/>
          <w:spacing w:val="-1"/>
          <w:sz w:val="24"/>
        </w:rPr>
        <w:t> </w:t>
      </w:r>
      <w:r>
        <w:rPr>
          <w:color w:val="333333"/>
          <w:sz w:val="24"/>
        </w:rPr>
        <w:t>traficului;</w:t>
      </w:r>
    </w:p>
    <w:p>
      <w:pPr>
        <w:pStyle w:val="ListParagraph"/>
        <w:numPr>
          <w:ilvl w:val="0"/>
          <w:numId w:val="16"/>
        </w:numPr>
        <w:tabs>
          <w:tab w:pos="820" w:val="left" w:leader="none"/>
        </w:tabs>
        <w:spacing w:line="240" w:lineRule="auto" w:before="1" w:after="0"/>
        <w:ind w:left="680" w:right="1556" w:firstLine="0"/>
        <w:jc w:val="left"/>
        <w:rPr>
          <w:color w:val="333333"/>
          <w:sz w:val="24"/>
        </w:rPr>
      </w:pPr>
      <w:r>
        <w:rPr>
          <w:color w:val="333333"/>
          <w:sz w:val="24"/>
        </w:rPr>
        <w:t>educarea întregii societăţi prin promovarea unor politici afirmative şi nondiscriminatorii pentru creşterea calităţii vieţii femeilor din România.</w:t>
      </w:r>
    </w:p>
    <w:p>
      <w:pPr>
        <w:pStyle w:val="BodyText"/>
        <w:ind w:right="6544"/>
      </w:pPr>
      <w:r>
        <w:rPr/>
        <w:t>Perioada derulării: 25 noiembrie 2017 Mesaj:</w:t>
      </w:r>
    </w:p>
    <w:p>
      <w:pPr>
        <w:pStyle w:val="ListParagraph"/>
        <w:numPr>
          <w:ilvl w:val="0"/>
          <w:numId w:val="16"/>
        </w:numPr>
        <w:tabs>
          <w:tab w:pos="820" w:val="left" w:leader="none"/>
        </w:tabs>
        <w:spacing w:line="240" w:lineRule="auto" w:before="0" w:after="0"/>
        <w:ind w:left="819" w:right="0" w:hanging="140"/>
        <w:jc w:val="left"/>
        <w:rPr>
          <w:sz w:val="24"/>
        </w:rPr>
      </w:pPr>
      <w:r>
        <w:rPr>
          <w:sz w:val="24"/>
        </w:rPr>
        <w:t>violenţa împotriva femeilor este violarea drepturilor</w:t>
      </w:r>
      <w:r>
        <w:rPr>
          <w:spacing w:val="-5"/>
          <w:sz w:val="24"/>
        </w:rPr>
        <w:t> </w:t>
      </w:r>
      <w:r>
        <w:rPr>
          <w:sz w:val="24"/>
        </w:rPr>
        <w:t>omului.</w:t>
      </w:r>
    </w:p>
    <w:p>
      <w:pPr>
        <w:pStyle w:val="ListParagraph"/>
        <w:numPr>
          <w:ilvl w:val="0"/>
          <w:numId w:val="16"/>
        </w:numPr>
        <w:tabs>
          <w:tab w:pos="830" w:val="left" w:leader="none"/>
        </w:tabs>
        <w:spacing w:line="240" w:lineRule="auto" w:before="0" w:after="0"/>
        <w:ind w:left="680" w:right="1133" w:firstLine="0"/>
        <w:jc w:val="left"/>
        <w:rPr>
          <w:sz w:val="24"/>
        </w:rPr>
      </w:pPr>
      <w:r>
        <w:rPr>
          <w:sz w:val="24"/>
        </w:rPr>
        <w:t>violenţa împotriva femeilor are impact important în progresul multor domenii cum ar fi eradicarea sărăciei, combaterea HIV/SIDA, lupta pentru pace </w:t>
      </w:r>
      <w:r>
        <w:rPr>
          <w:rFonts w:ascii="Tahoma" w:hAnsi="Tahoma"/>
          <w:sz w:val="24"/>
        </w:rPr>
        <w:t>ș</w:t>
      </w:r>
      <w:r>
        <w:rPr>
          <w:sz w:val="24"/>
        </w:rPr>
        <w:t>i</w:t>
      </w:r>
      <w:r>
        <w:rPr>
          <w:spacing w:val="1"/>
          <w:sz w:val="24"/>
        </w:rPr>
        <w:t> </w:t>
      </w:r>
      <w:r>
        <w:rPr>
          <w:sz w:val="24"/>
        </w:rPr>
        <w:t>securitate.</w:t>
      </w:r>
    </w:p>
    <w:p>
      <w:pPr>
        <w:pStyle w:val="ListParagraph"/>
        <w:numPr>
          <w:ilvl w:val="0"/>
          <w:numId w:val="16"/>
        </w:numPr>
        <w:tabs>
          <w:tab w:pos="820" w:val="left" w:leader="none"/>
        </w:tabs>
        <w:spacing w:line="240" w:lineRule="auto" w:before="1" w:after="0"/>
        <w:ind w:left="819" w:right="0" w:hanging="140"/>
        <w:jc w:val="left"/>
        <w:rPr>
          <w:sz w:val="24"/>
        </w:rPr>
      </w:pPr>
      <w:r>
        <w:rPr>
          <w:sz w:val="24"/>
        </w:rPr>
        <w:t>violenţa împotriva femeilor continuă să fie o pandemie</w:t>
      </w:r>
      <w:r>
        <w:rPr>
          <w:spacing w:val="-8"/>
          <w:sz w:val="24"/>
        </w:rPr>
        <w:t> </w:t>
      </w:r>
      <w:r>
        <w:rPr>
          <w:sz w:val="24"/>
        </w:rPr>
        <w:t>globală.</w:t>
      </w:r>
    </w:p>
    <w:p>
      <w:pPr>
        <w:pStyle w:val="ListParagraph"/>
        <w:numPr>
          <w:ilvl w:val="0"/>
          <w:numId w:val="16"/>
        </w:numPr>
        <w:tabs>
          <w:tab w:pos="820" w:val="left" w:leader="none"/>
        </w:tabs>
        <w:spacing w:line="240" w:lineRule="auto" w:before="0" w:after="0"/>
        <w:ind w:left="819" w:right="0" w:hanging="140"/>
        <w:jc w:val="left"/>
        <w:rPr>
          <w:sz w:val="24"/>
        </w:rPr>
      </w:pPr>
      <w:r>
        <w:rPr>
          <w:sz w:val="24"/>
        </w:rPr>
        <w:t>violenţa împotriva femeilor şi fetelor nu este</w:t>
      </w:r>
      <w:r>
        <w:rPr>
          <w:spacing w:val="-6"/>
          <w:sz w:val="24"/>
        </w:rPr>
        <w:t> </w:t>
      </w:r>
      <w:r>
        <w:rPr>
          <w:sz w:val="24"/>
        </w:rPr>
        <w:t>inevitabilă.</w:t>
      </w:r>
    </w:p>
    <w:p>
      <w:pPr>
        <w:pStyle w:val="ListParagraph"/>
        <w:numPr>
          <w:ilvl w:val="0"/>
          <w:numId w:val="16"/>
        </w:numPr>
        <w:tabs>
          <w:tab w:pos="820" w:val="left" w:leader="none"/>
        </w:tabs>
        <w:spacing w:line="240" w:lineRule="auto" w:before="0" w:after="0"/>
        <w:ind w:left="680" w:right="7361" w:firstLine="0"/>
        <w:jc w:val="left"/>
        <w:rPr>
          <w:sz w:val="24"/>
        </w:rPr>
      </w:pPr>
      <w:r>
        <w:rPr>
          <w:sz w:val="24"/>
        </w:rPr>
        <w:t>prevenţia este posibilă şi esenţială. Activităţi:</w:t>
      </w:r>
    </w:p>
    <w:p>
      <w:pPr>
        <w:pStyle w:val="ListParagraph"/>
        <w:numPr>
          <w:ilvl w:val="0"/>
          <w:numId w:val="16"/>
        </w:numPr>
        <w:tabs>
          <w:tab w:pos="820" w:val="left" w:leader="none"/>
        </w:tabs>
        <w:spacing w:line="240" w:lineRule="auto" w:before="0" w:after="0"/>
        <w:ind w:left="819" w:right="0" w:hanging="140"/>
        <w:jc w:val="left"/>
        <w:rPr>
          <w:sz w:val="24"/>
        </w:rPr>
      </w:pPr>
      <w:r>
        <w:rPr>
          <w:sz w:val="24"/>
        </w:rPr>
        <w:t>postare pe site-ul DSPMB a materialelor informative destinate susţinerii</w:t>
      </w:r>
      <w:r>
        <w:rPr>
          <w:spacing w:val="-10"/>
          <w:sz w:val="24"/>
        </w:rPr>
        <w:t> </w:t>
      </w:r>
      <w:r>
        <w:rPr>
          <w:sz w:val="24"/>
        </w:rPr>
        <w:t>campaniei;</w:t>
      </w:r>
    </w:p>
    <w:p>
      <w:pPr>
        <w:pStyle w:val="ListParagraph"/>
        <w:numPr>
          <w:ilvl w:val="0"/>
          <w:numId w:val="16"/>
        </w:numPr>
        <w:tabs>
          <w:tab w:pos="820" w:val="left" w:leader="none"/>
        </w:tabs>
        <w:spacing w:line="240" w:lineRule="auto" w:before="0" w:after="0"/>
        <w:ind w:left="819" w:right="0" w:hanging="140"/>
        <w:jc w:val="left"/>
        <w:rPr>
          <w:sz w:val="24"/>
        </w:rPr>
      </w:pPr>
      <w:r>
        <w:rPr>
          <w:sz w:val="24"/>
        </w:rPr>
        <w:t>transmiterea în format electronic a materialelor IEC specifice campaniei către</w:t>
      </w:r>
      <w:r>
        <w:rPr>
          <w:spacing w:val="-3"/>
          <w:sz w:val="24"/>
        </w:rPr>
        <w:t> </w:t>
      </w:r>
      <w:r>
        <w:rPr>
          <w:sz w:val="24"/>
        </w:rPr>
        <w:t>parteneri;</w:t>
      </w:r>
    </w:p>
    <w:p>
      <w:pPr>
        <w:pStyle w:val="ListParagraph"/>
        <w:numPr>
          <w:ilvl w:val="0"/>
          <w:numId w:val="16"/>
        </w:numPr>
        <w:tabs>
          <w:tab w:pos="820" w:val="left" w:leader="none"/>
        </w:tabs>
        <w:spacing w:line="240" w:lineRule="auto" w:before="0" w:after="0"/>
        <w:ind w:left="819" w:right="0" w:hanging="140"/>
        <w:jc w:val="left"/>
        <w:rPr>
          <w:sz w:val="24"/>
        </w:rPr>
      </w:pPr>
      <w:r>
        <w:rPr>
          <w:sz w:val="24"/>
        </w:rPr>
        <w:t>distribuire de materiale</w:t>
      </w:r>
      <w:r>
        <w:rPr>
          <w:spacing w:val="-3"/>
          <w:sz w:val="24"/>
        </w:rPr>
        <w:t> </w:t>
      </w:r>
      <w:r>
        <w:rPr>
          <w:sz w:val="24"/>
        </w:rPr>
        <w:t>IEC</w:t>
      </w:r>
    </w:p>
    <w:p>
      <w:pPr>
        <w:pStyle w:val="BodyText"/>
        <w:ind w:right="2539"/>
      </w:pPr>
      <w:r>
        <w:rPr/>
        <w:t>Grupul (grupurile) ţintă: populaţia generală şi în special – femei, copii, tineri, bătrâni . Locul derulării activităţii(ilor) CMI, comunităţi defavorizate</w:t>
      </w:r>
      <w:r>
        <w:rPr>
          <w:spacing w:val="-1"/>
        </w:rPr>
        <w:t> </w:t>
      </w:r>
      <w:r>
        <w:rPr/>
        <w:t>.</w:t>
      </w:r>
    </w:p>
    <w:p>
      <w:pPr>
        <w:pStyle w:val="BodyText"/>
        <w:ind w:right="4592"/>
      </w:pPr>
      <w:r>
        <w:rPr/>
        <w:t>Materiale IEC utilizate: pliante 150 buc. si postere 50 buc 12.</w:t>
      </w:r>
      <w:r>
        <w:rPr>
          <w:u w:val="single"/>
        </w:rPr>
        <w:t>Campania : Ziua Mondială de Luptă Împotriva</w:t>
      </w:r>
      <w:r>
        <w:rPr>
          <w:spacing w:val="-23"/>
          <w:u w:val="single"/>
        </w:rPr>
        <w:t> </w:t>
      </w:r>
      <w:r>
        <w:rPr>
          <w:u w:val="single"/>
        </w:rPr>
        <w:t>HIV/SIDA</w:t>
      </w:r>
    </w:p>
    <w:p>
      <w:pPr>
        <w:pStyle w:val="BodyText"/>
        <w:spacing w:before="1"/>
        <w:ind w:right="1133"/>
        <w:jc w:val="both"/>
      </w:pPr>
      <w:r>
        <w:rPr/>
        <w:t>Scopul campaniei: acces universal la prevenţia HIV, tratament, îngrijiri şi suport, reducerea numărului persoanelor infectate cu HIV/SIDA, informarea şi educarea populaţiei asupra HIV/SIDA asupra comportamentelor cu risc </w:t>
      </w:r>
      <w:r>
        <w:rPr>
          <w:rFonts w:ascii="Tahoma" w:hAnsi="Tahoma"/>
        </w:rPr>
        <w:t>ș</w:t>
      </w:r>
      <w:r>
        <w:rPr/>
        <w:t>i fără risc </w:t>
      </w:r>
      <w:r>
        <w:rPr>
          <w:rFonts w:ascii="Tahoma" w:hAnsi="Tahoma"/>
        </w:rPr>
        <w:t>ș</w:t>
      </w:r>
      <w:r>
        <w:rPr/>
        <w:t>i combaterea stigmatizării </w:t>
      </w:r>
      <w:r>
        <w:rPr>
          <w:rFonts w:ascii="Tahoma" w:hAnsi="Tahoma"/>
        </w:rPr>
        <w:t>ș</w:t>
      </w:r>
      <w:r>
        <w:rPr/>
        <w:t>i discriminării legate de HIV/SIDA.</w:t>
      </w:r>
    </w:p>
    <w:p>
      <w:pPr>
        <w:pStyle w:val="BodyText"/>
        <w:spacing w:before="1"/>
        <w:ind w:right="1154"/>
      </w:pPr>
      <w:r>
        <w:rPr/>
        <w:t>Obiective: creşterea numărului de persoane informate şi educate în legătură cu HIV/SIDA; creşterea numărului de persoane, în special din grupele de risc, care solicită efectuarea unui test de depistare a infectării cu HIV, creşterea numărului de persoane care adoptă un comportament sănătos în relaţie cu HIV/SIDA, reducerea numărului de persoane discriminate </w:t>
      </w:r>
      <w:r>
        <w:rPr>
          <w:rFonts w:ascii="Tahoma" w:hAnsi="Tahoma"/>
        </w:rPr>
        <w:t>ș</w:t>
      </w:r>
      <w:r>
        <w:rPr/>
        <w:t>i stigmatizate datorită HIV/SIDA. Perioada derulării: 1 -31 decembrie 2017</w:t>
      </w:r>
    </w:p>
    <w:p>
      <w:pPr>
        <w:pStyle w:val="BodyText"/>
        <w:spacing w:line="274" w:lineRule="exact"/>
      </w:pPr>
      <w:r>
        <w:rPr/>
        <w:t>Activităţi:</w:t>
      </w:r>
    </w:p>
    <w:p>
      <w:pPr>
        <w:pStyle w:val="ListParagraph"/>
        <w:numPr>
          <w:ilvl w:val="0"/>
          <w:numId w:val="16"/>
        </w:numPr>
        <w:tabs>
          <w:tab w:pos="820" w:val="left" w:leader="none"/>
        </w:tabs>
        <w:spacing w:line="240" w:lineRule="auto" w:before="0" w:after="0"/>
        <w:ind w:left="819" w:right="0" w:hanging="140"/>
        <w:jc w:val="left"/>
        <w:rPr>
          <w:sz w:val="24"/>
        </w:rPr>
      </w:pPr>
      <w:r>
        <w:rPr>
          <w:sz w:val="24"/>
        </w:rPr>
        <w:t>postare pe site-ul DSPMB a materialelor informative destinate susţinerii</w:t>
      </w:r>
      <w:r>
        <w:rPr>
          <w:spacing w:val="-8"/>
          <w:sz w:val="24"/>
        </w:rPr>
        <w:t> </w:t>
      </w:r>
      <w:r>
        <w:rPr>
          <w:sz w:val="24"/>
        </w:rPr>
        <w:t>campaniei;</w:t>
      </w:r>
    </w:p>
    <w:p>
      <w:pPr>
        <w:pStyle w:val="ListParagraph"/>
        <w:numPr>
          <w:ilvl w:val="0"/>
          <w:numId w:val="16"/>
        </w:numPr>
        <w:tabs>
          <w:tab w:pos="820" w:val="left" w:leader="none"/>
        </w:tabs>
        <w:spacing w:line="240" w:lineRule="auto" w:before="0" w:after="0"/>
        <w:ind w:left="819" w:right="0" w:hanging="140"/>
        <w:jc w:val="left"/>
        <w:rPr>
          <w:sz w:val="24"/>
        </w:rPr>
      </w:pPr>
      <w:r>
        <w:rPr>
          <w:sz w:val="24"/>
        </w:rPr>
        <w:t>transmiterea în format electronic a materialelor IEC specifice campaniei către</w:t>
      </w:r>
      <w:r>
        <w:rPr>
          <w:spacing w:val="-3"/>
          <w:sz w:val="24"/>
        </w:rPr>
        <w:t> </w:t>
      </w:r>
      <w:r>
        <w:rPr>
          <w:sz w:val="24"/>
        </w:rPr>
        <w:t>parteneri;</w:t>
      </w:r>
    </w:p>
    <w:p>
      <w:pPr>
        <w:spacing w:after="0" w:line="240" w:lineRule="auto"/>
        <w:jc w:val="left"/>
        <w:rPr>
          <w:sz w:val="24"/>
        </w:rPr>
        <w:sectPr>
          <w:pgSz w:w="11910" w:h="16840"/>
          <w:pgMar w:header="0" w:footer="658" w:top="1360" w:bottom="920" w:left="400" w:right="0"/>
        </w:sectPr>
      </w:pPr>
    </w:p>
    <w:p>
      <w:pPr>
        <w:pStyle w:val="ListParagraph"/>
        <w:numPr>
          <w:ilvl w:val="0"/>
          <w:numId w:val="16"/>
        </w:numPr>
        <w:tabs>
          <w:tab w:pos="820" w:val="left" w:leader="none"/>
        </w:tabs>
        <w:spacing w:line="240" w:lineRule="auto" w:before="60" w:after="0"/>
        <w:ind w:left="819" w:right="0" w:hanging="140"/>
        <w:jc w:val="left"/>
        <w:rPr>
          <w:sz w:val="24"/>
        </w:rPr>
      </w:pPr>
      <w:r>
        <w:rPr>
          <w:sz w:val="24"/>
        </w:rPr>
        <w:t>distribuire de materiale</w:t>
      </w:r>
      <w:r>
        <w:rPr>
          <w:spacing w:val="-3"/>
          <w:sz w:val="24"/>
        </w:rPr>
        <w:t> </w:t>
      </w:r>
      <w:r>
        <w:rPr>
          <w:sz w:val="24"/>
        </w:rPr>
        <w:t>IEC</w:t>
      </w:r>
    </w:p>
    <w:p>
      <w:pPr>
        <w:pStyle w:val="BodyText"/>
        <w:spacing w:before="1"/>
      </w:pPr>
      <w:r>
        <w:rPr/>
        <w:t>Grupul (grupurile) ţintă: populaţia generală, elevi, tineri şi adulţi,</w:t>
      </w:r>
    </w:p>
    <w:p>
      <w:pPr>
        <w:pStyle w:val="BodyText"/>
        <w:ind w:right="3525"/>
      </w:pPr>
      <w:r>
        <w:rPr/>
        <w:t>Locul derulării activităţii (ilor): unităţi de învăţământ ( şcoli generale), CMI Materiale IEC utilizate: poster 120 buc. si pliante 100 buc</w:t>
      </w:r>
    </w:p>
    <w:p>
      <w:pPr>
        <w:pStyle w:val="BodyText"/>
        <w:ind w:left="0"/>
      </w:pPr>
    </w:p>
    <w:p>
      <w:pPr>
        <w:spacing w:before="0"/>
        <w:ind w:left="680" w:right="0" w:firstLine="0"/>
        <w:jc w:val="left"/>
        <w:rPr>
          <w:b/>
          <w:sz w:val="24"/>
        </w:rPr>
      </w:pPr>
      <w:r>
        <w:rPr>
          <w:b/>
          <w:sz w:val="24"/>
        </w:rPr>
        <w:t>Programe de sănătate </w:t>
      </w:r>
      <w:r>
        <w:rPr>
          <w:sz w:val="24"/>
        </w:rPr>
        <w:t>derulate </w:t>
      </w:r>
      <w:r>
        <w:rPr>
          <w:b/>
          <w:sz w:val="24"/>
        </w:rPr>
        <w:t>:</w:t>
      </w:r>
    </w:p>
    <w:p>
      <w:pPr>
        <w:pStyle w:val="BodyText"/>
        <w:tabs>
          <w:tab w:pos="1719" w:val="left" w:leader="none"/>
        </w:tabs>
        <w:ind w:right="1140"/>
      </w:pPr>
      <w:r>
        <w:rPr>
          <w:u w:val="single"/>
        </w:rPr>
        <w:t>PN</w:t>
      </w:r>
      <w:r>
        <w:rPr>
          <w:spacing w:val="39"/>
          <w:u w:val="single"/>
        </w:rPr>
        <w:t> </w:t>
      </w:r>
      <w:r>
        <w:rPr>
          <w:u w:val="single"/>
        </w:rPr>
        <w:t>IV.1</w:t>
        <w:tab/>
        <w:t>– Program naţional de depistarea precoce activă a cancerului de col uterin ( 7 unităţi</w:t>
      </w:r>
      <w:r>
        <w:rPr/>
        <w:t> </w:t>
      </w:r>
      <w:r>
        <w:rPr>
          <w:u w:val="single"/>
        </w:rPr>
        <w:t>medicale</w:t>
      </w:r>
      <w:r>
        <w:rPr>
          <w:spacing w:val="-1"/>
          <w:u w:val="single"/>
        </w:rPr>
        <w:t> </w:t>
      </w:r>
      <w:r>
        <w:rPr>
          <w:u w:val="single"/>
        </w:rPr>
        <w:t>)</w:t>
      </w:r>
    </w:p>
    <w:p>
      <w:pPr>
        <w:pStyle w:val="BodyText"/>
        <w:spacing w:before="1"/>
        <w:ind w:right="1140"/>
      </w:pPr>
      <w:r>
        <w:rPr>
          <w:u w:val="single"/>
        </w:rPr>
        <w:t>PN IV. 3.1 – Subprogramul de transplant organe, </w:t>
      </w:r>
      <w:r>
        <w:rPr>
          <w:rFonts w:ascii="Tahoma" w:hAnsi="Tahoma"/>
          <w:u w:val="single"/>
        </w:rPr>
        <w:t>ț</w:t>
      </w:r>
      <w:r>
        <w:rPr>
          <w:u w:val="single"/>
        </w:rPr>
        <w:t>esuturi si celule de origine umană (7 unită</w:t>
      </w:r>
      <w:r>
        <w:rPr>
          <w:rFonts w:ascii="Tahoma" w:hAnsi="Tahoma"/>
          <w:u w:val="single"/>
        </w:rPr>
        <w:t>ț</w:t>
      </w:r>
      <w:r>
        <w:rPr>
          <w:u w:val="single"/>
        </w:rPr>
        <w:t>i</w:t>
      </w:r>
      <w:r>
        <w:rPr/>
        <w:t> </w:t>
      </w:r>
      <w:r>
        <w:rPr>
          <w:u w:val="single"/>
        </w:rPr>
        <w:t>medicale</w:t>
      </w:r>
      <w:r>
        <w:rPr>
          <w:spacing w:val="-1"/>
          <w:u w:val="single"/>
        </w:rPr>
        <w:t> </w:t>
      </w:r>
      <w:r>
        <w:rPr>
          <w:u w:val="single"/>
        </w:rPr>
        <w:t>)</w:t>
      </w:r>
    </w:p>
    <w:p>
      <w:pPr>
        <w:pStyle w:val="BodyText"/>
        <w:ind w:right="2318"/>
      </w:pPr>
      <w:r>
        <w:rPr>
          <w:u w:val="single"/>
        </w:rPr>
        <w:t>PN. IV.3.3 – Subprogramul de Fertilizare in vitro si Embriotransfer ( 6 unită</w:t>
      </w:r>
      <w:r>
        <w:rPr>
          <w:rFonts w:ascii="Tahoma" w:hAnsi="Tahoma"/>
          <w:u w:val="single"/>
        </w:rPr>
        <w:t>ț</w:t>
      </w:r>
      <w:r>
        <w:rPr>
          <w:u w:val="single"/>
        </w:rPr>
        <w:t>i medicale)</w:t>
      </w:r>
      <w:r>
        <w:rPr/>
        <w:t> </w:t>
      </w:r>
      <w:r>
        <w:rPr>
          <w:u w:val="single"/>
        </w:rPr>
        <w:t>PN IV.4 – Program de boli endocrine 1unitate sanitara)</w:t>
      </w:r>
    </w:p>
    <w:p>
      <w:pPr>
        <w:pStyle w:val="BodyText"/>
      </w:pPr>
      <w:r>
        <w:rPr/>
        <w:t>Activităţi:</w:t>
      </w:r>
    </w:p>
    <w:p>
      <w:pPr>
        <w:pStyle w:val="BodyText"/>
        <w:ind w:right="1140"/>
      </w:pPr>
      <w:r>
        <w:rPr/>
        <w:t>-întocmirea referatului către Biroul de achiziţii în vederea încheierii contractului, între DSPMB şi unităţile care derulează activităţile prevăzute in fiecare program</w:t>
      </w:r>
    </w:p>
    <w:p>
      <w:pPr>
        <w:pStyle w:val="ListParagraph"/>
        <w:numPr>
          <w:ilvl w:val="0"/>
          <w:numId w:val="16"/>
        </w:numPr>
        <w:tabs>
          <w:tab w:pos="887" w:val="left" w:leader="none"/>
        </w:tabs>
        <w:spacing w:line="240" w:lineRule="auto" w:before="0" w:after="0"/>
        <w:ind w:left="680" w:right="1136" w:firstLine="0"/>
        <w:jc w:val="left"/>
        <w:rPr>
          <w:sz w:val="24"/>
        </w:rPr>
      </w:pPr>
      <w:r>
        <w:rPr>
          <w:sz w:val="24"/>
        </w:rPr>
        <w:t>solicitarea datelor de contact a persoanelor nominalizate ca şi coordonatori locali în cadrul unităţilor medicale ce derulează acest</w:t>
      </w:r>
      <w:r>
        <w:rPr>
          <w:spacing w:val="-4"/>
          <w:sz w:val="24"/>
        </w:rPr>
        <w:t> </w:t>
      </w:r>
      <w:r>
        <w:rPr>
          <w:sz w:val="24"/>
        </w:rPr>
        <w:t>program;</w:t>
      </w:r>
    </w:p>
    <w:p>
      <w:pPr>
        <w:pStyle w:val="ListParagraph"/>
        <w:numPr>
          <w:ilvl w:val="0"/>
          <w:numId w:val="16"/>
        </w:numPr>
        <w:tabs>
          <w:tab w:pos="830" w:val="left" w:leader="none"/>
        </w:tabs>
        <w:spacing w:line="240" w:lineRule="auto" w:before="0" w:after="0"/>
        <w:ind w:left="680" w:right="1142" w:firstLine="0"/>
        <w:jc w:val="both"/>
        <w:rPr>
          <w:sz w:val="24"/>
        </w:rPr>
      </w:pPr>
      <w:r>
        <w:rPr>
          <w:sz w:val="24"/>
        </w:rPr>
        <w:t>informarea unităţilor sanitare respectiv manager/ director economic/ coordonator program privind prevederea bugetară, trimestrializarea sumelor – aferentă programului;</w:t>
      </w:r>
    </w:p>
    <w:p>
      <w:pPr>
        <w:pStyle w:val="ListParagraph"/>
        <w:numPr>
          <w:ilvl w:val="0"/>
          <w:numId w:val="16"/>
        </w:numPr>
        <w:tabs>
          <w:tab w:pos="825" w:val="left" w:leader="none"/>
        </w:tabs>
        <w:spacing w:line="240" w:lineRule="auto" w:before="0" w:after="0"/>
        <w:ind w:left="680" w:right="1135" w:firstLine="0"/>
        <w:jc w:val="both"/>
        <w:rPr>
          <w:sz w:val="24"/>
        </w:rPr>
      </w:pPr>
      <w:r>
        <w:rPr>
          <w:sz w:val="24"/>
        </w:rPr>
        <w:t>lunar colectarea, verificarea cererilor de finanţare de la unităţile sanitare care derulează programul însotite de documentele justificative ale acestora (facturi, cereri de finanţare, cereri justificative, note justificative, borderouri centralizatoare, deconturi) si întocmirea cererei de finanţare centralizată cu transmiterea acesteia către Unitatea Tehnică şi de Management - Institutul Naţional de Sănătate Publică Bucureşti</w:t>
      </w:r>
      <w:r>
        <w:rPr>
          <w:spacing w:val="-2"/>
          <w:sz w:val="24"/>
        </w:rPr>
        <w:t> </w:t>
      </w:r>
      <w:r>
        <w:rPr>
          <w:sz w:val="24"/>
        </w:rPr>
        <w:t>;</w:t>
      </w:r>
    </w:p>
    <w:p>
      <w:pPr>
        <w:pStyle w:val="ListParagraph"/>
        <w:numPr>
          <w:ilvl w:val="0"/>
          <w:numId w:val="16"/>
        </w:numPr>
        <w:tabs>
          <w:tab w:pos="897" w:val="left" w:leader="none"/>
        </w:tabs>
        <w:spacing w:line="240" w:lineRule="auto" w:before="0" w:after="0"/>
        <w:ind w:left="680" w:right="1135" w:firstLine="0"/>
        <w:jc w:val="both"/>
        <w:rPr>
          <w:sz w:val="24"/>
        </w:rPr>
      </w:pPr>
      <w:r>
        <w:rPr>
          <w:sz w:val="24"/>
        </w:rPr>
        <w:t>întocmirea adreselor cu repartiţia finanţării aprobate de MS în urma solicitărilor lunare şi transmiterea acestora prin fax către unităţi, în atenţia: manager/ director economic/ coordonator</w:t>
      </w:r>
      <w:r>
        <w:rPr>
          <w:spacing w:val="-19"/>
          <w:sz w:val="24"/>
        </w:rPr>
        <w:t> </w:t>
      </w:r>
      <w:r>
        <w:rPr>
          <w:sz w:val="24"/>
        </w:rPr>
        <w:t>PN;</w:t>
      </w:r>
    </w:p>
    <w:p>
      <w:pPr>
        <w:pStyle w:val="ListParagraph"/>
        <w:numPr>
          <w:ilvl w:val="0"/>
          <w:numId w:val="16"/>
        </w:numPr>
        <w:tabs>
          <w:tab w:pos="859" w:val="left" w:leader="none"/>
        </w:tabs>
        <w:spacing w:line="240" w:lineRule="auto" w:before="0" w:after="0"/>
        <w:ind w:left="680" w:right="1136" w:firstLine="0"/>
        <w:jc w:val="both"/>
        <w:rPr>
          <w:sz w:val="24"/>
        </w:rPr>
      </w:pPr>
      <w:r>
        <w:rPr>
          <w:sz w:val="24"/>
        </w:rPr>
        <w:t>trimestrial colectarea, verificarea execuţiilor bugetare, a indicatorilor fizici şi de eficienţă şi a raportului de activitate trimestrial şi anual de la unităţile sanitare ( însoţite de acte justificative : decont, OP-uri, extras de cont) şi întocmirea execuţiei bugetare, a indicatorilor fizici şi a raportului de activitate centralizat şi transmiterea lor către U.A.T.M.- Institutul Naţional de Sănătate</w:t>
      </w:r>
      <w:r>
        <w:rPr>
          <w:spacing w:val="-22"/>
          <w:sz w:val="24"/>
        </w:rPr>
        <w:t> </w:t>
      </w:r>
      <w:r>
        <w:rPr>
          <w:sz w:val="24"/>
        </w:rPr>
        <w:t>Publică.</w:t>
      </w:r>
    </w:p>
    <w:p>
      <w:pPr>
        <w:pStyle w:val="ListParagraph"/>
        <w:numPr>
          <w:ilvl w:val="0"/>
          <w:numId w:val="16"/>
        </w:numPr>
        <w:tabs>
          <w:tab w:pos="861" w:val="left" w:leader="none"/>
        </w:tabs>
        <w:spacing w:line="240" w:lineRule="auto" w:before="0" w:after="0"/>
        <w:ind w:left="680" w:right="1143" w:firstLine="0"/>
        <w:jc w:val="both"/>
        <w:rPr>
          <w:sz w:val="24"/>
        </w:rPr>
      </w:pPr>
      <w:r>
        <w:rPr>
          <w:sz w:val="24"/>
        </w:rPr>
        <w:t>solicitarea organizării evidenţei nominale, la nivelul unităţilor sanitare a beneficiarilor pe baza codului numeric personal, cu respectarea prevederilor legale în</w:t>
      </w:r>
      <w:r>
        <w:rPr>
          <w:spacing w:val="-3"/>
          <w:sz w:val="24"/>
        </w:rPr>
        <w:t> </w:t>
      </w:r>
      <w:r>
        <w:rPr>
          <w:sz w:val="24"/>
        </w:rPr>
        <w:t>vigoare;</w:t>
      </w:r>
    </w:p>
    <w:p>
      <w:pPr>
        <w:pStyle w:val="ListParagraph"/>
        <w:numPr>
          <w:ilvl w:val="0"/>
          <w:numId w:val="16"/>
        </w:numPr>
        <w:tabs>
          <w:tab w:pos="830" w:val="left" w:leader="none"/>
        </w:tabs>
        <w:spacing w:line="240" w:lineRule="auto" w:before="0" w:after="0"/>
        <w:ind w:left="680" w:right="1137" w:firstLine="0"/>
        <w:jc w:val="both"/>
        <w:rPr>
          <w:sz w:val="24"/>
        </w:rPr>
      </w:pPr>
      <w:r>
        <w:rPr>
          <w:sz w:val="24"/>
        </w:rPr>
        <w:t>s-a efectuat o acţiune de verificare privind derularea programului, în semestrul I / 2017 la Spitatul Filantropia . În urma verificării efectuate , nu au fost probleme deosebite de semnalat, o copie a procesului verbal încheiat fiind transmisă spre informare şi către ANPS –</w:t>
      </w:r>
      <w:r>
        <w:rPr>
          <w:spacing w:val="-7"/>
          <w:sz w:val="24"/>
        </w:rPr>
        <w:t> </w:t>
      </w:r>
      <w:r>
        <w:rPr>
          <w:sz w:val="24"/>
        </w:rPr>
        <w:t>MS.</w:t>
      </w:r>
    </w:p>
    <w:p>
      <w:pPr>
        <w:pStyle w:val="BodyText"/>
        <w:ind w:right="1136"/>
        <w:jc w:val="both"/>
      </w:pPr>
      <w:r>
        <w:rPr>
          <w:u w:val="single"/>
        </w:rPr>
        <w:t>PN VI.1.3 – Profilaxia distrofiei la copiii 0-12 luni care nu beneficiază de lapte matern prin</w:t>
      </w:r>
      <w:r>
        <w:rPr/>
        <w:t> </w:t>
      </w:r>
      <w:r>
        <w:rPr>
          <w:u w:val="single"/>
        </w:rPr>
        <w:t>administrare de lapte praf ( DGASPC-urile de sector)</w:t>
      </w:r>
    </w:p>
    <w:p>
      <w:pPr>
        <w:pStyle w:val="BodyText"/>
        <w:spacing w:before="1"/>
        <w:jc w:val="both"/>
      </w:pPr>
      <w:r>
        <w:rPr/>
        <w:t>Activită</w:t>
      </w:r>
      <w:r>
        <w:rPr>
          <w:rFonts w:ascii="Tahoma" w:hAnsi="Tahoma"/>
        </w:rPr>
        <w:t>ț</w:t>
      </w:r>
      <w:r>
        <w:rPr/>
        <w:t>i :</w:t>
      </w:r>
    </w:p>
    <w:p>
      <w:pPr>
        <w:pStyle w:val="ListParagraph"/>
        <w:numPr>
          <w:ilvl w:val="0"/>
          <w:numId w:val="16"/>
        </w:numPr>
        <w:tabs>
          <w:tab w:pos="981" w:val="left" w:leader="none"/>
        </w:tabs>
        <w:spacing w:line="240" w:lineRule="auto" w:before="0" w:after="0"/>
        <w:ind w:left="680" w:right="1135" w:firstLine="0"/>
        <w:jc w:val="both"/>
        <w:rPr>
          <w:sz w:val="24"/>
        </w:rPr>
      </w:pPr>
      <w:r>
        <w:rPr>
          <w:sz w:val="24"/>
        </w:rPr>
        <w:t>întocmirea unei note de fundamentare către MS- privind estimarea bugetului necesar bunei derulări a Interven</w:t>
      </w:r>
      <w:r>
        <w:rPr>
          <w:rFonts w:ascii="Tahoma" w:hAnsi="Tahoma"/>
          <w:sz w:val="24"/>
        </w:rPr>
        <w:t>ț</w:t>
      </w:r>
      <w:r>
        <w:rPr>
          <w:sz w:val="24"/>
        </w:rPr>
        <w:t>iei 1.1 pentru perioada prevăzută în adresa de solicitare, pe baza indicatorilor realiza</w:t>
      </w:r>
      <w:r>
        <w:rPr>
          <w:rFonts w:ascii="Tahoma" w:hAnsi="Tahoma"/>
          <w:sz w:val="24"/>
        </w:rPr>
        <w:t>ț</w:t>
      </w:r>
      <w:r>
        <w:rPr>
          <w:sz w:val="24"/>
        </w:rPr>
        <w:t>i </w:t>
      </w:r>
      <w:r>
        <w:rPr>
          <w:rFonts w:ascii="Tahoma" w:hAnsi="Tahoma"/>
          <w:sz w:val="24"/>
        </w:rPr>
        <w:t>ș</w:t>
      </w:r>
      <w:r>
        <w:rPr>
          <w:sz w:val="24"/>
        </w:rPr>
        <w:t>i raporta</w:t>
      </w:r>
      <w:r>
        <w:rPr>
          <w:rFonts w:ascii="Tahoma" w:hAnsi="Tahoma"/>
          <w:sz w:val="24"/>
        </w:rPr>
        <w:t>ț</w:t>
      </w:r>
      <w:r>
        <w:rPr>
          <w:sz w:val="24"/>
        </w:rPr>
        <w:t>i</w:t>
      </w:r>
      <w:r>
        <w:rPr>
          <w:spacing w:val="-1"/>
          <w:sz w:val="24"/>
        </w:rPr>
        <w:t> </w:t>
      </w:r>
      <w:r>
        <w:rPr>
          <w:sz w:val="24"/>
        </w:rPr>
        <w:t>anterior.</w:t>
      </w:r>
    </w:p>
    <w:p>
      <w:pPr>
        <w:pStyle w:val="ListParagraph"/>
        <w:numPr>
          <w:ilvl w:val="0"/>
          <w:numId w:val="16"/>
        </w:numPr>
        <w:tabs>
          <w:tab w:pos="890" w:val="left" w:leader="none"/>
        </w:tabs>
        <w:spacing w:line="240" w:lineRule="auto" w:before="0" w:after="0"/>
        <w:ind w:left="680" w:right="1135" w:firstLine="0"/>
        <w:jc w:val="both"/>
        <w:rPr>
          <w:sz w:val="24"/>
        </w:rPr>
      </w:pPr>
      <w:r>
        <w:rPr>
          <w:sz w:val="24"/>
        </w:rPr>
        <w:t>întocmirea referatului de către coordonatorul subprogramului- către Biroul de Achizi</w:t>
      </w:r>
      <w:r>
        <w:rPr>
          <w:rFonts w:ascii="Tahoma" w:hAnsi="Tahoma"/>
          <w:sz w:val="24"/>
        </w:rPr>
        <w:t>ț</w:t>
      </w:r>
      <w:r>
        <w:rPr>
          <w:sz w:val="24"/>
        </w:rPr>
        <w:t>ii in vederea întocmirii Contractului subsecvent încheiat între DSPMB </w:t>
      </w:r>
      <w:r>
        <w:rPr>
          <w:rFonts w:ascii="Tahoma" w:hAnsi="Tahoma"/>
          <w:sz w:val="24"/>
        </w:rPr>
        <w:t>ș</w:t>
      </w:r>
      <w:r>
        <w:rPr>
          <w:sz w:val="24"/>
        </w:rPr>
        <w:t>i câ</w:t>
      </w:r>
      <w:r>
        <w:rPr>
          <w:rFonts w:ascii="Tahoma" w:hAnsi="Tahoma"/>
          <w:sz w:val="24"/>
        </w:rPr>
        <w:t>ș</w:t>
      </w:r>
      <w:r>
        <w:rPr>
          <w:sz w:val="24"/>
        </w:rPr>
        <w:t>tigătorul licita</w:t>
      </w:r>
      <w:r>
        <w:rPr>
          <w:rFonts w:ascii="Tahoma" w:hAnsi="Tahoma"/>
          <w:sz w:val="24"/>
        </w:rPr>
        <w:t>ț</w:t>
      </w:r>
      <w:r>
        <w:rPr>
          <w:sz w:val="24"/>
        </w:rPr>
        <w:t>iei na</w:t>
      </w:r>
      <w:r>
        <w:rPr>
          <w:rFonts w:ascii="Tahoma" w:hAnsi="Tahoma"/>
          <w:sz w:val="24"/>
        </w:rPr>
        <w:t>ț</w:t>
      </w:r>
      <w:r>
        <w:rPr>
          <w:sz w:val="24"/>
        </w:rPr>
        <w:t>ionale ( comunicat de către</w:t>
      </w:r>
      <w:r>
        <w:rPr>
          <w:spacing w:val="-3"/>
          <w:sz w:val="24"/>
        </w:rPr>
        <w:t> </w:t>
      </w:r>
      <w:r>
        <w:rPr>
          <w:sz w:val="24"/>
        </w:rPr>
        <w:t>MS)</w:t>
      </w:r>
    </w:p>
    <w:p>
      <w:pPr>
        <w:pStyle w:val="ListParagraph"/>
        <w:numPr>
          <w:ilvl w:val="0"/>
          <w:numId w:val="16"/>
        </w:numPr>
        <w:tabs>
          <w:tab w:pos="835" w:val="left" w:leader="none"/>
        </w:tabs>
        <w:spacing w:line="240" w:lineRule="auto" w:before="0" w:after="0"/>
        <w:ind w:left="680" w:right="1135" w:firstLine="0"/>
        <w:jc w:val="both"/>
        <w:rPr>
          <w:sz w:val="24"/>
        </w:rPr>
      </w:pPr>
      <w:r>
        <w:rPr>
          <w:sz w:val="24"/>
        </w:rPr>
        <w:t>întocmirea cererii de finan</w:t>
      </w:r>
      <w:r>
        <w:rPr>
          <w:rFonts w:ascii="Tahoma" w:hAnsi="Tahoma"/>
          <w:sz w:val="24"/>
        </w:rPr>
        <w:t>ț</w:t>
      </w:r>
      <w:r>
        <w:rPr>
          <w:sz w:val="24"/>
        </w:rPr>
        <w:t>are cu specifica</w:t>
      </w:r>
      <w:r>
        <w:rPr>
          <w:rFonts w:ascii="Tahoma" w:hAnsi="Tahoma"/>
          <w:sz w:val="24"/>
        </w:rPr>
        <w:t>ț</w:t>
      </w:r>
      <w:r>
        <w:rPr>
          <w:sz w:val="24"/>
        </w:rPr>
        <w:t>ia sursei de finan</w:t>
      </w:r>
      <w:r>
        <w:rPr>
          <w:rFonts w:ascii="Tahoma" w:hAnsi="Tahoma"/>
          <w:sz w:val="24"/>
        </w:rPr>
        <w:t>ț</w:t>
      </w:r>
      <w:r>
        <w:rPr>
          <w:sz w:val="24"/>
        </w:rPr>
        <w:t>are </w:t>
      </w:r>
      <w:r>
        <w:rPr>
          <w:rFonts w:ascii="Tahoma" w:hAnsi="Tahoma"/>
          <w:sz w:val="24"/>
        </w:rPr>
        <w:t>ș</w:t>
      </w:r>
      <w:r>
        <w:rPr>
          <w:sz w:val="24"/>
        </w:rPr>
        <w:t>i a titlului de cheltuieli pe baza facturii fiscale eliberată de</w:t>
      </w:r>
      <w:r>
        <w:rPr>
          <w:spacing w:val="-2"/>
          <w:sz w:val="24"/>
        </w:rPr>
        <w:t> </w:t>
      </w:r>
      <w:r>
        <w:rPr>
          <w:sz w:val="24"/>
        </w:rPr>
        <w:t>furnizor</w:t>
      </w:r>
    </w:p>
    <w:p>
      <w:pPr>
        <w:pStyle w:val="ListParagraph"/>
        <w:numPr>
          <w:ilvl w:val="0"/>
          <w:numId w:val="16"/>
        </w:numPr>
        <w:tabs>
          <w:tab w:pos="1007" w:val="left" w:leader="none"/>
        </w:tabs>
        <w:spacing w:line="240" w:lineRule="auto" w:before="0" w:after="0"/>
        <w:ind w:left="680" w:right="1135" w:firstLine="60"/>
        <w:jc w:val="both"/>
        <w:rPr>
          <w:sz w:val="24"/>
        </w:rPr>
      </w:pPr>
      <w:r>
        <w:rPr>
          <w:sz w:val="24"/>
        </w:rPr>
        <w:t>colectarea lunar si centralizarea documentelor justificative de la DPC-urile de sector privind: stocul de lapte praf de la fiecare DGASPC de sector, nr. copii beneficiari, listele de beneficiari,</w:t>
      </w:r>
      <w:r>
        <w:rPr>
          <w:spacing w:val="-12"/>
          <w:sz w:val="24"/>
        </w:rPr>
        <w:t> </w:t>
      </w:r>
      <w:r>
        <w:rPr>
          <w:sz w:val="24"/>
        </w:rPr>
        <w:t>etc;</w:t>
      </w:r>
    </w:p>
    <w:p>
      <w:pPr>
        <w:pStyle w:val="BodyText"/>
        <w:ind w:right="1133" w:firstLine="120"/>
        <w:jc w:val="both"/>
      </w:pPr>
      <w:r>
        <w:rPr/>
        <w:t>- întocmirea , trimestrial a machetei centralizate privind execu</w:t>
      </w:r>
      <w:r>
        <w:rPr>
          <w:rFonts w:ascii="Tahoma" w:hAnsi="Tahoma"/>
        </w:rPr>
        <w:t>ț</w:t>
      </w:r>
      <w:r>
        <w:rPr/>
        <w:t>ia , indicatori , stocuri si balan</w:t>
      </w:r>
      <w:r>
        <w:rPr>
          <w:rFonts w:ascii="Tahoma" w:hAnsi="Tahoma"/>
        </w:rPr>
        <w:t>ț</w:t>
      </w:r>
      <w:r>
        <w:rPr/>
        <w:t>a </w:t>
      </w:r>
      <w:r>
        <w:rPr>
          <w:rFonts w:ascii="Tahoma" w:hAnsi="Tahoma"/>
        </w:rPr>
        <w:t>ș</w:t>
      </w:r>
      <w:r>
        <w:rPr/>
        <w:t>i transmiterea către INMC.</w:t>
      </w:r>
    </w:p>
    <w:p>
      <w:pPr>
        <w:spacing w:after="0"/>
        <w:jc w:val="both"/>
        <w:sectPr>
          <w:pgSz w:w="11910" w:h="16840"/>
          <w:pgMar w:header="0" w:footer="658" w:top="1360" w:bottom="920" w:left="400" w:right="0"/>
        </w:sectPr>
      </w:pPr>
    </w:p>
    <w:p>
      <w:pPr>
        <w:pStyle w:val="ListParagraph"/>
        <w:numPr>
          <w:ilvl w:val="0"/>
          <w:numId w:val="16"/>
        </w:numPr>
        <w:tabs>
          <w:tab w:pos="820" w:val="left" w:leader="none"/>
        </w:tabs>
        <w:spacing w:line="240" w:lineRule="auto" w:before="60" w:after="0"/>
        <w:ind w:left="819" w:right="0" w:hanging="140"/>
        <w:jc w:val="left"/>
        <w:rPr>
          <w:sz w:val="24"/>
        </w:rPr>
      </w:pPr>
      <w:r>
        <w:rPr>
          <w:sz w:val="24"/>
        </w:rPr>
        <w:t>intocmirea si transmiterea rapoartelor de</w:t>
      </w:r>
      <w:r>
        <w:rPr>
          <w:spacing w:val="-2"/>
          <w:sz w:val="24"/>
        </w:rPr>
        <w:t> </w:t>
      </w:r>
      <w:r>
        <w:rPr>
          <w:sz w:val="24"/>
        </w:rPr>
        <w:t>activitate.</w:t>
      </w:r>
    </w:p>
    <w:p>
      <w:pPr>
        <w:pStyle w:val="BodyText"/>
        <w:spacing w:before="1"/>
      </w:pPr>
      <w:r>
        <w:rPr/>
        <w:t>Beneficiari in anul/2017 = 1480 copii si s-a distribuit canitatea lapte praf = 5.278,4 kg</w:t>
      </w:r>
    </w:p>
    <w:p>
      <w:pPr>
        <w:pStyle w:val="BodyText"/>
        <w:ind w:left="0"/>
      </w:pPr>
    </w:p>
    <w:p>
      <w:pPr>
        <w:spacing w:line="291" w:lineRule="exact" w:before="1"/>
        <w:ind w:left="680" w:right="0" w:firstLine="0"/>
        <w:jc w:val="both"/>
        <w:rPr>
          <w:b/>
          <w:sz w:val="24"/>
        </w:rPr>
      </w:pPr>
      <w:r>
        <w:rPr>
          <w:b/>
          <w:sz w:val="24"/>
        </w:rPr>
        <w:t>Ac</w:t>
      </w:r>
      <w:r>
        <w:rPr>
          <w:rFonts w:ascii="Tahoma" w:hAnsi="Tahoma"/>
          <w:b/>
          <w:sz w:val="24"/>
        </w:rPr>
        <w:t>ț</w:t>
      </w:r>
      <w:r>
        <w:rPr>
          <w:b/>
          <w:sz w:val="24"/>
        </w:rPr>
        <w:t>iuni Prioritare </w:t>
      </w:r>
      <w:r>
        <w:rPr>
          <w:sz w:val="24"/>
        </w:rPr>
        <w:t>derulate</w:t>
      </w:r>
      <w:r>
        <w:rPr>
          <w:b/>
          <w:sz w:val="24"/>
        </w:rPr>
        <w:t>:</w:t>
      </w:r>
    </w:p>
    <w:p>
      <w:pPr>
        <w:pStyle w:val="ListParagraph"/>
        <w:numPr>
          <w:ilvl w:val="0"/>
          <w:numId w:val="24"/>
        </w:numPr>
        <w:tabs>
          <w:tab w:pos="861" w:val="left" w:leader="none"/>
        </w:tabs>
        <w:spacing w:line="240" w:lineRule="auto" w:before="0" w:after="0"/>
        <w:ind w:left="680" w:right="1133" w:firstLine="0"/>
        <w:jc w:val="both"/>
        <w:rPr>
          <w:sz w:val="24"/>
        </w:rPr>
      </w:pPr>
      <w:r>
        <w:rPr>
          <w:sz w:val="24"/>
          <w:u w:val="single"/>
        </w:rPr>
        <w:t>Monitorizarea, tratamentul si îngrijirea pacien</w:t>
      </w:r>
      <w:r>
        <w:rPr>
          <w:rFonts w:ascii="Tahoma" w:hAnsi="Tahoma"/>
          <w:sz w:val="24"/>
          <w:u w:val="single"/>
        </w:rPr>
        <w:t>ț</w:t>
      </w:r>
      <w:r>
        <w:rPr>
          <w:sz w:val="24"/>
          <w:u w:val="single"/>
        </w:rPr>
        <w:t>ilor critici din sec</w:t>
      </w:r>
      <w:r>
        <w:rPr>
          <w:rFonts w:ascii="Tahoma" w:hAnsi="Tahoma"/>
          <w:sz w:val="24"/>
          <w:u w:val="single"/>
        </w:rPr>
        <w:t>ț</w:t>
      </w:r>
      <w:r>
        <w:rPr>
          <w:sz w:val="24"/>
          <w:u w:val="single"/>
        </w:rPr>
        <w:t>iile ATI adul</w:t>
      </w:r>
      <w:r>
        <w:rPr>
          <w:rFonts w:ascii="Tahoma" w:hAnsi="Tahoma"/>
          <w:sz w:val="24"/>
          <w:u w:val="single"/>
        </w:rPr>
        <w:t>ț</w:t>
      </w:r>
      <w:r>
        <w:rPr>
          <w:sz w:val="24"/>
          <w:u w:val="single"/>
        </w:rPr>
        <w:t>i/copii </w:t>
      </w:r>
      <w:r>
        <w:rPr>
          <w:rFonts w:ascii="Tahoma" w:hAnsi="Tahoma"/>
          <w:sz w:val="24"/>
          <w:u w:val="single"/>
        </w:rPr>
        <w:t>ș</w:t>
      </w:r>
      <w:r>
        <w:rPr>
          <w:sz w:val="24"/>
          <w:u w:val="single"/>
        </w:rPr>
        <w:t>i terapie intensivă nou-născu</w:t>
      </w:r>
      <w:r>
        <w:rPr>
          <w:rFonts w:ascii="Tahoma" w:hAnsi="Tahoma"/>
          <w:sz w:val="24"/>
          <w:u w:val="single"/>
        </w:rPr>
        <w:t>ț</w:t>
      </w:r>
      <w:r>
        <w:rPr>
          <w:sz w:val="24"/>
          <w:u w:val="single"/>
        </w:rPr>
        <w:t>i AP –ATI , ale căror costuri nu pot fi acoperite din fondurile ob</w:t>
      </w:r>
      <w:r>
        <w:rPr>
          <w:rFonts w:ascii="Tahoma" w:hAnsi="Tahoma"/>
          <w:sz w:val="24"/>
          <w:u w:val="single"/>
        </w:rPr>
        <w:t>ț</w:t>
      </w:r>
      <w:r>
        <w:rPr>
          <w:sz w:val="24"/>
          <w:u w:val="single"/>
        </w:rPr>
        <w:t>inute pe baza contractelor cu casele de asigurări  jude</w:t>
      </w:r>
      <w:r>
        <w:rPr>
          <w:rFonts w:ascii="Tahoma" w:hAnsi="Tahoma"/>
          <w:sz w:val="24"/>
          <w:u w:val="single"/>
        </w:rPr>
        <w:t>ț</w:t>
      </w:r>
      <w:r>
        <w:rPr>
          <w:sz w:val="24"/>
          <w:u w:val="single"/>
        </w:rPr>
        <w:t>ene </w:t>
      </w:r>
      <w:r>
        <w:rPr>
          <w:rFonts w:ascii="Tahoma" w:hAnsi="Tahoma"/>
          <w:sz w:val="24"/>
          <w:u w:val="single"/>
        </w:rPr>
        <w:t>ș</w:t>
      </w:r>
      <w:r>
        <w:rPr>
          <w:sz w:val="24"/>
          <w:u w:val="single"/>
        </w:rPr>
        <w:t>i  a Municipiului Bucure</w:t>
      </w:r>
      <w:r>
        <w:rPr>
          <w:rFonts w:ascii="Tahoma" w:hAnsi="Tahoma"/>
          <w:sz w:val="24"/>
          <w:u w:val="single"/>
        </w:rPr>
        <w:t>ș</w:t>
      </w:r>
      <w:r>
        <w:rPr>
          <w:sz w:val="24"/>
          <w:u w:val="single"/>
        </w:rPr>
        <w:t>ti, conform Ordinului  MS</w:t>
      </w:r>
      <w:r>
        <w:rPr>
          <w:sz w:val="24"/>
        </w:rPr>
        <w:t> </w:t>
      </w:r>
      <w:r>
        <w:rPr>
          <w:sz w:val="24"/>
          <w:u w:val="single"/>
        </w:rPr>
        <w:t> nr. 447/2015 cu modificările </w:t>
      </w:r>
      <w:r>
        <w:rPr>
          <w:rFonts w:ascii="Tahoma" w:hAnsi="Tahoma"/>
          <w:sz w:val="24"/>
          <w:u w:val="single"/>
        </w:rPr>
        <w:t>ș</w:t>
      </w:r>
      <w:r>
        <w:rPr>
          <w:sz w:val="24"/>
          <w:u w:val="single"/>
        </w:rPr>
        <w:t>i completările ulterioare. ( 10 unită</w:t>
      </w:r>
      <w:r>
        <w:rPr>
          <w:rFonts w:ascii="Tahoma" w:hAnsi="Tahoma"/>
          <w:sz w:val="24"/>
          <w:u w:val="single"/>
        </w:rPr>
        <w:t>ț</w:t>
      </w:r>
      <w:r>
        <w:rPr>
          <w:sz w:val="24"/>
          <w:u w:val="single"/>
        </w:rPr>
        <w:t>i</w:t>
      </w:r>
      <w:r>
        <w:rPr>
          <w:spacing w:val="-4"/>
          <w:sz w:val="24"/>
          <w:u w:val="single"/>
        </w:rPr>
        <w:t> </w:t>
      </w:r>
      <w:r>
        <w:rPr>
          <w:sz w:val="24"/>
          <w:u w:val="single"/>
        </w:rPr>
        <w:t>medicale)</w:t>
      </w:r>
    </w:p>
    <w:p>
      <w:pPr>
        <w:pStyle w:val="ListParagraph"/>
        <w:numPr>
          <w:ilvl w:val="0"/>
          <w:numId w:val="24"/>
        </w:numPr>
        <w:tabs>
          <w:tab w:pos="861" w:val="left" w:leader="none"/>
        </w:tabs>
        <w:spacing w:line="240" w:lineRule="auto" w:before="0" w:after="0"/>
        <w:ind w:left="680" w:right="1131" w:firstLine="0"/>
        <w:jc w:val="both"/>
        <w:rPr>
          <w:sz w:val="24"/>
        </w:rPr>
      </w:pPr>
      <w:r>
        <w:rPr>
          <w:sz w:val="24"/>
          <w:u w:val="single"/>
        </w:rPr>
        <w:t>Tratamentul interven</w:t>
      </w:r>
      <w:r>
        <w:rPr>
          <w:rFonts w:ascii="Tahoma" w:hAnsi="Tahoma"/>
          <w:sz w:val="24"/>
          <w:u w:val="single"/>
        </w:rPr>
        <w:t>ț</w:t>
      </w:r>
      <w:r>
        <w:rPr>
          <w:sz w:val="24"/>
          <w:u w:val="single"/>
        </w:rPr>
        <w:t>ional al pacien</w:t>
      </w:r>
      <w:r>
        <w:rPr>
          <w:rFonts w:ascii="Tahoma" w:hAnsi="Tahoma"/>
          <w:sz w:val="24"/>
          <w:u w:val="single"/>
        </w:rPr>
        <w:t>ț</w:t>
      </w:r>
      <w:r>
        <w:rPr>
          <w:sz w:val="24"/>
          <w:u w:val="single"/>
        </w:rPr>
        <w:t>ilor cu accident vascular cerebral acut – “AP -AVCAc”– ale căror costuri nu pot fi acoperite din fondurile ob</w:t>
      </w:r>
      <w:r>
        <w:rPr>
          <w:rFonts w:ascii="Tahoma" w:hAnsi="Tahoma"/>
          <w:sz w:val="24"/>
          <w:u w:val="single"/>
        </w:rPr>
        <w:t>ț</w:t>
      </w:r>
      <w:r>
        <w:rPr>
          <w:sz w:val="24"/>
          <w:u w:val="single"/>
        </w:rPr>
        <w:t>inute pe baza contractelor cu casele de asigurări jude</w:t>
      </w:r>
      <w:r>
        <w:rPr>
          <w:rFonts w:ascii="Tahoma" w:hAnsi="Tahoma"/>
          <w:sz w:val="24"/>
          <w:u w:val="single"/>
        </w:rPr>
        <w:t>ț</w:t>
      </w:r>
      <w:r>
        <w:rPr>
          <w:sz w:val="24"/>
          <w:u w:val="single"/>
        </w:rPr>
        <w:t>ene </w:t>
      </w:r>
      <w:r>
        <w:rPr>
          <w:rFonts w:ascii="Tahoma" w:hAnsi="Tahoma"/>
          <w:sz w:val="24"/>
          <w:u w:val="single"/>
        </w:rPr>
        <w:t>ș</w:t>
      </w:r>
      <w:r>
        <w:rPr>
          <w:sz w:val="24"/>
          <w:u w:val="single"/>
        </w:rPr>
        <w:t>i a Municipiului Bucure</w:t>
      </w:r>
      <w:r>
        <w:rPr>
          <w:rFonts w:ascii="Tahoma" w:hAnsi="Tahoma"/>
          <w:sz w:val="24"/>
          <w:u w:val="single"/>
        </w:rPr>
        <w:t>ș</w:t>
      </w:r>
      <w:r>
        <w:rPr>
          <w:sz w:val="24"/>
          <w:u w:val="single"/>
        </w:rPr>
        <w:t>ti, conform Ordinului MS nr. 450/2015 cu modificările </w:t>
      </w:r>
      <w:r>
        <w:rPr>
          <w:rFonts w:ascii="Tahoma" w:hAnsi="Tahoma"/>
          <w:sz w:val="24"/>
          <w:u w:val="single"/>
        </w:rPr>
        <w:t>ș</w:t>
      </w:r>
      <w:r>
        <w:rPr>
          <w:sz w:val="24"/>
          <w:u w:val="single"/>
        </w:rPr>
        <w:t>i completările ulterioare (2 unităti</w:t>
      </w:r>
      <w:r>
        <w:rPr>
          <w:spacing w:val="-2"/>
          <w:sz w:val="24"/>
          <w:u w:val="single"/>
        </w:rPr>
        <w:t> </w:t>
      </w:r>
      <w:r>
        <w:rPr>
          <w:sz w:val="24"/>
          <w:u w:val="single"/>
        </w:rPr>
        <w:t>medicale);</w:t>
      </w:r>
    </w:p>
    <w:p>
      <w:pPr>
        <w:pStyle w:val="ListParagraph"/>
        <w:numPr>
          <w:ilvl w:val="0"/>
          <w:numId w:val="24"/>
        </w:numPr>
        <w:tabs>
          <w:tab w:pos="922" w:val="left" w:leader="none"/>
        </w:tabs>
        <w:spacing w:line="240" w:lineRule="auto" w:before="0" w:after="0"/>
        <w:ind w:left="680" w:right="1132" w:firstLine="60"/>
        <w:jc w:val="both"/>
        <w:rPr>
          <w:sz w:val="24"/>
        </w:rPr>
      </w:pPr>
      <w:r>
        <w:rPr>
          <w:sz w:val="24"/>
          <w:u w:val="single"/>
        </w:rPr>
        <w:t>Ac</w:t>
      </w:r>
      <w:r>
        <w:rPr>
          <w:rFonts w:ascii="Tahoma" w:hAnsi="Tahoma"/>
          <w:sz w:val="24"/>
          <w:u w:val="single"/>
        </w:rPr>
        <w:t>ț</w:t>
      </w:r>
      <w:r>
        <w:rPr>
          <w:sz w:val="24"/>
          <w:u w:val="single"/>
        </w:rPr>
        <w:t>iuni Prioritare pentru tratamentul pacien</w:t>
      </w:r>
      <w:r>
        <w:rPr>
          <w:rFonts w:ascii="Tahoma" w:hAnsi="Tahoma"/>
          <w:sz w:val="24"/>
          <w:u w:val="single"/>
        </w:rPr>
        <w:t>ț</w:t>
      </w:r>
      <w:r>
        <w:rPr>
          <w:sz w:val="24"/>
          <w:u w:val="single"/>
        </w:rPr>
        <w:t>ilor critici cu leziuni traumatice acute cranio-cerebro- faciale, vertebro- medulare , ale centurilor si extremită</w:t>
      </w:r>
      <w:r>
        <w:rPr>
          <w:rFonts w:ascii="Tahoma" w:hAnsi="Tahoma"/>
          <w:sz w:val="24"/>
          <w:u w:val="single"/>
        </w:rPr>
        <w:t>ț</w:t>
      </w:r>
      <w:r>
        <w:rPr>
          <w:sz w:val="24"/>
          <w:u w:val="single"/>
        </w:rPr>
        <w:t>ilor, “AP – TRAUMA” - ale căror costuri nu pot fi acoperite din fondurile ob</w:t>
      </w:r>
      <w:r>
        <w:rPr>
          <w:rFonts w:ascii="Tahoma" w:hAnsi="Tahoma"/>
          <w:sz w:val="24"/>
          <w:u w:val="single"/>
        </w:rPr>
        <w:t>ț</w:t>
      </w:r>
      <w:r>
        <w:rPr>
          <w:sz w:val="24"/>
          <w:u w:val="single"/>
        </w:rPr>
        <w:t>inute pe baza contractelor cu Casa de Asigurari de Sănătate a Municipiului Bucure</w:t>
      </w:r>
      <w:r>
        <w:rPr>
          <w:rFonts w:ascii="Tahoma" w:hAnsi="Tahoma"/>
          <w:sz w:val="24"/>
          <w:u w:val="single"/>
        </w:rPr>
        <w:t>ș</w:t>
      </w:r>
      <w:r>
        <w:rPr>
          <w:sz w:val="24"/>
          <w:u w:val="single"/>
        </w:rPr>
        <w:t>ti – conform ordin MS nr. 446/2015( 2 unită</w:t>
      </w:r>
      <w:r>
        <w:rPr>
          <w:rFonts w:ascii="Tahoma" w:hAnsi="Tahoma"/>
          <w:sz w:val="24"/>
          <w:u w:val="single"/>
        </w:rPr>
        <w:t>ț</w:t>
      </w:r>
      <w:r>
        <w:rPr>
          <w:sz w:val="24"/>
          <w:u w:val="single"/>
        </w:rPr>
        <w:t>i</w:t>
      </w:r>
      <w:r>
        <w:rPr>
          <w:spacing w:val="59"/>
          <w:sz w:val="24"/>
          <w:u w:val="single"/>
        </w:rPr>
        <w:t> </w:t>
      </w:r>
      <w:r>
        <w:rPr>
          <w:sz w:val="24"/>
          <w:u w:val="single"/>
        </w:rPr>
        <w:t>medicale)</w:t>
      </w:r>
    </w:p>
    <w:p>
      <w:pPr>
        <w:pStyle w:val="ListParagraph"/>
        <w:numPr>
          <w:ilvl w:val="0"/>
          <w:numId w:val="24"/>
        </w:numPr>
        <w:tabs>
          <w:tab w:pos="936" w:val="left" w:leader="none"/>
          <w:tab w:pos="6174" w:val="left" w:leader="none"/>
        </w:tabs>
        <w:spacing w:line="240" w:lineRule="auto" w:before="1" w:after="0"/>
        <w:ind w:left="680" w:right="1133" w:firstLine="74"/>
        <w:jc w:val="left"/>
        <w:rPr>
          <w:sz w:val="24"/>
        </w:rPr>
      </w:pPr>
      <w:r>
        <w:rPr>
          <w:sz w:val="24"/>
          <w:u w:val="single"/>
        </w:rPr>
        <w:t>Monitorizarea, tratamentul si îngrijirea pacien</w:t>
      </w:r>
      <w:r>
        <w:rPr>
          <w:rFonts w:ascii="Tahoma" w:hAnsi="Tahoma"/>
          <w:sz w:val="24"/>
          <w:u w:val="single"/>
        </w:rPr>
        <w:t>ț</w:t>
      </w:r>
      <w:r>
        <w:rPr>
          <w:sz w:val="24"/>
          <w:u w:val="single"/>
        </w:rPr>
        <w:t>ilor critici din pentru tratamentul endoscopic al pacientilor  critici  cu  hemoragie</w:t>
      </w:r>
      <w:r>
        <w:rPr>
          <w:spacing w:val="30"/>
          <w:sz w:val="24"/>
          <w:u w:val="single"/>
        </w:rPr>
        <w:t> </w:t>
      </w:r>
      <w:r>
        <w:rPr>
          <w:sz w:val="24"/>
          <w:u w:val="single"/>
        </w:rPr>
        <w:t>digestivă</w:t>
      </w:r>
      <w:r>
        <w:rPr>
          <w:spacing w:val="52"/>
          <w:sz w:val="24"/>
          <w:u w:val="single"/>
        </w:rPr>
        <w:t> </w:t>
      </w:r>
      <w:r>
        <w:rPr>
          <w:sz w:val="24"/>
          <w:u w:val="single"/>
        </w:rPr>
        <w:t>superioară</w:t>
        <w:tab/>
      </w:r>
      <w:r>
        <w:rPr>
          <w:rFonts w:ascii="Tahoma" w:hAnsi="Tahoma"/>
          <w:sz w:val="24"/>
          <w:u w:val="single"/>
        </w:rPr>
        <w:t>ș</w:t>
      </w:r>
      <w:r>
        <w:rPr>
          <w:sz w:val="24"/>
          <w:u w:val="single"/>
        </w:rPr>
        <w:t>i protezare endoscopică digestivă AP – ENDO , ale căror costuri nu pot fi acoperite din fondurile ob</w:t>
      </w:r>
      <w:r>
        <w:rPr>
          <w:rFonts w:ascii="Tahoma" w:hAnsi="Tahoma"/>
          <w:sz w:val="24"/>
          <w:u w:val="single"/>
        </w:rPr>
        <w:t>ț</w:t>
      </w:r>
      <w:r>
        <w:rPr>
          <w:sz w:val="24"/>
          <w:u w:val="single"/>
        </w:rPr>
        <w:t>inute pe baza contractelor cu casele de asigurări jude</w:t>
      </w:r>
      <w:r>
        <w:rPr>
          <w:rFonts w:ascii="Tahoma" w:hAnsi="Tahoma"/>
          <w:sz w:val="24"/>
          <w:u w:val="single"/>
        </w:rPr>
        <w:t>ț</w:t>
      </w:r>
      <w:r>
        <w:rPr>
          <w:sz w:val="24"/>
          <w:u w:val="single"/>
        </w:rPr>
        <w:t>ene </w:t>
      </w:r>
      <w:r>
        <w:rPr>
          <w:rFonts w:ascii="Tahoma" w:hAnsi="Tahoma"/>
          <w:sz w:val="24"/>
          <w:u w:val="single"/>
        </w:rPr>
        <w:t>ș</w:t>
      </w:r>
      <w:r>
        <w:rPr>
          <w:sz w:val="24"/>
          <w:u w:val="single"/>
        </w:rPr>
        <w:t>i a Municipiului Bucure</w:t>
      </w:r>
      <w:r>
        <w:rPr>
          <w:rFonts w:ascii="Tahoma" w:hAnsi="Tahoma"/>
          <w:sz w:val="24"/>
          <w:u w:val="single"/>
        </w:rPr>
        <w:t>ș</w:t>
      </w:r>
      <w:r>
        <w:rPr>
          <w:sz w:val="24"/>
          <w:u w:val="single"/>
        </w:rPr>
        <w:t>ti (cf. ordin MS nr. 875/2015) ( 3 unită</w:t>
      </w:r>
      <w:r>
        <w:rPr>
          <w:rFonts w:ascii="Tahoma" w:hAnsi="Tahoma"/>
          <w:sz w:val="24"/>
          <w:u w:val="single"/>
        </w:rPr>
        <w:t>ț</w:t>
      </w:r>
      <w:r>
        <w:rPr>
          <w:sz w:val="24"/>
          <w:u w:val="single"/>
        </w:rPr>
        <w:t>i medicale);</w:t>
      </w:r>
      <w:r>
        <w:rPr>
          <w:sz w:val="24"/>
        </w:rPr>
        <w:t> Activitati</w:t>
      </w:r>
      <w:r>
        <w:rPr>
          <w:spacing w:val="-1"/>
          <w:sz w:val="24"/>
        </w:rPr>
        <w:t> </w:t>
      </w:r>
      <w:r>
        <w:rPr>
          <w:sz w:val="24"/>
        </w:rPr>
        <w:t>desfasurate:</w:t>
      </w:r>
    </w:p>
    <w:p>
      <w:pPr>
        <w:pStyle w:val="ListParagraph"/>
        <w:numPr>
          <w:ilvl w:val="0"/>
          <w:numId w:val="16"/>
        </w:numPr>
        <w:tabs>
          <w:tab w:pos="931" w:val="left" w:leader="none"/>
        </w:tabs>
        <w:spacing w:line="240" w:lineRule="auto" w:before="0" w:after="0"/>
        <w:ind w:left="680" w:right="1132" w:firstLine="0"/>
        <w:jc w:val="both"/>
        <w:rPr>
          <w:sz w:val="24"/>
        </w:rPr>
      </w:pPr>
      <w:r>
        <w:rPr>
          <w:sz w:val="24"/>
        </w:rPr>
        <w:t>primirea comunicarilor transmise de Ministerul Sănătă</w:t>
      </w:r>
      <w:r>
        <w:rPr>
          <w:rFonts w:ascii="Tahoma" w:hAnsi="Tahoma"/>
          <w:sz w:val="24"/>
        </w:rPr>
        <w:t>ț</w:t>
      </w:r>
      <w:r>
        <w:rPr>
          <w:sz w:val="24"/>
        </w:rPr>
        <w:t>ii–Serviciul Medicină de Urgen</w:t>
      </w:r>
      <w:r>
        <w:rPr>
          <w:rFonts w:ascii="Tahoma" w:hAnsi="Tahoma"/>
          <w:sz w:val="24"/>
        </w:rPr>
        <w:t>ț</w:t>
      </w:r>
      <w:r>
        <w:rPr>
          <w:sz w:val="24"/>
        </w:rPr>
        <w:t>ă referitoare la reparti</w:t>
      </w:r>
      <w:r>
        <w:rPr>
          <w:rFonts w:ascii="Tahoma" w:hAnsi="Tahoma"/>
          <w:sz w:val="24"/>
        </w:rPr>
        <w:t>ț</w:t>
      </w:r>
      <w:r>
        <w:rPr>
          <w:sz w:val="24"/>
        </w:rPr>
        <w:t>ia prevederilor bugetare si trimestrializarea aprobată pe fiecare Ac</w:t>
      </w:r>
      <w:r>
        <w:rPr>
          <w:rFonts w:ascii="Tahoma" w:hAnsi="Tahoma"/>
          <w:sz w:val="24"/>
        </w:rPr>
        <w:t>ț</w:t>
      </w:r>
      <w:r>
        <w:rPr>
          <w:sz w:val="24"/>
        </w:rPr>
        <w:t>iune Prioritară si la finan</w:t>
      </w:r>
      <w:r>
        <w:rPr>
          <w:rFonts w:ascii="Tahoma" w:hAnsi="Tahoma"/>
          <w:sz w:val="24"/>
        </w:rPr>
        <w:t>ț</w:t>
      </w:r>
      <w:r>
        <w:rPr>
          <w:sz w:val="24"/>
        </w:rPr>
        <w:t>area Ac</w:t>
      </w:r>
      <w:r>
        <w:rPr>
          <w:rFonts w:ascii="Tahoma" w:hAnsi="Tahoma"/>
          <w:sz w:val="24"/>
        </w:rPr>
        <w:t>ț</w:t>
      </w:r>
      <w:r>
        <w:rPr>
          <w:sz w:val="24"/>
        </w:rPr>
        <w:t>iunilor Prioritare pentru tratamentul pacien</w:t>
      </w:r>
      <w:r>
        <w:rPr>
          <w:rFonts w:ascii="Tahoma" w:hAnsi="Tahoma"/>
          <w:sz w:val="24"/>
        </w:rPr>
        <w:t>ț</w:t>
      </w:r>
      <w:r>
        <w:rPr>
          <w:sz w:val="24"/>
        </w:rPr>
        <w:t>ilor critici din unită</w:t>
      </w:r>
      <w:r>
        <w:rPr>
          <w:rFonts w:ascii="Tahoma" w:hAnsi="Tahoma"/>
          <w:sz w:val="24"/>
        </w:rPr>
        <w:t>ț</w:t>
      </w:r>
      <w:r>
        <w:rPr>
          <w:sz w:val="24"/>
        </w:rPr>
        <w:t>íle nominalizate in legisla</w:t>
      </w:r>
      <w:r>
        <w:rPr>
          <w:rFonts w:ascii="Tahoma" w:hAnsi="Tahoma"/>
          <w:sz w:val="24"/>
        </w:rPr>
        <w:t>ț</w:t>
      </w:r>
      <w:r>
        <w:rPr>
          <w:sz w:val="24"/>
        </w:rPr>
        <w:t>ia specifică</w:t>
      </w:r>
      <w:r>
        <w:rPr>
          <w:spacing w:val="-1"/>
          <w:sz w:val="24"/>
        </w:rPr>
        <w:t> </w:t>
      </w:r>
      <w:r>
        <w:rPr>
          <w:sz w:val="24"/>
        </w:rPr>
        <w:t>;</w:t>
      </w:r>
    </w:p>
    <w:p>
      <w:pPr>
        <w:pStyle w:val="ListParagraph"/>
        <w:numPr>
          <w:ilvl w:val="0"/>
          <w:numId w:val="16"/>
        </w:numPr>
        <w:tabs>
          <w:tab w:pos="875" w:val="left" w:leader="none"/>
        </w:tabs>
        <w:spacing w:line="240" w:lineRule="auto" w:before="0" w:after="0"/>
        <w:ind w:left="680" w:right="1134" w:firstLine="0"/>
        <w:jc w:val="both"/>
        <w:rPr>
          <w:sz w:val="24"/>
        </w:rPr>
      </w:pPr>
      <w:r>
        <w:rPr>
          <w:sz w:val="24"/>
        </w:rPr>
        <w:t>întocmirea referatelor către Birou Achiziţii Publice din cadrul </w:t>
      </w:r>
      <w:r>
        <w:rPr>
          <w:color w:val="333333"/>
          <w:sz w:val="24"/>
        </w:rPr>
        <w:t>Direc</w:t>
      </w:r>
      <w:r>
        <w:rPr>
          <w:rFonts w:ascii="Tahoma" w:hAnsi="Tahoma"/>
          <w:color w:val="333333"/>
          <w:sz w:val="24"/>
        </w:rPr>
        <w:t>ț</w:t>
      </w:r>
      <w:r>
        <w:rPr>
          <w:color w:val="333333"/>
          <w:sz w:val="24"/>
        </w:rPr>
        <w:t>iei de Sănătate Publică Bucure</w:t>
      </w:r>
      <w:r>
        <w:rPr>
          <w:rFonts w:ascii="Tahoma" w:hAnsi="Tahoma"/>
          <w:color w:val="333333"/>
          <w:sz w:val="24"/>
        </w:rPr>
        <w:t>ș</w:t>
      </w:r>
      <w:r>
        <w:rPr>
          <w:color w:val="333333"/>
          <w:sz w:val="24"/>
        </w:rPr>
        <w:t>ti </w:t>
      </w:r>
      <w:r>
        <w:rPr>
          <w:sz w:val="24"/>
        </w:rPr>
        <w:t>în vederea încheierii contractelor între Direcţia de Sănătate Publică şi unităţile sanitare, pentru desfaşurarea activităţilor prevazute în AP;</w:t>
      </w:r>
    </w:p>
    <w:p>
      <w:pPr>
        <w:pStyle w:val="ListParagraph"/>
        <w:numPr>
          <w:ilvl w:val="0"/>
          <w:numId w:val="16"/>
        </w:numPr>
        <w:tabs>
          <w:tab w:pos="933" w:val="left" w:leader="none"/>
        </w:tabs>
        <w:spacing w:line="240" w:lineRule="auto" w:before="1" w:after="0"/>
        <w:ind w:left="680" w:right="1135" w:firstLine="60"/>
        <w:jc w:val="both"/>
        <w:rPr>
          <w:sz w:val="24"/>
        </w:rPr>
      </w:pPr>
      <w:r>
        <w:rPr>
          <w:sz w:val="24"/>
        </w:rPr>
        <w:t>întocmirea </w:t>
      </w:r>
      <w:r>
        <w:rPr>
          <w:rFonts w:ascii="Tahoma" w:hAnsi="Tahoma"/>
          <w:sz w:val="24"/>
        </w:rPr>
        <w:t>ș</w:t>
      </w:r>
      <w:r>
        <w:rPr>
          <w:sz w:val="24"/>
        </w:rPr>
        <w:t>i transmiterea către unită</w:t>
      </w:r>
      <w:r>
        <w:rPr>
          <w:rFonts w:ascii="Tahoma" w:hAnsi="Tahoma"/>
          <w:sz w:val="24"/>
        </w:rPr>
        <w:t>ț</w:t>
      </w:r>
      <w:r>
        <w:rPr>
          <w:sz w:val="24"/>
        </w:rPr>
        <w:t>ile sanitare desemnate ,respectiv manager/ director economic/ coordonatori locali Ac</w:t>
      </w:r>
      <w:r>
        <w:rPr>
          <w:rFonts w:ascii="Tahoma" w:hAnsi="Tahoma"/>
          <w:sz w:val="24"/>
        </w:rPr>
        <w:t>ț</w:t>
      </w:r>
      <w:r>
        <w:rPr>
          <w:sz w:val="24"/>
        </w:rPr>
        <w:t>iuni Prioritare, a adreslore de informare privind prevederea bugetară aprobată, titlul, sursa de finanţare si trimestrializarea sumelor aferente  Acţiunilor Prioritare;</w:t>
      </w:r>
    </w:p>
    <w:p>
      <w:pPr>
        <w:pStyle w:val="ListParagraph"/>
        <w:numPr>
          <w:ilvl w:val="0"/>
          <w:numId w:val="16"/>
        </w:numPr>
        <w:tabs>
          <w:tab w:pos="902" w:val="left" w:leader="none"/>
        </w:tabs>
        <w:spacing w:line="240" w:lineRule="auto" w:before="0" w:after="0"/>
        <w:ind w:left="680" w:right="1133" w:firstLine="0"/>
        <w:jc w:val="both"/>
        <w:rPr>
          <w:sz w:val="24"/>
        </w:rPr>
      </w:pPr>
      <w:r>
        <w:rPr>
          <w:sz w:val="24"/>
        </w:rPr>
        <w:t>întocmirea adreselor către unită</w:t>
      </w:r>
      <w:r>
        <w:rPr>
          <w:rFonts w:ascii="Tahoma" w:hAnsi="Tahoma"/>
          <w:sz w:val="24"/>
        </w:rPr>
        <w:t>ț</w:t>
      </w:r>
      <w:r>
        <w:rPr>
          <w:sz w:val="24"/>
        </w:rPr>
        <w:t>ile sanitare prin care s-au solicitat datele de contact ale persoanelor nominalizate şi ale coordonatorilor  locali desemna</w:t>
      </w:r>
      <w:r>
        <w:rPr>
          <w:rFonts w:ascii="Tahoma" w:hAnsi="Tahoma"/>
          <w:sz w:val="24"/>
        </w:rPr>
        <w:t>ț</w:t>
      </w:r>
      <w:r>
        <w:rPr>
          <w:sz w:val="24"/>
        </w:rPr>
        <w:t>i din  cadrul unităţilor medicale  care derulează</w:t>
      </w:r>
      <w:r>
        <w:rPr>
          <w:spacing w:val="-4"/>
          <w:sz w:val="24"/>
        </w:rPr>
        <w:t> </w:t>
      </w:r>
      <w:r>
        <w:rPr>
          <w:sz w:val="24"/>
        </w:rPr>
        <w:t>AP;</w:t>
      </w:r>
    </w:p>
    <w:p>
      <w:pPr>
        <w:pStyle w:val="ListParagraph"/>
        <w:numPr>
          <w:ilvl w:val="0"/>
          <w:numId w:val="16"/>
        </w:numPr>
        <w:tabs>
          <w:tab w:pos="839" w:val="left" w:leader="none"/>
        </w:tabs>
        <w:spacing w:line="240" w:lineRule="auto" w:before="0" w:after="0"/>
        <w:ind w:left="680" w:right="1136" w:firstLine="0"/>
        <w:jc w:val="both"/>
        <w:rPr>
          <w:sz w:val="24"/>
        </w:rPr>
      </w:pPr>
      <w:r>
        <w:rPr>
          <w:sz w:val="24"/>
        </w:rPr>
        <w:t>solicitarea si verificarea, lunar, a cererilor de finanţare fundamentate de la unităţile sanitare care derulează Ac</w:t>
      </w:r>
      <w:r>
        <w:rPr>
          <w:rFonts w:ascii="Tahoma" w:hAnsi="Tahoma"/>
          <w:sz w:val="24"/>
        </w:rPr>
        <w:t>ț</w:t>
      </w:r>
      <w:r>
        <w:rPr>
          <w:sz w:val="24"/>
        </w:rPr>
        <w:t>iuni Prioritare, însoţite de documentele justificative ale acestora (facturi fiscale întocmite pentru achiziţia bunurilor necesare pentru realizarea obiectivelor şi activităţilor conform legislaţiei în vigoare), cererile de finan</w:t>
      </w:r>
      <w:r>
        <w:rPr>
          <w:rFonts w:ascii="Tahoma" w:hAnsi="Tahoma"/>
          <w:sz w:val="24"/>
        </w:rPr>
        <w:t>ț</w:t>
      </w:r>
      <w:r>
        <w:rPr>
          <w:sz w:val="24"/>
        </w:rPr>
        <w:t>are detaliate pe tipuri de cheltuieli,cereri justificative </w:t>
      </w:r>
      <w:r>
        <w:rPr>
          <w:rFonts w:ascii="Tahoma" w:hAnsi="Tahoma"/>
          <w:sz w:val="24"/>
        </w:rPr>
        <w:t>ș</w:t>
      </w:r>
      <w:r>
        <w:rPr>
          <w:sz w:val="24"/>
        </w:rPr>
        <w:t>i borderourile centralizatoare;</w:t>
      </w:r>
    </w:p>
    <w:p>
      <w:pPr>
        <w:pStyle w:val="ListParagraph"/>
        <w:numPr>
          <w:ilvl w:val="0"/>
          <w:numId w:val="16"/>
        </w:numPr>
        <w:tabs>
          <w:tab w:pos="820" w:val="left" w:leader="none"/>
        </w:tabs>
        <w:spacing w:line="240" w:lineRule="auto" w:before="0" w:after="0"/>
        <w:ind w:left="680" w:right="1901" w:firstLine="0"/>
        <w:jc w:val="both"/>
        <w:rPr>
          <w:sz w:val="24"/>
        </w:rPr>
      </w:pPr>
      <w:r>
        <w:rPr>
          <w:sz w:val="24"/>
        </w:rPr>
        <w:t>verificarea documentelor justificative transmise ,în concordanţă cu activitatea desfă</w:t>
      </w:r>
      <w:r>
        <w:rPr>
          <w:rFonts w:ascii="Tahoma" w:hAnsi="Tahoma"/>
          <w:sz w:val="24"/>
        </w:rPr>
        <w:t>ș</w:t>
      </w:r>
      <w:r>
        <w:rPr>
          <w:sz w:val="24"/>
        </w:rPr>
        <w:t>urată privind natura cheltuielilor menţionate în ordinele Ministerului</w:t>
      </w:r>
      <w:r>
        <w:rPr>
          <w:spacing w:val="-4"/>
          <w:sz w:val="24"/>
        </w:rPr>
        <w:t> </w:t>
      </w:r>
      <w:r>
        <w:rPr>
          <w:sz w:val="24"/>
        </w:rPr>
        <w:t>Sănătă</w:t>
      </w:r>
      <w:r>
        <w:rPr>
          <w:rFonts w:ascii="Tahoma" w:hAnsi="Tahoma"/>
          <w:sz w:val="24"/>
        </w:rPr>
        <w:t>ț</w:t>
      </w:r>
      <w:r>
        <w:rPr>
          <w:sz w:val="24"/>
        </w:rPr>
        <w:t>ii;</w:t>
      </w:r>
    </w:p>
    <w:p>
      <w:pPr>
        <w:pStyle w:val="ListParagraph"/>
        <w:numPr>
          <w:ilvl w:val="0"/>
          <w:numId w:val="16"/>
        </w:numPr>
        <w:tabs>
          <w:tab w:pos="820" w:val="left" w:leader="none"/>
        </w:tabs>
        <w:spacing w:line="240" w:lineRule="auto" w:before="0" w:after="0"/>
        <w:ind w:left="680" w:right="1830" w:firstLine="0"/>
        <w:jc w:val="both"/>
        <w:rPr>
          <w:sz w:val="24"/>
        </w:rPr>
      </w:pPr>
      <w:r>
        <w:rPr>
          <w:sz w:val="24"/>
        </w:rPr>
        <w:t>solicitarea eviden</w:t>
      </w:r>
      <w:r>
        <w:rPr>
          <w:rFonts w:ascii="Tahoma" w:hAnsi="Tahoma"/>
          <w:sz w:val="24"/>
        </w:rPr>
        <w:t>ț</w:t>
      </w:r>
      <w:r>
        <w:rPr>
          <w:sz w:val="24"/>
        </w:rPr>
        <w:t>ei nominale a beneficiarilor pe baza de cod numeric personal de la nivelul unită</w:t>
      </w:r>
      <w:r>
        <w:rPr>
          <w:rFonts w:ascii="Tahoma" w:hAnsi="Tahoma"/>
          <w:sz w:val="24"/>
        </w:rPr>
        <w:t>ț</w:t>
      </w:r>
      <w:r>
        <w:rPr>
          <w:sz w:val="24"/>
        </w:rPr>
        <w:t>ii sanitare, cu respectarea prevederilor legale în</w:t>
      </w:r>
      <w:r>
        <w:rPr>
          <w:spacing w:val="-1"/>
          <w:sz w:val="24"/>
        </w:rPr>
        <w:t> </w:t>
      </w:r>
      <w:r>
        <w:rPr>
          <w:sz w:val="24"/>
        </w:rPr>
        <w:t>vigoare;</w:t>
      </w:r>
    </w:p>
    <w:p>
      <w:pPr>
        <w:pStyle w:val="ListParagraph"/>
        <w:numPr>
          <w:ilvl w:val="0"/>
          <w:numId w:val="16"/>
        </w:numPr>
        <w:tabs>
          <w:tab w:pos="873" w:val="left" w:leader="none"/>
        </w:tabs>
        <w:spacing w:line="240" w:lineRule="auto" w:before="0" w:after="0"/>
        <w:ind w:left="680" w:right="1135" w:firstLine="0"/>
        <w:jc w:val="both"/>
        <w:rPr>
          <w:sz w:val="24"/>
        </w:rPr>
      </w:pPr>
      <w:r>
        <w:rPr>
          <w:sz w:val="24"/>
        </w:rPr>
        <w:t>centralizarea, lunar, a cererilor de finanţare conform legisla</w:t>
      </w:r>
      <w:r>
        <w:rPr>
          <w:rFonts w:ascii="Tahoma" w:hAnsi="Tahoma"/>
          <w:sz w:val="24"/>
        </w:rPr>
        <w:t>ț</w:t>
      </w:r>
      <w:r>
        <w:rPr>
          <w:sz w:val="24"/>
        </w:rPr>
        <w:t>iei in vigoare, in concordanţă cu sursele de finanţare,titlul de cheltuieli, prevederea bugetară, finanţarea primită şi trimestrializarea sumelor</w:t>
      </w:r>
      <w:r>
        <w:rPr>
          <w:spacing w:val="46"/>
          <w:sz w:val="24"/>
        </w:rPr>
        <w:t> </w:t>
      </w:r>
      <w:r>
        <w:rPr>
          <w:sz w:val="24"/>
        </w:rPr>
        <w:t>si</w:t>
      </w:r>
      <w:r>
        <w:rPr>
          <w:spacing w:val="48"/>
          <w:sz w:val="24"/>
        </w:rPr>
        <w:t> </w:t>
      </w:r>
      <w:r>
        <w:rPr>
          <w:sz w:val="24"/>
        </w:rPr>
        <w:t>transmiterea</w:t>
      </w:r>
      <w:r>
        <w:rPr>
          <w:spacing w:val="49"/>
          <w:sz w:val="24"/>
        </w:rPr>
        <w:t> </w:t>
      </w:r>
      <w:r>
        <w:rPr>
          <w:sz w:val="24"/>
        </w:rPr>
        <w:t>acestora</w:t>
      </w:r>
      <w:r>
        <w:rPr>
          <w:spacing w:val="47"/>
          <w:sz w:val="24"/>
        </w:rPr>
        <w:t> </w:t>
      </w:r>
      <w:r>
        <w:rPr>
          <w:sz w:val="24"/>
        </w:rPr>
        <w:t>(însoţite</w:t>
      </w:r>
      <w:r>
        <w:rPr>
          <w:spacing w:val="46"/>
          <w:sz w:val="24"/>
        </w:rPr>
        <w:t> </w:t>
      </w:r>
      <w:r>
        <w:rPr>
          <w:sz w:val="24"/>
        </w:rPr>
        <w:t>de</w:t>
      </w:r>
      <w:r>
        <w:rPr>
          <w:spacing w:val="48"/>
          <w:sz w:val="24"/>
        </w:rPr>
        <w:t> </w:t>
      </w:r>
      <w:r>
        <w:rPr>
          <w:sz w:val="24"/>
        </w:rPr>
        <w:t>documentele</w:t>
      </w:r>
      <w:r>
        <w:rPr>
          <w:spacing w:val="46"/>
          <w:sz w:val="24"/>
        </w:rPr>
        <w:t> </w:t>
      </w:r>
      <w:r>
        <w:rPr>
          <w:sz w:val="24"/>
        </w:rPr>
        <w:t>justificative</w:t>
      </w:r>
      <w:r>
        <w:rPr>
          <w:spacing w:val="50"/>
          <w:sz w:val="24"/>
        </w:rPr>
        <w:t> </w:t>
      </w:r>
      <w:r>
        <w:rPr>
          <w:sz w:val="24"/>
        </w:rPr>
        <w:t>prevazute</w:t>
      </w:r>
      <w:r>
        <w:rPr>
          <w:spacing w:val="47"/>
          <w:sz w:val="24"/>
        </w:rPr>
        <w:t> </w:t>
      </w:r>
      <w:r>
        <w:rPr>
          <w:sz w:val="24"/>
        </w:rPr>
        <w:t>de</w:t>
      </w:r>
      <w:r>
        <w:rPr>
          <w:spacing w:val="47"/>
          <w:sz w:val="24"/>
        </w:rPr>
        <w:t> </w:t>
      </w:r>
      <w:r>
        <w:rPr>
          <w:sz w:val="24"/>
        </w:rPr>
        <w:t>legislaţia</w:t>
      </w:r>
      <w:r>
        <w:rPr>
          <w:spacing w:val="46"/>
          <w:sz w:val="24"/>
        </w:rPr>
        <w:t> </w:t>
      </w:r>
      <w:r>
        <w:rPr>
          <w:sz w:val="24"/>
        </w:rPr>
        <w:t>în</w:t>
      </w:r>
    </w:p>
    <w:p>
      <w:pPr>
        <w:spacing w:after="0" w:line="240" w:lineRule="auto"/>
        <w:jc w:val="both"/>
        <w:rPr>
          <w:sz w:val="24"/>
        </w:rPr>
        <w:sectPr>
          <w:pgSz w:w="11910" w:h="16840"/>
          <w:pgMar w:header="0" w:footer="658" w:top="1360" w:bottom="920" w:left="400" w:right="0"/>
        </w:sectPr>
      </w:pPr>
    </w:p>
    <w:p>
      <w:pPr>
        <w:pStyle w:val="BodyText"/>
        <w:spacing w:before="60"/>
        <w:jc w:val="both"/>
      </w:pPr>
      <w:r>
        <w:rPr/>
        <w:t>vigoare) către Serviciul Medicină de Urgenţă din cadrul Ministerului Sănătaţii, în format electronic</w:t>
      </w:r>
    </w:p>
    <w:p>
      <w:pPr>
        <w:pStyle w:val="BodyText"/>
        <w:spacing w:line="291" w:lineRule="exact" w:before="2"/>
        <w:jc w:val="both"/>
      </w:pPr>
      <w:r>
        <w:rPr>
          <w:rFonts w:ascii="Tahoma" w:hAnsi="Tahoma"/>
        </w:rPr>
        <w:t>ș</w:t>
      </w:r>
      <w:r>
        <w:rPr/>
        <w:t>i pe suport hârtie prin curier, spre avizare ;</w:t>
      </w:r>
    </w:p>
    <w:p>
      <w:pPr>
        <w:pStyle w:val="ListParagraph"/>
        <w:numPr>
          <w:ilvl w:val="0"/>
          <w:numId w:val="16"/>
        </w:numPr>
        <w:tabs>
          <w:tab w:pos="825" w:val="left" w:leader="none"/>
        </w:tabs>
        <w:spacing w:line="240" w:lineRule="auto" w:before="0" w:after="0"/>
        <w:ind w:left="680" w:right="1133" w:firstLine="0"/>
        <w:jc w:val="both"/>
        <w:rPr>
          <w:sz w:val="24"/>
        </w:rPr>
      </w:pPr>
      <w:r>
        <w:rPr>
          <w:sz w:val="24"/>
        </w:rPr>
        <w:t>întocmirea adreselor cu repartiţia finanţării aprobate de Ministerul Sănătă</w:t>
      </w:r>
      <w:r>
        <w:rPr>
          <w:rFonts w:ascii="Tahoma" w:hAnsi="Tahoma"/>
          <w:sz w:val="24"/>
        </w:rPr>
        <w:t>ț</w:t>
      </w:r>
      <w:r>
        <w:rPr>
          <w:sz w:val="24"/>
        </w:rPr>
        <w:t>ii–Serviciul Medicină de Urgen</w:t>
      </w:r>
      <w:r>
        <w:rPr>
          <w:rFonts w:ascii="Tahoma" w:hAnsi="Tahoma"/>
          <w:sz w:val="24"/>
        </w:rPr>
        <w:t>ț</w:t>
      </w:r>
      <w:r>
        <w:rPr>
          <w:sz w:val="24"/>
        </w:rPr>
        <w:t>ă în urma solicitărilor lunare şi transmiterea către unităţile</w:t>
      </w:r>
      <w:r>
        <w:rPr>
          <w:spacing w:val="-8"/>
          <w:sz w:val="24"/>
        </w:rPr>
        <w:t> </w:t>
      </w:r>
      <w:r>
        <w:rPr>
          <w:sz w:val="24"/>
        </w:rPr>
        <w:t>sanitare</w:t>
      </w:r>
    </w:p>
    <w:p>
      <w:pPr>
        <w:pStyle w:val="ListParagraph"/>
        <w:numPr>
          <w:ilvl w:val="0"/>
          <w:numId w:val="16"/>
        </w:numPr>
        <w:tabs>
          <w:tab w:pos="880" w:val="left" w:leader="none"/>
        </w:tabs>
        <w:spacing w:line="240" w:lineRule="auto" w:before="0" w:after="0"/>
        <w:ind w:left="680" w:right="1137" w:firstLine="0"/>
        <w:jc w:val="both"/>
        <w:rPr>
          <w:sz w:val="24"/>
        </w:rPr>
      </w:pPr>
      <w:r>
        <w:rPr>
          <w:sz w:val="24"/>
        </w:rPr>
        <w:t>solicitrea, trimestrial /anual, a execuţiilor bugetare si indicatorilor, de la unităţile sanitare, centralizarea si transmiterea către Ministerul Sănătă</w:t>
      </w:r>
      <w:r>
        <w:rPr>
          <w:rFonts w:ascii="Tahoma" w:hAnsi="Tahoma"/>
          <w:sz w:val="24"/>
        </w:rPr>
        <w:t>ț</w:t>
      </w:r>
      <w:r>
        <w:rPr>
          <w:sz w:val="24"/>
        </w:rPr>
        <w:t>ii– Serviciul Medicină de</w:t>
      </w:r>
      <w:r>
        <w:rPr>
          <w:spacing w:val="-9"/>
          <w:sz w:val="24"/>
        </w:rPr>
        <w:t> </w:t>
      </w:r>
      <w:r>
        <w:rPr>
          <w:sz w:val="24"/>
        </w:rPr>
        <w:t>Urgenţă</w:t>
      </w:r>
    </w:p>
    <w:p>
      <w:pPr>
        <w:pStyle w:val="ListParagraph"/>
        <w:numPr>
          <w:ilvl w:val="0"/>
          <w:numId w:val="16"/>
        </w:numPr>
        <w:tabs>
          <w:tab w:pos="878" w:val="left" w:leader="none"/>
        </w:tabs>
        <w:spacing w:line="240" w:lineRule="auto" w:before="0" w:after="0"/>
        <w:ind w:left="680" w:right="1139" w:firstLine="0"/>
        <w:jc w:val="both"/>
        <w:rPr>
          <w:sz w:val="24"/>
        </w:rPr>
      </w:pPr>
      <w:r>
        <w:rPr>
          <w:sz w:val="24"/>
        </w:rPr>
        <w:t>centralizarea rapoartelor de activitate trimestriale/ anuale întocmite de coordonatorii locali ai Ac</w:t>
      </w:r>
      <w:r>
        <w:rPr>
          <w:rFonts w:ascii="Tahoma" w:hAnsi="Tahoma"/>
          <w:sz w:val="24"/>
        </w:rPr>
        <w:t>ț</w:t>
      </w:r>
      <w:r>
        <w:rPr>
          <w:sz w:val="24"/>
        </w:rPr>
        <w:t>iunilor Prioritare si transmiterea către Ministerul Sănătă</w:t>
      </w:r>
      <w:r>
        <w:rPr>
          <w:rFonts w:ascii="Tahoma" w:hAnsi="Tahoma"/>
          <w:sz w:val="24"/>
        </w:rPr>
        <w:t>ț</w:t>
      </w:r>
      <w:r>
        <w:rPr>
          <w:sz w:val="24"/>
        </w:rPr>
        <w:t>ii– Serviciul Medicină de</w:t>
      </w:r>
      <w:r>
        <w:rPr>
          <w:spacing w:val="-17"/>
          <w:sz w:val="24"/>
        </w:rPr>
        <w:t> </w:t>
      </w:r>
      <w:r>
        <w:rPr>
          <w:sz w:val="24"/>
        </w:rPr>
        <w:t>Urgenţă</w:t>
      </w:r>
    </w:p>
    <w:p>
      <w:pPr>
        <w:pStyle w:val="ListParagraph"/>
        <w:numPr>
          <w:ilvl w:val="0"/>
          <w:numId w:val="16"/>
        </w:numPr>
        <w:tabs>
          <w:tab w:pos="887" w:val="left" w:leader="none"/>
        </w:tabs>
        <w:spacing w:line="240" w:lineRule="auto" w:before="0" w:after="0"/>
        <w:ind w:left="680" w:right="1134" w:firstLine="0"/>
        <w:jc w:val="both"/>
        <w:rPr>
          <w:sz w:val="24"/>
        </w:rPr>
      </w:pPr>
      <w:r>
        <w:rPr>
          <w:sz w:val="24"/>
        </w:rPr>
        <w:t>întocmirea adreselor către Ministerul Sănătă</w:t>
      </w:r>
      <w:r>
        <w:rPr>
          <w:rFonts w:ascii="Tahoma" w:hAnsi="Tahoma"/>
          <w:sz w:val="24"/>
        </w:rPr>
        <w:t>ț</w:t>
      </w:r>
      <w:r>
        <w:rPr>
          <w:sz w:val="24"/>
        </w:rPr>
        <w:t>ii, respectiv Serviciul Medicină de Urgenţă, cu eventualele solicitări de suplimentare/diminuare a prevederii bugetare, venite de la unită</w:t>
      </w:r>
      <w:r>
        <w:rPr>
          <w:rFonts w:ascii="Tahoma" w:hAnsi="Tahoma"/>
          <w:sz w:val="24"/>
        </w:rPr>
        <w:t>ț</w:t>
      </w:r>
      <w:r>
        <w:rPr>
          <w:sz w:val="24"/>
        </w:rPr>
        <w:t>ile medicale care derulează Ac</w:t>
      </w:r>
      <w:r>
        <w:rPr>
          <w:rFonts w:ascii="Tahoma" w:hAnsi="Tahoma"/>
          <w:sz w:val="24"/>
        </w:rPr>
        <w:t>ț</w:t>
      </w:r>
      <w:r>
        <w:rPr>
          <w:sz w:val="24"/>
        </w:rPr>
        <w:t>iunile Prioritare şi le transmite către Ministerul Sănătă</w:t>
      </w:r>
      <w:r>
        <w:rPr>
          <w:rFonts w:ascii="Tahoma" w:hAnsi="Tahoma"/>
          <w:sz w:val="24"/>
        </w:rPr>
        <w:t>ț</w:t>
      </w:r>
      <w:r>
        <w:rPr>
          <w:sz w:val="24"/>
        </w:rPr>
        <w:t>ii- Serviciul Medicină de</w:t>
      </w:r>
      <w:r>
        <w:rPr>
          <w:spacing w:val="-3"/>
          <w:sz w:val="24"/>
        </w:rPr>
        <w:t> </w:t>
      </w:r>
      <w:r>
        <w:rPr>
          <w:sz w:val="24"/>
        </w:rPr>
        <w:t>Urgenţă;</w:t>
      </w:r>
    </w:p>
    <w:p>
      <w:pPr>
        <w:pStyle w:val="Heading1"/>
        <w:ind w:left="680" w:right="1135" w:firstLine="60"/>
        <w:jc w:val="both"/>
        <w:rPr>
          <w:u w:val="none"/>
        </w:rPr>
      </w:pPr>
      <w:r>
        <w:rPr>
          <w:u w:val="none"/>
        </w:rPr>
        <w:t>Activită</w:t>
      </w:r>
      <w:r>
        <w:rPr>
          <w:rFonts w:ascii="Tahoma" w:hAnsi="Tahoma"/>
          <w:u w:val="none"/>
        </w:rPr>
        <w:t>ț</w:t>
      </w:r>
      <w:r>
        <w:rPr>
          <w:u w:val="none"/>
        </w:rPr>
        <w:t>i privind tratamentul Conform Ordinului Ministrului sănătă</w:t>
      </w:r>
      <w:r>
        <w:rPr>
          <w:rFonts w:ascii="Tahoma" w:hAnsi="Tahoma"/>
          <w:u w:val="none"/>
        </w:rPr>
        <w:t>ț</w:t>
      </w:r>
      <w:r>
        <w:rPr>
          <w:u w:val="none"/>
        </w:rPr>
        <w:t>ii nr. 50/2004 cu modificările si completările ulterioare (OMS 697/2005, OMS 1352/2009,OMS 1066/2010, OMS 1011/2011, OMS 926/2014)</w:t>
      </w:r>
    </w:p>
    <w:p>
      <w:pPr>
        <w:pStyle w:val="ListParagraph"/>
        <w:numPr>
          <w:ilvl w:val="0"/>
          <w:numId w:val="16"/>
        </w:numPr>
        <w:tabs>
          <w:tab w:pos="895" w:val="left" w:leader="none"/>
        </w:tabs>
        <w:spacing w:line="240" w:lineRule="auto" w:before="0" w:after="0"/>
        <w:ind w:left="680" w:right="1133" w:firstLine="0"/>
        <w:jc w:val="both"/>
        <w:rPr>
          <w:sz w:val="24"/>
        </w:rPr>
      </w:pPr>
      <w:r>
        <w:rPr>
          <w:sz w:val="24"/>
        </w:rPr>
        <w:t>verificarea documentaţiei medicale solicitate/ actelor necesare depunerii pentru tratament in străinătate pentru 10 pacienti care au solicitat tratament in străinatate, întocmirea dosarelor si înregistrarea</w:t>
      </w:r>
      <w:r>
        <w:rPr>
          <w:spacing w:val="-2"/>
          <w:sz w:val="24"/>
        </w:rPr>
        <w:t> </w:t>
      </w:r>
      <w:r>
        <w:rPr>
          <w:sz w:val="24"/>
        </w:rPr>
        <w:t>acestora;</w:t>
      </w:r>
    </w:p>
    <w:p>
      <w:pPr>
        <w:pStyle w:val="ListParagraph"/>
        <w:numPr>
          <w:ilvl w:val="0"/>
          <w:numId w:val="16"/>
        </w:numPr>
        <w:tabs>
          <w:tab w:pos="880" w:val="left" w:leader="none"/>
        </w:tabs>
        <w:spacing w:line="240" w:lineRule="auto" w:before="0" w:after="0"/>
        <w:ind w:left="680" w:right="1143" w:firstLine="0"/>
        <w:jc w:val="both"/>
        <w:rPr>
          <w:sz w:val="24"/>
        </w:rPr>
      </w:pPr>
      <w:r>
        <w:rPr>
          <w:sz w:val="24"/>
        </w:rPr>
        <w:t>întocmirea adreselor către comisiile de specialitate teritoriale si către pacient si transmiterea acestora împreună cu documentaţia medicală a bolnavilor si procesul verbal ( anexa 3 din OMS 1011/2011), la comisiile de specialitate</w:t>
      </w:r>
      <w:r>
        <w:rPr>
          <w:spacing w:val="-4"/>
          <w:sz w:val="24"/>
        </w:rPr>
        <w:t> </w:t>
      </w:r>
      <w:r>
        <w:rPr>
          <w:sz w:val="24"/>
        </w:rPr>
        <w:t>teritoriale.</w:t>
      </w:r>
    </w:p>
    <w:p>
      <w:pPr>
        <w:pStyle w:val="ListParagraph"/>
        <w:numPr>
          <w:ilvl w:val="0"/>
          <w:numId w:val="16"/>
        </w:numPr>
        <w:tabs>
          <w:tab w:pos="875" w:val="left" w:leader="none"/>
        </w:tabs>
        <w:spacing w:line="240" w:lineRule="auto" w:before="0" w:after="0"/>
        <w:ind w:left="680" w:right="1142" w:firstLine="0"/>
        <w:jc w:val="both"/>
        <w:rPr>
          <w:sz w:val="24"/>
        </w:rPr>
      </w:pPr>
      <w:r>
        <w:rPr>
          <w:sz w:val="24"/>
        </w:rPr>
        <w:t>înregistrarea proceselor verbale primite de la comisiile de specialitate teritoriale, conexat la numărul de dosar al pacientului.</w:t>
      </w:r>
    </w:p>
    <w:p>
      <w:pPr>
        <w:pStyle w:val="ListParagraph"/>
        <w:numPr>
          <w:ilvl w:val="0"/>
          <w:numId w:val="16"/>
        </w:numPr>
        <w:tabs>
          <w:tab w:pos="945" w:val="left" w:leader="none"/>
        </w:tabs>
        <w:spacing w:line="240" w:lineRule="auto" w:before="0" w:after="0"/>
        <w:ind w:left="680" w:right="1139" w:firstLine="60"/>
        <w:jc w:val="both"/>
        <w:rPr>
          <w:sz w:val="24"/>
        </w:rPr>
      </w:pPr>
      <w:r>
        <w:rPr>
          <w:sz w:val="24"/>
        </w:rPr>
        <w:t>efectuarea corespondenţei cu clinicile recomandate de comisia de specialitate teritorială în procesul verbal, în vederea obţinerii documentelor privind programarea pacientului, costul şi condiţiile de plată a tratamentului precum şi numărul de cont al</w:t>
      </w:r>
      <w:r>
        <w:rPr>
          <w:spacing w:val="-6"/>
          <w:sz w:val="24"/>
        </w:rPr>
        <w:t> </w:t>
      </w:r>
      <w:r>
        <w:rPr>
          <w:sz w:val="24"/>
        </w:rPr>
        <w:t>clinicii</w:t>
      </w:r>
    </w:p>
    <w:p>
      <w:pPr>
        <w:pStyle w:val="ListParagraph"/>
        <w:numPr>
          <w:ilvl w:val="0"/>
          <w:numId w:val="16"/>
        </w:numPr>
        <w:tabs>
          <w:tab w:pos="928" w:val="left" w:leader="none"/>
        </w:tabs>
        <w:spacing w:line="240" w:lineRule="auto" w:before="2" w:after="0"/>
        <w:ind w:left="680" w:right="1136" w:firstLine="60"/>
        <w:jc w:val="both"/>
        <w:rPr>
          <w:sz w:val="24"/>
        </w:rPr>
      </w:pPr>
      <w:r>
        <w:rPr>
          <w:sz w:val="24"/>
        </w:rPr>
        <w:t>semnarea angajamentelor prin care pacientul î</w:t>
      </w:r>
      <w:r>
        <w:rPr>
          <w:rFonts w:ascii="Tahoma" w:hAnsi="Tahoma"/>
          <w:sz w:val="24"/>
        </w:rPr>
        <w:t>ș</w:t>
      </w:r>
      <w:r>
        <w:rPr>
          <w:sz w:val="24"/>
        </w:rPr>
        <w:t>i exprimă acordul ca DSPMB să efectueze coresponden</w:t>
      </w:r>
      <w:r>
        <w:rPr>
          <w:rFonts w:ascii="Tahoma" w:hAnsi="Tahoma"/>
          <w:sz w:val="24"/>
        </w:rPr>
        <w:t>ț</w:t>
      </w:r>
      <w:r>
        <w:rPr>
          <w:sz w:val="24"/>
        </w:rPr>
        <w:t>a cu clinicile.</w:t>
      </w:r>
    </w:p>
    <w:p>
      <w:pPr>
        <w:pStyle w:val="ListParagraph"/>
        <w:numPr>
          <w:ilvl w:val="0"/>
          <w:numId w:val="16"/>
        </w:numPr>
        <w:tabs>
          <w:tab w:pos="820" w:val="left" w:leader="none"/>
        </w:tabs>
        <w:spacing w:line="274" w:lineRule="exact" w:before="0" w:after="0"/>
        <w:ind w:left="819" w:right="0" w:hanging="140"/>
        <w:jc w:val="both"/>
        <w:rPr>
          <w:sz w:val="24"/>
        </w:rPr>
      </w:pPr>
      <w:r>
        <w:rPr>
          <w:sz w:val="24"/>
        </w:rPr>
        <w:t>întocmirea adreselor catre firma de</w:t>
      </w:r>
      <w:r>
        <w:rPr>
          <w:spacing w:val="-2"/>
          <w:sz w:val="24"/>
        </w:rPr>
        <w:t> </w:t>
      </w:r>
      <w:r>
        <w:rPr>
          <w:sz w:val="24"/>
        </w:rPr>
        <w:t>transport</w:t>
      </w:r>
    </w:p>
    <w:p>
      <w:pPr>
        <w:pStyle w:val="ListParagraph"/>
        <w:numPr>
          <w:ilvl w:val="0"/>
          <w:numId w:val="16"/>
        </w:numPr>
        <w:tabs>
          <w:tab w:pos="837" w:val="left" w:leader="none"/>
        </w:tabs>
        <w:spacing w:line="240" w:lineRule="auto" w:before="0" w:after="0"/>
        <w:ind w:left="680" w:right="1134" w:firstLine="0"/>
        <w:jc w:val="both"/>
        <w:rPr>
          <w:sz w:val="24"/>
        </w:rPr>
      </w:pPr>
      <w:r>
        <w:rPr>
          <w:sz w:val="24"/>
        </w:rPr>
        <w:t>întocmirea adresei tip de înaintare ( anexa 5 din Ord. MS nr.50/2004) şi înaintarea dosarului spre aprobare Ministerului Sanatatii cu răspunsul complet a cel puţin două dintre clinicile recomandate de comisia de specialitate</w:t>
      </w:r>
      <w:r>
        <w:rPr>
          <w:spacing w:val="-5"/>
          <w:sz w:val="24"/>
        </w:rPr>
        <w:t> </w:t>
      </w:r>
      <w:r>
        <w:rPr>
          <w:sz w:val="24"/>
        </w:rPr>
        <w:t>teritorială</w:t>
      </w:r>
    </w:p>
    <w:p>
      <w:pPr>
        <w:pStyle w:val="ListParagraph"/>
        <w:numPr>
          <w:ilvl w:val="0"/>
          <w:numId w:val="16"/>
        </w:numPr>
        <w:tabs>
          <w:tab w:pos="827" w:val="left" w:leader="none"/>
        </w:tabs>
        <w:spacing w:line="240" w:lineRule="auto" w:before="0" w:after="0"/>
        <w:ind w:left="680" w:right="1133" w:firstLine="0"/>
        <w:jc w:val="both"/>
        <w:rPr>
          <w:sz w:val="24"/>
        </w:rPr>
      </w:pPr>
      <w:r>
        <w:rPr>
          <w:sz w:val="24"/>
        </w:rPr>
        <w:t>întocmirea raportării lunare ( în primele 10 zile ale lunii în curs pentru luna anterioară) în vederea publicării pe site-ul instituţiei pentru a asigura transparenţa în procedura de trimitere a unor categorii de bolnavi pentru tratament în</w:t>
      </w:r>
      <w:r>
        <w:rPr>
          <w:spacing w:val="-2"/>
          <w:sz w:val="24"/>
        </w:rPr>
        <w:t> </w:t>
      </w:r>
      <w:r>
        <w:rPr>
          <w:sz w:val="24"/>
        </w:rPr>
        <w:t>străinătate;</w:t>
      </w:r>
    </w:p>
    <w:p>
      <w:pPr>
        <w:pStyle w:val="ListParagraph"/>
        <w:numPr>
          <w:ilvl w:val="0"/>
          <w:numId w:val="16"/>
        </w:numPr>
        <w:tabs>
          <w:tab w:pos="928" w:val="left" w:leader="none"/>
        </w:tabs>
        <w:spacing w:line="240" w:lineRule="auto" w:before="0" w:after="0"/>
        <w:ind w:left="680" w:right="1140" w:firstLine="0"/>
        <w:jc w:val="both"/>
        <w:rPr>
          <w:sz w:val="24"/>
        </w:rPr>
      </w:pPr>
      <w:r>
        <w:rPr>
          <w:sz w:val="24"/>
        </w:rPr>
        <w:t>înştiinţarea bolnavilor al căror dosar nu a fost aprobat sau a fost îndrumat către alte instituţii în vederea soluţionării</w:t>
      </w:r>
      <w:r>
        <w:rPr>
          <w:spacing w:val="-2"/>
          <w:sz w:val="24"/>
        </w:rPr>
        <w:t> </w:t>
      </w:r>
      <w:r>
        <w:rPr>
          <w:sz w:val="24"/>
        </w:rPr>
        <w:t>lor;</w:t>
      </w:r>
    </w:p>
    <w:p>
      <w:pPr>
        <w:pStyle w:val="ListParagraph"/>
        <w:numPr>
          <w:ilvl w:val="0"/>
          <w:numId w:val="16"/>
        </w:numPr>
        <w:tabs>
          <w:tab w:pos="823" w:val="left" w:leader="none"/>
        </w:tabs>
        <w:spacing w:line="240" w:lineRule="auto" w:before="0" w:after="0"/>
        <w:ind w:left="680" w:right="1132" w:firstLine="0"/>
        <w:jc w:val="both"/>
        <w:rPr>
          <w:sz w:val="24"/>
        </w:rPr>
      </w:pPr>
      <w:r>
        <w:rPr>
          <w:sz w:val="24"/>
        </w:rPr>
        <w:t>întocmirea şi transmiterea adreselor către comisiile de specialitate teritoriale pentru bolnavii care s- au întors de la tratament din străinatate în vederea obţinerii unui raport medical în care să se precizeze beneficiile</w:t>
      </w:r>
      <w:r>
        <w:rPr>
          <w:spacing w:val="-2"/>
          <w:sz w:val="24"/>
        </w:rPr>
        <w:t> </w:t>
      </w:r>
      <w:r>
        <w:rPr>
          <w:sz w:val="24"/>
        </w:rPr>
        <w:t>tratamentului</w:t>
      </w:r>
    </w:p>
    <w:p>
      <w:pPr>
        <w:pStyle w:val="ListParagraph"/>
        <w:numPr>
          <w:ilvl w:val="0"/>
          <w:numId w:val="16"/>
        </w:numPr>
        <w:tabs>
          <w:tab w:pos="820" w:val="left" w:leader="none"/>
        </w:tabs>
        <w:spacing w:line="240" w:lineRule="auto" w:before="0" w:after="0"/>
        <w:ind w:left="819" w:right="0" w:hanging="140"/>
        <w:jc w:val="both"/>
        <w:rPr>
          <w:sz w:val="24"/>
        </w:rPr>
      </w:pPr>
      <w:r>
        <w:rPr>
          <w:sz w:val="24"/>
        </w:rPr>
        <w:t>întocmirea adreselor pentru informarea pacientilor privind decizia comisiei Ministerului</w:t>
      </w:r>
      <w:r>
        <w:rPr>
          <w:spacing w:val="-8"/>
          <w:sz w:val="24"/>
        </w:rPr>
        <w:t> </w:t>
      </w:r>
      <w:r>
        <w:rPr>
          <w:sz w:val="24"/>
        </w:rPr>
        <w:t>Sanatatii</w:t>
      </w:r>
    </w:p>
    <w:p>
      <w:pPr>
        <w:pStyle w:val="ListParagraph"/>
        <w:numPr>
          <w:ilvl w:val="0"/>
          <w:numId w:val="16"/>
        </w:numPr>
        <w:tabs>
          <w:tab w:pos="871" w:val="left" w:leader="none"/>
        </w:tabs>
        <w:spacing w:line="240" w:lineRule="auto" w:before="0" w:after="0"/>
        <w:ind w:left="680" w:right="1144" w:firstLine="0"/>
        <w:jc w:val="both"/>
        <w:rPr>
          <w:sz w:val="24"/>
        </w:rPr>
      </w:pPr>
      <w:r>
        <w:rPr>
          <w:sz w:val="24"/>
        </w:rPr>
        <w:t>întocmirea execuţiei bugetare lunare împreună cu Birou Buget Finante din cadrul DSPMB şi transmiterea acesteia către Ministerul Sanatatii,</w:t>
      </w:r>
      <w:r>
        <w:rPr>
          <w:spacing w:val="-2"/>
          <w:sz w:val="24"/>
        </w:rPr>
        <w:t> </w:t>
      </w:r>
      <w:r>
        <w:rPr>
          <w:sz w:val="24"/>
        </w:rPr>
        <w:t>lunar;</w:t>
      </w:r>
    </w:p>
    <w:p>
      <w:pPr>
        <w:pStyle w:val="ListParagraph"/>
        <w:numPr>
          <w:ilvl w:val="0"/>
          <w:numId w:val="16"/>
        </w:numPr>
        <w:tabs>
          <w:tab w:pos="880" w:val="left" w:leader="none"/>
        </w:tabs>
        <w:spacing w:line="240" w:lineRule="auto" w:before="1" w:after="0"/>
        <w:ind w:left="879" w:right="0" w:hanging="140"/>
        <w:jc w:val="both"/>
        <w:rPr>
          <w:sz w:val="24"/>
        </w:rPr>
      </w:pPr>
      <w:r>
        <w:rPr>
          <w:sz w:val="24"/>
        </w:rPr>
        <w:t>întocmirea raportului de activitate , indicatorilor si execu</w:t>
      </w:r>
      <w:r>
        <w:rPr>
          <w:rFonts w:ascii="Tahoma" w:hAnsi="Tahoma"/>
          <w:sz w:val="24"/>
        </w:rPr>
        <w:t>ț</w:t>
      </w:r>
      <w:r>
        <w:rPr>
          <w:sz w:val="24"/>
        </w:rPr>
        <w:t>iei / trim IV/2017 si</w:t>
      </w:r>
      <w:r>
        <w:rPr>
          <w:spacing w:val="-2"/>
          <w:sz w:val="24"/>
        </w:rPr>
        <w:t> </w:t>
      </w:r>
      <w:r>
        <w:rPr>
          <w:sz w:val="24"/>
        </w:rPr>
        <w:t>anual</w:t>
      </w:r>
    </w:p>
    <w:p>
      <w:pPr>
        <w:pStyle w:val="Heading1"/>
        <w:spacing w:line="291" w:lineRule="exact" w:before="1"/>
        <w:ind w:left="680"/>
        <w:jc w:val="both"/>
        <w:rPr>
          <w:u w:val="none"/>
        </w:rPr>
      </w:pPr>
      <w:r>
        <w:rPr>
          <w:u w:val="none"/>
        </w:rPr>
        <w:t>Alte activită</w:t>
      </w:r>
      <w:r>
        <w:rPr>
          <w:rFonts w:ascii="Tahoma" w:hAnsi="Tahoma"/>
          <w:u w:val="none"/>
        </w:rPr>
        <w:t>ț</w:t>
      </w:r>
      <w:r>
        <w:rPr>
          <w:u w:val="none"/>
        </w:rPr>
        <w:t>i :</w:t>
      </w:r>
    </w:p>
    <w:p>
      <w:pPr>
        <w:pStyle w:val="BodyText"/>
        <w:ind w:right="1134"/>
        <w:jc w:val="both"/>
      </w:pPr>
      <w:r>
        <w:rPr>
          <w:b/>
        </w:rPr>
        <w:t>- </w:t>
      </w:r>
      <w:r>
        <w:rPr/>
        <w:t>participare în diferite comisii de specialitate ca si reprezentant al DSP în Consiliile de administra</w:t>
      </w:r>
      <w:r>
        <w:rPr>
          <w:rFonts w:ascii="Tahoma" w:hAnsi="Tahoma"/>
        </w:rPr>
        <w:t>ț</w:t>
      </w:r>
      <w:r>
        <w:rPr/>
        <w:t>ie ale unită</w:t>
      </w:r>
      <w:r>
        <w:rPr>
          <w:rFonts w:ascii="Tahoma" w:hAnsi="Tahoma"/>
        </w:rPr>
        <w:t>ț</w:t>
      </w:r>
      <w:r>
        <w:rPr/>
        <w:t>ilor medicale, Consiliile locale ale primăriilor de sector, precum </w:t>
      </w:r>
      <w:r>
        <w:rPr>
          <w:rFonts w:ascii="Tahoma" w:hAnsi="Tahoma"/>
        </w:rPr>
        <w:t>ș</w:t>
      </w:r>
      <w:r>
        <w:rPr/>
        <w:t>i în Comisii de examen pentru ocuparea posturilor vacante de medici – din unită</w:t>
      </w:r>
      <w:r>
        <w:rPr>
          <w:rFonts w:ascii="Tahoma" w:hAnsi="Tahoma"/>
        </w:rPr>
        <w:t>ț</w:t>
      </w:r>
      <w:r>
        <w:rPr/>
        <w:t>ile medicale (spitale) ;</w:t>
      </w:r>
    </w:p>
    <w:p>
      <w:pPr>
        <w:spacing w:after="0"/>
        <w:jc w:val="both"/>
        <w:sectPr>
          <w:pgSz w:w="11910" w:h="16840"/>
          <w:pgMar w:header="0" w:footer="658" w:top="1360" w:bottom="920" w:left="400" w:right="0"/>
        </w:sectPr>
      </w:pPr>
    </w:p>
    <w:p>
      <w:pPr>
        <w:pStyle w:val="BodyText"/>
        <w:spacing w:before="60"/>
        <w:ind w:right="1140"/>
        <w:jc w:val="both"/>
      </w:pPr>
      <w:r>
        <w:rPr/>
        <w:t>- activitati Ordinului 200/2016 emis de Secretarul General al Guvernului ( SGG) privind modificarea si completarea Ordinului 400/2015 al SGG pentru aprobarea Codului controlului intern/managerial al entită</w:t>
      </w:r>
      <w:r>
        <w:rPr>
          <w:rFonts w:ascii="Tahoma" w:hAnsi="Tahoma"/>
        </w:rPr>
        <w:t>ț</w:t>
      </w:r>
      <w:r>
        <w:rPr/>
        <w:t>ilor</w:t>
      </w:r>
      <w:r>
        <w:rPr>
          <w:spacing w:val="3"/>
        </w:rPr>
        <w:t> </w:t>
      </w:r>
      <w:r>
        <w:rPr/>
        <w:t>publice;</w:t>
      </w:r>
    </w:p>
    <w:p>
      <w:pPr>
        <w:pStyle w:val="BodyText"/>
        <w:ind w:left="0"/>
        <w:rPr>
          <w:sz w:val="28"/>
        </w:rPr>
      </w:pPr>
    </w:p>
    <w:p>
      <w:pPr>
        <w:pStyle w:val="Heading1"/>
        <w:spacing w:before="232"/>
        <w:ind w:left="680"/>
        <w:jc w:val="both"/>
        <w:rPr>
          <w:u w:val="none"/>
        </w:rPr>
      </w:pPr>
      <w:r>
        <w:rPr>
          <w:u w:val="thick"/>
        </w:rPr>
        <w:t>BIROUL BUGET- FINANŢE</w:t>
      </w:r>
    </w:p>
    <w:p>
      <w:pPr>
        <w:pStyle w:val="BodyText"/>
      </w:pPr>
      <w:r>
        <w:rPr>
          <w:u w:val="single"/>
        </w:rPr>
        <w:t>Activitati derulate</w:t>
      </w:r>
      <w:r>
        <w:rPr/>
        <w:t>:</w:t>
      </w:r>
    </w:p>
    <w:p>
      <w:pPr>
        <w:pStyle w:val="BodyText"/>
        <w:ind w:right="1454"/>
      </w:pPr>
      <w:r>
        <w:rPr/>
        <w:t>S-a asigurat verificarea şi centralizarea lunară a cererilor de finanţare şi s-a transmis la termen situaţia centralizată la Ministerul Sănătăţii, în vederea deschiderilor de credite pentru următoarele categorii de cheltuieli:</w:t>
      </w:r>
    </w:p>
    <w:p>
      <w:pPr>
        <w:pStyle w:val="ListParagraph"/>
        <w:numPr>
          <w:ilvl w:val="0"/>
          <w:numId w:val="25"/>
        </w:numPr>
        <w:tabs>
          <w:tab w:pos="820" w:val="left" w:leader="none"/>
        </w:tabs>
        <w:spacing w:line="240" w:lineRule="auto" w:before="0" w:after="0"/>
        <w:ind w:left="819" w:right="0" w:hanging="140"/>
        <w:jc w:val="left"/>
        <w:rPr>
          <w:sz w:val="24"/>
        </w:rPr>
      </w:pPr>
      <w:r>
        <w:rPr>
          <w:sz w:val="24"/>
        </w:rPr>
        <w:t>cheltuielile din activitatea de întretinere şi funcţionare a</w:t>
      </w:r>
      <w:r>
        <w:rPr>
          <w:spacing w:val="-10"/>
          <w:sz w:val="24"/>
        </w:rPr>
        <w:t> </w:t>
      </w:r>
      <w:r>
        <w:rPr>
          <w:sz w:val="24"/>
        </w:rPr>
        <w:t>DSPMB;</w:t>
      </w:r>
    </w:p>
    <w:p>
      <w:pPr>
        <w:pStyle w:val="ListParagraph"/>
        <w:numPr>
          <w:ilvl w:val="0"/>
          <w:numId w:val="25"/>
        </w:numPr>
        <w:tabs>
          <w:tab w:pos="820" w:val="left" w:leader="none"/>
        </w:tabs>
        <w:spacing w:line="240" w:lineRule="auto" w:before="0" w:after="0"/>
        <w:ind w:left="819" w:right="0" w:hanging="140"/>
        <w:jc w:val="left"/>
        <w:rPr>
          <w:sz w:val="24"/>
        </w:rPr>
      </w:pPr>
      <w:r>
        <w:rPr>
          <w:sz w:val="24"/>
        </w:rPr>
        <w:t>cheltuielile de</w:t>
      </w:r>
      <w:r>
        <w:rPr>
          <w:spacing w:val="-3"/>
          <w:sz w:val="24"/>
        </w:rPr>
        <w:t> </w:t>
      </w:r>
      <w:r>
        <w:rPr>
          <w:sz w:val="24"/>
        </w:rPr>
        <w:t>personal;</w:t>
      </w:r>
    </w:p>
    <w:p>
      <w:pPr>
        <w:pStyle w:val="ListParagraph"/>
        <w:numPr>
          <w:ilvl w:val="0"/>
          <w:numId w:val="25"/>
        </w:numPr>
        <w:tabs>
          <w:tab w:pos="820" w:val="left" w:leader="none"/>
        </w:tabs>
        <w:spacing w:line="240" w:lineRule="auto" w:before="0" w:after="0"/>
        <w:ind w:left="819" w:right="0" w:hanging="140"/>
        <w:jc w:val="left"/>
        <w:rPr>
          <w:sz w:val="24"/>
        </w:rPr>
      </w:pPr>
      <w:r>
        <w:rPr>
          <w:sz w:val="24"/>
        </w:rPr>
        <w:t>cheltuielile cu acţiunile sanitare din unităţile sanitare de subordonare</w:t>
      </w:r>
      <w:r>
        <w:rPr>
          <w:spacing w:val="-10"/>
          <w:sz w:val="24"/>
        </w:rPr>
        <w:t> </w:t>
      </w:r>
      <w:r>
        <w:rPr>
          <w:sz w:val="24"/>
        </w:rPr>
        <w:t>locală;</w:t>
      </w:r>
    </w:p>
    <w:p>
      <w:pPr>
        <w:pStyle w:val="ListParagraph"/>
        <w:numPr>
          <w:ilvl w:val="0"/>
          <w:numId w:val="25"/>
        </w:numPr>
        <w:tabs>
          <w:tab w:pos="820" w:val="left" w:leader="none"/>
        </w:tabs>
        <w:spacing w:line="240" w:lineRule="auto" w:before="0" w:after="0"/>
        <w:ind w:left="819" w:right="0" w:hanging="140"/>
        <w:jc w:val="left"/>
        <w:rPr>
          <w:sz w:val="24"/>
        </w:rPr>
      </w:pPr>
      <w:r>
        <w:rPr>
          <w:sz w:val="24"/>
        </w:rPr>
        <w:t>cheltuielile curente ale cabinetelor scolare din unităţile de învăţământ</w:t>
      </w:r>
      <w:r>
        <w:rPr>
          <w:spacing w:val="-3"/>
          <w:sz w:val="24"/>
        </w:rPr>
        <w:t> </w:t>
      </w:r>
      <w:r>
        <w:rPr>
          <w:sz w:val="24"/>
        </w:rPr>
        <w:t>;</w:t>
      </w:r>
    </w:p>
    <w:p>
      <w:pPr>
        <w:pStyle w:val="BodyText"/>
        <w:ind w:right="1421"/>
      </w:pPr>
      <w:r>
        <w:rPr/>
        <w:t>Pentru aceste categorii de cheltuieli s-au centralizat lunar, pe fiecare cheltuială în parte cererile de finanţare primite de la 19 spitale, în total 228 situaţii.</w:t>
      </w:r>
    </w:p>
    <w:p>
      <w:pPr>
        <w:pStyle w:val="BodyText"/>
        <w:spacing w:before="1"/>
        <w:ind w:right="1253"/>
      </w:pPr>
      <w:r>
        <w:rPr/>
        <w:t>S-a asigurat întocmirea şi transmiterea lunara a notelor justificative pentru “Cheltuielile de personal”, “Bunuri şi servicii” şi “Transferuri”, în baza finanţărilor primite, a conturilor de execuţie pentru luna precedentă, cumulat, şi a necesarului de finanţat pentru luna următoare;</w:t>
      </w:r>
    </w:p>
    <w:p>
      <w:pPr>
        <w:pStyle w:val="BodyText"/>
        <w:ind w:right="1861"/>
      </w:pPr>
      <w:r>
        <w:rPr/>
        <w:t>S-a asigurat verificarea, centralizarea şi raportarea lunară a situaţiei privind Monitorizarea cheltuielilor de personal, în aplicaţia informatică on-line administrată de Ministerul Sănătăţii; S-a asigurat activitatea de finanţare, cu respectarea politicilor şi strategiilor din domeniu, a urmatoarelor categorii de cheltuieli:</w:t>
      </w:r>
    </w:p>
    <w:p>
      <w:pPr>
        <w:pStyle w:val="BodyText"/>
        <w:ind w:right="1133"/>
        <w:jc w:val="both"/>
      </w:pPr>
      <w:r>
        <w:rPr/>
        <w:t>- activitatea de finanţare a programelor naţionale de sănănăte, conform angajamentelor bugetare şi legale, propuse de coordonatorii de programme, în concordanţă cu comunicările primite de la Ministerul Sănătăţii/UATM pentru unităţile sanitare cu care DSPMB are contracte încheiate. Pentru derularea acestei activităţi, pe cele două surse de finanţare (buget de stat şi venituri proprii-accize), s-au elaborat următoarele documente : propuneri de angajare de cheltuieli - 270 documente; angajamente bugetare – 270 documente ; ordonanţări de plată – 231 documente ; ordine de plata – 231 documente.</w:t>
      </w:r>
    </w:p>
    <w:p>
      <w:pPr>
        <w:pStyle w:val="BodyText"/>
        <w:ind w:right="1133"/>
        <w:jc w:val="both"/>
      </w:pPr>
      <w:r>
        <w:rPr/>
        <w:t>In cadrul programului naţional de imunizări, pentru punerea în aplicare a politicilor şi strategiilor din domeniu ale Ministerului Sănătăţii, s-au elaborat următoarele documente, pe cele două surse de finanţare (buget de stat şi venituri proprii-accize): propuneri de angajare de cheltuieli – 26 documente ; angajamente bugetare –2411 documente ; ordonanţări de plată – 1106 documente ; ordine de plata – 1106</w:t>
      </w:r>
      <w:r>
        <w:rPr>
          <w:spacing w:val="-4"/>
        </w:rPr>
        <w:t> </w:t>
      </w:r>
      <w:r>
        <w:rPr/>
        <w:t>documente.</w:t>
      </w:r>
    </w:p>
    <w:p>
      <w:pPr>
        <w:pStyle w:val="BodyText"/>
        <w:ind w:right="1135"/>
        <w:jc w:val="both"/>
      </w:pPr>
      <w:r>
        <w:rPr/>
        <w:t>De asemenea, la nivelul acestei structuri funcţionale, s-au încărcat în aplicaţia informatică un număr de 2212 facturi emise de către medicii de familie pentru finanţarea serviciilor de imunizări.</w:t>
      </w:r>
    </w:p>
    <w:p>
      <w:pPr>
        <w:pStyle w:val="BodyText"/>
        <w:ind w:right="1133"/>
        <w:jc w:val="both"/>
      </w:pPr>
      <w:r>
        <w:rPr/>
        <w:t>Pentru activitatea de finanţare a acţiunilor prioritare, conform angajamentelor bugetare şi legale, propuse de coordonatorii acţiunilor prioritare, în concordanţă cu comunicările primite de la Ministerul Sănătăţii, pentru unităţile sanitare cu care DSPMB are contracte încheiate s-au elaborat următoarele documente : propuneri de angajare de cheltuieli -32 documente ; angajamente bugetare</w:t>
      </w:r>
    </w:p>
    <w:p>
      <w:pPr>
        <w:pStyle w:val="ListParagraph"/>
        <w:numPr>
          <w:ilvl w:val="0"/>
          <w:numId w:val="18"/>
        </w:numPr>
        <w:tabs>
          <w:tab w:pos="861" w:val="left" w:leader="none"/>
        </w:tabs>
        <w:spacing w:line="240" w:lineRule="auto" w:before="0" w:after="0"/>
        <w:ind w:left="860" w:right="0" w:hanging="181"/>
        <w:jc w:val="both"/>
        <w:rPr>
          <w:sz w:val="24"/>
        </w:rPr>
      </w:pPr>
      <w:r>
        <w:rPr>
          <w:sz w:val="24"/>
        </w:rPr>
        <w:t>32 documente ; ordonanţări de plată – 105 documente ; ordine de plată –91</w:t>
      </w:r>
      <w:r>
        <w:rPr>
          <w:spacing w:val="-8"/>
          <w:sz w:val="24"/>
        </w:rPr>
        <w:t> </w:t>
      </w:r>
      <w:r>
        <w:rPr>
          <w:sz w:val="24"/>
        </w:rPr>
        <w:t>documente.</w:t>
      </w:r>
    </w:p>
    <w:p>
      <w:pPr>
        <w:pStyle w:val="BodyText"/>
        <w:ind w:right="1133"/>
        <w:jc w:val="both"/>
      </w:pPr>
      <w:r>
        <w:rPr/>
        <w:t>In activitatea de finanţare a cheltuielilor de capital, din Tansferuri de capital, către unităţile sanitare de subordonare locală, pe cele două surse de finanţare (buget de stat şi venituri proprii-accize) , s-au emis : propuneri de angajare de cheltuieli -1 documente ; angajamente bugetare– 1 documente ; ordonanţări de plată – 1 documente ; ordine de plată -1documente.</w:t>
      </w:r>
    </w:p>
    <w:p>
      <w:pPr>
        <w:pStyle w:val="BodyText"/>
        <w:ind w:right="1133"/>
        <w:jc w:val="both"/>
      </w:pPr>
      <w:r>
        <w:rPr/>
        <w:t>Pentru activitatea de finanţare a asistenţei medicale comunitare s-au întocmit 22 de propuneri de angajare de cheltuieli, 22 angajamente bugetare, 41 ordonanţări de plată şi au fost generate corespunzator 41 de ordine de plată.</w:t>
      </w:r>
    </w:p>
    <w:p>
      <w:pPr>
        <w:spacing w:after="0"/>
        <w:jc w:val="both"/>
        <w:sectPr>
          <w:pgSz w:w="11910" w:h="16840"/>
          <w:pgMar w:header="0" w:footer="658" w:top="1360" w:bottom="920" w:left="400" w:right="0"/>
        </w:sectPr>
      </w:pPr>
    </w:p>
    <w:p>
      <w:pPr>
        <w:pStyle w:val="BodyText"/>
        <w:spacing w:before="60"/>
        <w:ind w:right="1213"/>
      </w:pPr>
      <w:r>
        <w:rPr/>
        <w:t>Activitatea de finanţare a asistenţei medico-sociale s-au intocmit 4 propuneri de angajare de cheltuieli, 4 angajamente bugetare, 13 ordonanţări de plată şi au fost generate 13 de ordine de plată. Pentru finanţarea cheltuielilor curente ale cabinetelor scolare din unitatile de invatament s-au intocmit 3 propuneri de angajare de cheltuieli, 3 angajamente bugetare, 13 ordonanţări de plată  şi  au fost generate 13 de ordine de</w:t>
      </w:r>
      <w:r>
        <w:rPr>
          <w:spacing w:val="-5"/>
        </w:rPr>
        <w:t> </w:t>
      </w:r>
      <w:r>
        <w:rPr/>
        <w:t>plată.</w:t>
      </w:r>
    </w:p>
    <w:p>
      <w:pPr>
        <w:pStyle w:val="BodyText"/>
        <w:spacing w:before="1"/>
        <w:ind w:right="1136"/>
        <w:jc w:val="both"/>
      </w:pPr>
      <w:r>
        <w:rPr/>
        <w:t>Finantarea/decontarea cheltuielilor aferente activitatii de trimitere la tratament medical în străinătate a pacienţilor, s-a realizat pentru 40 dosare medicale, in vederea decontarii serviciilor medicalestrăinătate, unii dintre aceştia necesitând mai multe aprobări, astfel încât s-au emis 39 dispoziţii de aprobare la nivelul DSPMB, în baza cărora s-au făcut plăţi externe, la clinicile din afara ţării.</w:t>
      </w:r>
    </w:p>
    <w:p>
      <w:pPr>
        <w:pStyle w:val="BodyText"/>
        <w:ind w:right="1131"/>
        <w:jc w:val="both"/>
      </w:pPr>
      <w:r>
        <w:rPr/>
        <w:t>Pentru  finanţarea  cheltuielilor  de  personal  aferente  acestor  categorii  de  persoane  s-au   întocmit următoarele:Propuneri de angajare de cheltuieli -69 documente ;Angajamente bugetare – 69 documente ; Ordonanţări de plată – 187 documente ; Ordine de plată- 187</w:t>
      </w:r>
      <w:r>
        <w:rPr>
          <w:spacing w:val="-7"/>
        </w:rPr>
        <w:t> </w:t>
      </w:r>
      <w:r>
        <w:rPr/>
        <w:t>documente.</w:t>
      </w:r>
    </w:p>
    <w:p>
      <w:pPr>
        <w:pStyle w:val="BodyText"/>
        <w:spacing w:before="1"/>
        <w:ind w:right="1132"/>
        <w:jc w:val="both"/>
      </w:pPr>
      <w:r>
        <w:rPr/>
        <w:t>Pentru finanţarea cheltuielilor necesare cu întreţinerea şi funcţionarea cabinetelor de profil din unităţile sanitare de subordonare locală s-au elaborat următoarele documente ; Propuneri de angajare de cheltuieli - 20 documente ; Angajamente bugetare – 20 documente ; Ordonanţări de plată – 48 documente ; Ordine de plată- 48 documente.</w:t>
      </w:r>
    </w:p>
    <w:p>
      <w:pPr>
        <w:pStyle w:val="BodyText"/>
        <w:ind w:right="1134"/>
        <w:jc w:val="both"/>
      </w:pPr>
      <w:r>
        <w:rPr/>
        <w:t>Pentru plata burse rezidenţi care îşi desfasoară activitatea la unităţile sanitare de subordonare locală s-au elaborat urmatoarele documente : Propuneri de angajare de cheltuieli -29 documente ; Angajamente bugetare – 29 documente ; Ordonanţări de plată – 134 documente ; Ordine de plată- 134 documente.</w:t>
      </w:r>
    </w:p>
    <w:p>
      <w:pPr>
        <w:pStyle w:val="BodyText"/>
        <w:ind w:right="1135"/>
        <w:jc w:val="both"/>
      </w:pPr>
      <w:r>
        <w:rPr/>
        <w:t>S-au întocmit Cererile de deschidere de credite - sursa E, s-au prezentat la conducere pentru avizarea şi s-au transmis la Ministerul Sănătăţii pentru aprobare .</w:t>
      </w:r>
    </w:p>
    <w:p>
      <w:pPr>
        <w:pStyle w:val="BodyText"/>
        <w:ind w:right="1133"/>
        <w:jc w:val="both"/>
      </w:pPr>
      <w:r>
        <w:rPr/>
        <w:t>S-a asigurat evidenţa la zi a finanţărilor primite de la Ministerul Sănătăţii, pe bază de extras, pe  surse de finanţare şi categorii de cheltuieli</w:t>
      </w:r>
      <w:r>
        <w:rPr>
          <w:spacing w:val="-3"/>
        </w:rPr>
        <w:t> </w:t>
      </w:r>
      <w:r>
        <w:rPr/>
        <w:t>;</w:t>
      </w:r>
    </w:p>
    <w:p>
      <w:pPr>
        <w:pStyle w:val="BodyText"/>
        <w:ind w:right="1133"/>
        <w:jc w:val="both"/>
      </w:pPr>
      <w:r>
        <w:rPr/>
        <w:t>S-au primit si verificat lunar deconturile de cheltuieli pentru finanţarea cheltuielilor curente ale cabinetelor scolare din unităţile de învătământ şi concordanţă cu documentele justificative de cheltuieli (în baza statelor de plată şi facturilor).</w:t>
      </w:r>
    </w:p>
    <w:p>
      <w:pPr>
        <w:pStyle w:val="BodyText"/>
        <w:ind w:right="1133"/>
        <w:jc w:val="both"/>
      </w:pPr>
      <w:r>
        <w:rPr/>
        <w:t>S-au primit si verficat deconturile lunare de cheltuieli pentru unităţile sanitare de subordonare  locală, pentru finanţarea unor acţiuni de sănătate ,conform documentelor justificative de cheltuieli (facturi şi state de plată)</w:t>
      </w:r>
      <w:r>
        <w:rPr>
          <w:spacing w:val="-2"/>
        </w:rPr>
        <w:t> </w:t>
      </w:r>
      <w:r>
        <w:rPr/>
        <w:t>;</w:t>
      </w:r>
    </w:p>
    <w:p>
      <w:pPr>
        <w:pStyle w:val="BodyText"/>
        <w:spacing w:before="1"/>
        <w:ind w:right="1142"/>
        <w:jc w:val="both"/>
      </w:pPr>
      <w:r>
        <w:rPr/>
        <w:t>S-au asigurat implementarea tuturor operaţiunilor solicitate prin aplicaţia informatică FOREXBUG, în program pilot .</w:t>
      </w:r>
    </w:p>
    <w:p>
      <w:pPr>
        <w:pStyle w:val="BodyText"/>
        <w:ind w:right="1141"/>
        <w:jc w:val="both"/>
      </w:pPr>
      <w:r>
        <w:rPr/>
        <w:t>S-a asigurat evidenţa modificărilor bugetului pe fiecare sursă de finanţare, în aplicaţia informatică PROCONT.</w:t>
      </w:r>
    </w:p>
    <w:p>
      <w:pPr>
        <w:pStyle w:val="BodyText"/>
        <w:jc w:val="both"/>
      </w:pPr>
      <w:r>
        <w:rPr/>
        <w:t>S-au transmis la M.S. propunerile de virări de credite, la termenele stabilite;</w:t>
      </w:r>
    </w:p>
    <w:p>
      <w:pPr>
        <w:pStyle w:val="BodyText"/>
        <w:ind w:right="1133"/>
        <w:jc w:val="both"/>
      </w:pPr>
      <w:r>
        <w:rPr/>
        <w:t>S-a monitorizat execuţia bugetului de venituri şi cheltuieli ale spitalelor publice (institute şi spitale de urgenţă), subordonate Ministerului Sănătăţii din municipiul Bucuresti, prin punerea in aplicare a prevederilor cuprinse în O.M.S. nr. 1088/2012, privind verificarea şi avizarea formularelor F1-F5, prevăzute de OMS nr. 858/1194 din 6 septembrie 2012; Lunar au fost verificate 13 institute din Municipiul Bucureşti şi 9 spitale cu statut de</w:t>
      </w:r>
      <w:r>
        <w:rPr>
          <w:spacing w:val="-4"/>
        </w:rPr>
        <w:t> </w:t>
      </w:r>
      <w:r>
        <w:rPr/>
        <w:t>urgenţă.</w:t>
      </w:r>
    </w:p>
    <w:p>
      <w:pPr>
        <w:pStyle w:val="BodyText"/>
        <w:ind w:right="1140"/>
        <w:jc w:val="both"/>
      </w:pPr>
      <w:r>
        <w:rPr/>
        <w:t>Au primit viza de către biroul Buget –Finante, ca fiind conforme cu legalitatea, un număr de 288 Formulare F1-F5.</w:t>
      </w:r>
    </w:p>
    <w:p>
      <w:pPr>
        <w:pStyle w:val="BodyText"/>
        <w:ind w:right="1136"/>
        <w:jc w:val="both"/>
      </w:pPr>
      <w:r>
        <w:rPr/>
        <w:t>S-a asigurat acordarea semnăturilor pe instrumentele de plată şi notele de corecţie, în trezorerie şi BCR, cu specimen de semnatură nr. 1şi 2, în conformitate cu dispoziţia conducerii DSPMB.</w:t>
      </w:r>
    </w:p>
    <w:p>
      <w:pPr>
        <w:pStyle w:val="BodyText"/>
        <w:ind w:right="1141"/>
        <w:jc w:val="both"/>
      </w:pPr>
      <w:r>
        <w:rPr/>
        <w:t>În cursul anului 2017 s-au semnat aprox. 3500 Ordine de plată, 23 de Dispoziţii de plată externe şi aprox. 900 Note de corectie..</w:t>
      </w:r>
    </w:p>
    <w:p>
      <w:pPr>
        <w:pStyle w:val="BodyText"/>
        <w:spacing w:before="1"/>
        <w:ind w:right="1136" w:firstLine="62"/>
        <w:jc w:val="both"/>
      </w:pPr>
      <w:r>
        <w:rPr/>
        <w:t>La 31 decembrie execuţia bugetară, la unele articole de cheltuieli, pe surse de finanţare, se prezintă astfel:</w:t>
      </w:r>
    </w:p>
    <w:p>
      <w:pPr>
        <w:spacing w:after="0"/>
        <w:jc w:val="both"/>
        <w:sectPr>
          <w:pgSz w:w="11910" w:h="16840"/>
          <w:pgMar w:header="0" w:footer="658" w:top="1360" w:bottom="920" w:left="400" w:right="0"/>
        </w:sectPr>
      </w:pPr>
    </w:p>
    <w:p>
      <w:pPr>
        <w:pStyle w:val="BodyText"/>
        <w:spacing w:before="73"/>
        <w:ind w:left="4523" w:hanging="142"/>
      </w:pPr>
      <w:r>
        <w:rPr/>
        <w:t>Execuţie </w:t>
      </w:r>
      <w:r>
        <w:rPr>
          <w:spacing w:val="-3"/>
        </w:rPr>
        <w:t>bugetară </w:t>
      </w:r>
      <w:r>
        <w:rPr/>
        <w:t>Bugetul de stat</w:t>
      </w:r>
    </w:p>
    <w:p>
      <w:pPr>
        <w:pStyle w:val="BodyText"/>
        <w:ind w:left="0"/>
        <w:rPr>
          <w:sz w:val="26"/>
        </w:rPr>
      </w:pPr>
      <w:r>
        <w:rPr/>
        <w:br w:type="column"/>
      </w:r>
      <w:r>
        <w:rPr>
          <w:sz w:val="26"/>
        </w:rPr>
      </w:r>
    </w:p>
    <w:p>
      <w:pPr>
        <w:pStyle w:val="BodyText"/>
        <w:spacing w:before="4"/>
        <w:ind w:left="0"/>
        <w:rPr>
          <w:sz w:val="28"/>
        </w:rPr>
      </w:pPr>
    </w:p>
    <w:p>
      <w:pPr>
        <w:pStyle w:val="BodyText"/>
        <w:ind w:left="1779" w:right="3058"/>
        <w:jc w:val="center"/>
      </w:pPr>
      <w:r>
        <w:rPr/>
        <w:t>în lei</w:t>
      </w:r>
    </w:p>
    <w:p>
      <w:pPr>
        <w:spacing w:after="0"/>
        <w:jc w:val="center"/>
        <w:sectPr>
          <w:pgSz w:w="11910" w:h="16840"/>
          <w:pgMar w:header="0" w:footer="658" w:top="1540" w:bottom="920" w:left="400" w:right="0"/>
          <w:cols w:num="2" w:equalWidth="0">
            <w:col w:w="6106" w:space="40"/>
            <w:col w:w="5364"/>
          </w:cols>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4"/>
        <w:gridCol w:w="1116"/>
        <w:gridCol w:w="1296"/>
        <w:gridCol w:w="984"/>
        <w:gridCol w:w="1345"/>
        <w:gridCol w:w="768"/>
        <w:gridCol w:w="766"/>
        <w:gridCol w:w="766"/>
      </w:tblGrid>
      <w:tr>
        <w:trPr>
          <w:trHeight w:val="918" w:hRule="atLeast"/>
        </w:trPr>
        <w:tc>
          <w:tcPr>
            <w:tcW w:w="2304" w:type="dxa"/>
          </w:tcPr>
          <w:p>
            <w:pPr>
              <w:pStyle w:val="TableParagraph"/>
              <w:rPr>
                <w:sz w:val="22"/>
              </w:rPr>
            </w:pPr>
          </w:p>
          <w:p>
            <w:pPr>
              <w:pStyle w:val="TableParagraph"/>
              <w:rPr>
                <w:sz w:val="22"/>
              </w:rPr>
            </w:pPr>
          </w:p>
          <w:p>
            <w:pPr>
              <w:pStyle w:val="TableParagraph"/>
              <w:spacing w:line="210" w:lineRule="exact" w:before="183"/>
              <w:ind w:left="63" w:right="104"/>
              <w:jc w:val="center"/>
              <w:rPr>
                <w:sz w:val="20"/>
              </w:rPr>
            </w:pPr>
            <w:r>
              <w:rPr>
                <w:sz w:val="20"/>
              </w:rPr>
              <w:t>Articole de cheltuieli</w:t>
            </w:r>
          </w:p>
        </w:tc>
        <w:tc>
          <w:tcPr>
            <w:tcW w:w="1116" w:type="dxa"/>
          </w:tcPr>
          <w:p>
            <w:pPr>
              <w:pStyle w:val="TableParagraph"/>
              <w:spacing w:line="460" w:lineRule="atLeast"/>
              <w:ind w:left="214" w:right="130" w:hanging="58"/>
              <w:rPr>
                <w:sz w:val="20"/>
              </w:rPr>
            </w:pPr>
            <w:r>
              <w:rPr>
                <w:sz w:val="20"/>
              </w:rPr>
              <w:t>Prevedere bugetară</w:t>
            </w:r>
          </w:p>
        </w:tc>
        <w:tc>
          <w:tcPr>
            <w:tcW w:w="1296" w:type="dxa"/>
          </w:tcPr>
          <w:p>
            <w:pPr>
              <w:pStyle w:val="TableParagraph"/>
              <w:rPr>
                <w:sz w:val="20"/>
              </w:rPr>
            </w:pPr>
          </w:p>
          <w:p>
            <w:pPr>
              <w:pStyle w:val="TableParagraph"/>
              <w:ind w:left="140" w:right="132"/>
              <w:jc w:val="center"/>
              <w:rPr>
                <w:sz w:val="20"/>
              </w:rPr>
            </w:pPr>
            <w:r>
              <w:rPr>
                <w:sz w:val="20"/>
              </w:rPr>
              <w:t>Finantare</w:t>
            </w:r>
          </w:p>
          <w:p>
            <w:pPr>
              <w:pStyle w:val="TableParagraph"/>
              <w:spacing w:line="228" w:lineRule="exact" w:before="5"/>
              <w:ind w:left="142" w:right="132"/>
              <w:jc w:val="center"/>
              <w:rPr>
                <w:sz w:val="20"/>
              </w:rPr>
            </w:pPr>
            <w:r>
              <w:rPr>
                <w:sz w:val="20"/>
              </w:rPr>
              <w:t>primită de la M.S.</w:t>
            </w:r>
          </w:p>
        </w:tc>
        <w:tc>
          <w:tcPr>
            <w:tcW w:w="984" w:type="dxa"/>
          </w:tcPr>
          <w:p>
            <w:pPr>
              <w:pStyle w:val="TableParagraph"/>
              <w:ind w:left="111" w:right="97" w:hanging="3"/>
              <w:jc w:val="center"/>
              <w:rPr>
                <w:sz w:val="20"/>
              </w:rPr>
            </w:pPr>
            <w:r>
              <w:rPr>
                <w:sz w:val="20"/>
              </w:rPr>
              <w:t>Sume </w:t>
            </w:r>
            <w:r>
              <w:rPr>
                <w:spacing w:val="-1"/>
                <w:sz w:val="20"/>
              </w:rPr>
              <w:t>Restituite</w:t>
            </w:r>
          </w:p>
          <w:p>
            <w:pPr>
              <w:pStyle w:val="TableParagraph"/>
              <w:spacing w:line="228" w:lineRule="exact" w:before="5"/>
              <w:ind w:left="231" w:right="219" w:firstLine="2"/>
              <w:jc w:val="center"/>
              <w:rPr>
                <w:sz w:val="20"/>
              </w:rPr>
            </w:pPr>
            <w:r>
              <w:rPr>
                <w:sz w:val="20"/>
              </w:rPr>
              <w:t>de la </w:t>
            </w:r>
            <w:r>
              <w:rPr>
                <w:w w:val="95"/>
                <w:sz w:val="20"/>
              </w:rPr>
              <w:t>spitale</w:t>
            </w:r>
          </w:p>
        </w:tc>
        <w:tc>
          <w:tcPr>
            <w:tcW w:w="1345" w:type="dxa"/>
          </w:tcPr>
          <w:p>
            <w:pPr>
              <w:pStyle w:val="TableParagraph"/>
              <w:rPr>
                <w:sz w:val="20"/>
              </w:rPr>
            </w:pPr>
          </w:p>
          <w:p>
            <w:pPr>
              <w:pStyle w:val="TableParagraph"/>
              <w:ind w:left="91" w:right="78"/>
              <w:jc w:val="center"/>
              <w:rPr>
                <w:sz w:val="20"/>
              </w:rPr>
            </w:pPr>
            <w:r>
              <w:rPr>
                <w:sz w:val="20"/>
              </w:rPr>
              <w:t>Plati catre spitale</w:t>
            </w:r>
          </w:p>
          <w:p>
            <w:pPr>
              <w:pStyle w:val="TableParagraph"/>
              <w:spacing w:line="208" w:lineRule="exact"/>
              <w:ind w:left="91" w:right="87"/>
              <w:jc w:val="center"/>
              <w:rPr>
                <w:sz w:val="20"/>
              </w:rPr>
            </w:pPr>
            <w:r>
              <w:rPr>
                <w:sz w:val="20"/>
              </w:rPr>
              <w:t>(fara restituri)</w:t>
            </w:r>
          </w:p>
        </w:tc>
        <w:tc>
          <w:tcPr>
            <w:tcW w:w="768" w:type="dxa"/>
          </w:tcPr>
          <w:p>
            <w:pPr>
              <w:pStyle w:val="TableParagraph"/>
              <w:rPr>
                <w:sz w:val="22"/>
              </w:rPr>
            </w:pPr>
          </w:p>
          <w:p>
            <w:pPr>
              <w:pStyle w:val="TableParagraph"/>
              <w:rPr>
                <w:sz w:val="22"/>
              </w:rPr>
            </w:pPr>
          </w:p>
          <w:p>
            <w:pPr>
              <w:pStyle w:val="TableParagraph"/>
              <w:spacing w:line="210" w:lineRule="exact" w:before="183"/>
              <w:ind w:left="9"/>
              <w:jc w:val="center"/>
              <w:rPr>
                <w:sz w:val="20"/>
              </w:rPr>
            </w:pPr>
            <w:r>
              <w:rPr>
                <w:w w:val="99"/>
                <w:sz w:val="20"/>
              </w:rPr>
              <w:t>%</w:t>
            </w:r>
          </w:p>
        </w:tc>
        <w:tc>
          <w:tcPr>
            <w:tcW w:w="766" w:type="dxa"/>
          </w:tcPr>
          <w:p>
            <w:pPr>
              <w:pStyle w:val="TableParagraph"/>
              <w:rPr>
                <w:sz w:val="22"/>
              </w:rPr>
            </w:pPr>
          </w:p>
          <w:p>
            <w:pPr>
              <w:pStyle w:val="TableParagraph"/>
              <w:rPr>
                <w:sz w:val="22"/>
              </w:rPr>
            </w:pPr>
          </w:p>
          <w:p>
            <w:pPr>
              <w:pStyle w:val="TableParagraph"/>
              <w:spacing w:line="210" w:lineRule="exact" w:before="183"/>
              <w:ind w:left="11"/>
              <w:jc w:val="center"/>
              <w:rPr>
                <w:sz w:val="20"/>
              </w:rPr>
            </w:pPr>
            <w:r>
              <w:rPr>
                <w:w w:val="99"/>
                <w:sz w:val="20"/>
              </w:rPr>
              <w:t>%</w:t>
            </w:r>
          </w:p>
        </w:tc>
        <w:tc>
          <w:tcPr>
            <w:tcW w:w="766" w:type="dxa"/>
          </w:tcPr>
          <w:p>
            <w:pPr>
              <w:pStyle w:val="TableParagraph"/>
              <w:rPr>
                <w:sz w:val="22"/>
              </w:rPr>
            </w:pPr>
          </w:p>
          <w:p>
            <w:pPr>
              <w:pStyle w:val="TableParagraph"/>
              <w:rPr>
                <w:sz w:val="22"/>
              </w:rPr>
            </w:pPr>
          </w:p>
          <w:p>
            <w:pPr>
              <w:pStyle w:val="TableParagraph"/>
              <w:spacing w:line="210" w:lineRule="exact" w:before="183"/>
              <w:ind w:left="10"/>
              <w:jc w:val="center"/>
              <w:rPr>
                <w:sz w:val="20"/>
              </w:rPr>
            </w:pPr>
            <w:r>
              <w:rPr>
                <w:w w:val="99"/>
                <w:sz w:val="20"/>
              </w:rPr>
              <w:t>%</w:t>
            </w:r>
          </w:p>
        </w:tc>
      </w:tr>
      <w:tr>
        <w:trPr>
          <w:trHeight w:val="239" w:hRule="atLeast"/>
        </w:trPr>
        <w:tc>
          <w:tcPr>
            <w:tcW w:w="2304" w:type="dxa"/>
          </w:tcPr>
          <w:p>
            <w:pPr>
              <w:pStyle w:val="TableParagraph"/>
              <w:rPr>
                <w:sz w:val="16"/>
              </w:rPr>
            </w:pPr>
          </w:p>
        </w:tc>
        <w:tc>
          <w:tcPr>
            <w:tcW w:w="1116" w:type="dxa"/>
          </w:tcPr>
          <w:p>
            <w:pPr>
              <w:pStyle w:val="TableParagraph"/>
              <w:spacing w:line="210" w:lineRule="exact" w:before="10"/>
              <w:ind w:left="8"/>
              <w:jc w:val="center"/>
              <w:rPr>
                <w:sz w:val="20"/>
              </w:rPr>
            </w:pPr>
            <w:r>
              <w:rPr>
                <w:w w:val="99"/>
                <w:sz w:val="20"/>
              </w:rPr>
              <w:t>1</w:t>
            </w:r>
          </w:p>
        </w:tc>
        <w:tc>
          <w:tcPr>
            <w:tcW w:w="1296" w:type="dxa"/>
          </w:tcPr>
          <w:p>
            <w:pPr>
              <w:pStyle w:val="TableParagraph"/>
              <w:spacing w:line="210" w:lineRule="exact" w:before="10"/>
              <w:ind w:left="10"/>
              <w:jc w:val="center"/>
              <w:rPr>
                <w:sz w:val="20"/>
              </w:rPr>
            </w:pPr>
            <w:r>
              <w:rPr>
                <w:w w:val="99"/>
                <w:sz w:val="20"/>
              </w:rPr>
              <w:t>2</w:t>
            </w:r>
          </w:p>
        </w:tc>
        <w:tc>
          <w:tcPr>
            <w:tcW w:w="984" w:type="dxa"/>
          </w:tcPr>
          <w:p>
            <w:pPr>
              <w:pStyle w:val="TableParagraph"/>
              <w:spacing w:line="210" w:lineRule="exact" w:before="10"/>
              <w:ind w:left="11"/>
              <w:jc w:val="center"/>
              <w:rPr>
                <w:sz w:val="20"/>
              </w:rPr>
            </w:pPr>
            <w:r>
              <w:rPr>
                <w:w w:val="99"/>
                <w:sz w:val="20"/>
              </w:rPr>
              <w:t>3</w:t>
            </w:r>
          </w:p>
        </w:tc>
        <w:tc>
          <w:tcPr>
            <w:tcW w:w="1345" w:type="dxa"/>
          </w:tcPr>
          <w:p>
            <w:pPr>
              <w:pStyle w:val="TableParagraph"/>
              <w:spacing w:line="210" w:lineRule="exact" w:before="10"/>
              <w:ind w:left="10"/>
              <w:jc w:val="center"/>
              <w:rPr>
                <w:sz w:val="20"/>
              </w:rPr>
            </w:pPr>
            <w:r>
              <w:rPr>
                <w:w w:val="99"/>
                <w:sz w:val="20"/>
              </w:rPr>
              <w:t>4</w:t>
            </w:r>
          </w:p>
        </w:tc>
        <w:tc>
          <w:tcPr>
            <w:tcW w:w="768" w:type="dxa"/>
          </w:tcPr>
          <w:p>
            <w:pPr>
              <w:pStyle w:val="TableParagraph"/>
              <w:spacing w:line="210" w:lineRule="exact" w:before="10"/>
              <w:ind w:left="88" w:right="78"/>
              <w:jc w:val="center"/>
              <w:rPr>
                <w:sz w:val="20"/>
              </w:rPr>
            </w:pPr>
            <w:r>
              <w:rPr>
                <w:sz w:val="20"/>
              </w:rPr>
              <w:t>5=2/1</w:t>
            </w:r>
          </w:p>
        </w:tc>
        <w:tc>
          <w:tcPr>
            <w:tcW w:w="766" w:type="dxa"/>
          </w:tcPr>
          <w:p>
            <w:pPr>
              <w:pStyle w:val="TableParagraph"/>
              <w:spacing w:line="210" w:lineRule="exact" w:before="10"/>
              <w:ind w:left="88" w:right="76"/>
              <w:jc w:val="center"/>
              <w:rPr>
                <w:sz w:val="20"/>
              </w:rPr>
            </w:pPr>
            <w:r>
              <w:rPr>
                <w:sz w:val="20"/>
              </w:rPr>
              <w:t>6=4/1</w:t>
            </w:r>
          </w:p>
        </w:tc>
        <w:tc>
          <w:tcPr>
            <w:tcW w:w="766" w:type="dxa"/>
          </w:tcPr>
          <w:p>
            <w:pPr>
              <w:pStyle w:val="TableParagraph"/>
              <w:spacing w:line="210" w:lineRule="exact" w:before="10"/>
              <w:ind w:left="88" w:right="77"/>
              <w:jc w:val="center"/>
              <w:rPr>
                <w:sz w:val="20"/>
              </w:rPr>
            </w:pPr>
            <w:r>
              <w:rPr>
                <w:sz w:val="20"/>
              </w:rPr>
              <w:t>7=4/2</w:t>
            </w:r>
          </w:p>
        </w:tc>
      </w:tr>
      <w:tr>
        <w:trPr>
          <w:trHeight w:val="1151" w:hRule="atLeast"/>
        </w:trPr>
        <w:tc>
          <w:tcPr>
            <w:tcW w:w="2304" w:type="dxa"/>
          </w:tcPr>
          <w:p>
            <w:pPr>
              <w:pStyle w:val="TableParagraph"/>
              <w:spacing w:line="230" w:lineRule="atLeast"/>
              <w:ind w:left="110" w:right="104"/>
              <w:jc w:val="center"/>
              <w:rPr>
                <w:sz w:val="20"/>
              </w:rPr>
            </w:pPr>
            <w:r>
              <w:rPr>
                <w:sz w:val="20"/>
              </w:rPr>
              <w:t>Finantarea din bugetul de stat pentru programelenaţionale de sanătate (PN AAPL (art.20,32)</w:t>
            </w:r>
          </w:p>
        </w:tc>
        <w:tc>
          <w:tcPr>
            <w:tcW w:w="111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88" w:right="77"/>
              <w:jc w:val="center"/>
              <w:rPr>
                <w:sz w:val="20"/>
              </w:rPr>
            </w:pPr>
            <w:r>
              <w:rPr>
                <w:sz w:val="20"/>
              </w:rPr>
              <w:t>24,549,000</w:t>
            </w:r>
          </w:p>
        </w:tc>
        <w:tc>
          <w:tcPr>
            <w:tcW w:w="129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142" w:right="132"/>
              <w:jc w:val="center"/>
              <w:rPr>
                <w:sz w:val="20"/>
              </w:rPr>
            </w:pPr>
            <w:r>
              <w:rPr>
                <w:sz w:val="20"/>
              </w:rPr>
              <w:t>24,484,428</w:t>
            </w:r>
          </w:p>
        </w:tc>
        <w:tc>
          <w:tcPr>
            <w:tcW w:w="984"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153" w:right="141"/>
              <w:jc w:val="center"/>
              <w:rPr>
                <w:sz w:val="20"/>
              </w:rPr>
            </w:pPr>
            <w:r>
              <w:rPr>
                <w:sz w:val="20"/>
              </w:rPr>
              <w:t>4,536</w:t>
            </w:r>
          </w:p>
        </w:tc>
        <w:tc>
          <w:tcPr>
            <w:tcW w:w="1345"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91" w:right="83"/>
              <w:jc w:val="center"/>
              <w:rPr>
                <w:sz w:val="20"/>
              </w:rPr>
            </w:pPr>
            <w:r>
              <w:rPr>
                <w:sz w:val="20"/>
              </w:rPr>
              <w:t>24,484,428</w:t>
            </w:r>
          </w:p>
        </w:tc>
        <w:tc>
          <w:tcPr>
            <w:tcW w:w="768"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86" w:right="79"/>
              <w:jc w:val="center"/>
              <w:rPr>
                <w:sz w:val="20"/>
              </w:rPr>
            </w:pPr>
            <w:r>
              <w:rPr>
                <w:sz w:val="20"/>
              </w:rPr>
              <w:t>99.74</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86" w:right="77"/>
              <w:jc w:val="center"/>
              <w:rPr>
                <w:sz w:val="20"/>
              </w:rPr>
            </w:pPr>
            <w:r>
              <w:rPr>
                <w:sz w:val="20"/>
              </w:rPr>
              <w:t>99.74</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3"/>
              <w:ind w:left="87" w:right="77"/>
              <w:jc w:val="center"/>
              <w:rPr>
                <w:sz w:val="20"/>
              </w:rPr>
            </w:pPr>
            <w:r>
              <w:rPr>
                <w:sz w:val="20"/>
              </w:rPr>
              <w:t>100.00</w:t>
            </w:r>
          </w:p>
        </w:tc>
      </w:tr>
      <w:tr>
        <w:trPr>
          <w:trHeight w:val="689" w:hRule="atLeast"/>
        </w:trPr>
        <w:tc>
          <w:tcPr>
            <w:tcW w:w="2304" w:type="dxa"/>
          </w:tcPr>
          <w:p>
            <w:pPr>
              <w:pStyle w:val="TableParagraph"/>
              <w:ind w:left="110" w:right="104"/>
              <w:jc w:val="center"/>
              <w:rPr>
                <w:sz w:val="20"/>
              </w:rPr>
            </w:pPr>
            <w:r>
              <w:rPr>
                <w:sz w:val="20"/>
              </w:rPr>
              <w:t>Activit de trimitere la</w:t>
            </w:r>
          </w:p>
          <w:p>
            <w:pPr>
              <w:pStyle w:val="TableParagraph"/>
              <w:spacing w:line="228" w:lineRule="exact" w:before="5"/>
              <w:ind w:left="110" w:right="98"/>
              <w:jc w:val="center"/>
              <w:rPr>
                <w:sz w:val="20"/>
              </w:rPr>
            </w:pPr>
            <w:r>
              <w:rPr>
                <w:sz w:val="20"/>
              </w:rPr>
              <w:t>tratament med in strainatate</w:t>
            </w:r>
          </w:p>
        </w:tc>
        <w:tc>
          <w:tcPr>
            <w:tcW w:w="1116" w:type="dxa"/>
          </w:tcPr>
          <w:p>
            <w:pPr>
              <w:pStyle w:val="TableParagraph"/>
              <w:rPr>
                <w:sz w:val="22"/>
              </w:rPr>
            </w:pPr>
          </w:p>
          <w:p>
            <w:pPr>
              <w:pStyle w:val="TableParagraph"/>
              <w:spacing w:before="10"/>
              <w:rPr>
                <w:sz w:val="17"/>
              </w:rPr>
            </w:pPr>
          </w:p>
          <w:p>
            <w:pPr>
              <w:pStyle w:val="TableParagraph"/>
              <w:spacing w:line="210" w:lineRule="exact" w:before="1"/>
              <w:ind w:left="88" w:right="77"/>
              <w:jc w:val="center"/>
              <w:rPr>
                <w:sz w:val="20"/>
              </w:rPr>
            </w:pPr>
            <w:r>
              <w:rPr>
                <w:sz w:val="20"/>
              </w:rPr>
              <w:t>1,435,000</w:t>
            </w:r>
          </w:p>
        </w:tc>
        <w:tc>
          <w:tcPr>
            <w:tcW w:w="1296" w:type="dxa"/>
          </w:tcPr>
          <w:p>
            <w:pPr>
              <w:pStyle w:val="TableParagraph"/>
              <w:rPr>
                <w:sz w:val="22"/>
              </w:rPr>
            </w:pPr>
          </w:p>
          <w:p>
            <w:pPr>
              <w:pStyle w:val="TableParagraph"/>
              <w:spacing w:before="10"/>
              <w:rPr>
                <w:sz w:val="17"/>
              </w:rPr>
            </w:pPr>
          </w:p>
          <w:p>
            <w:pPr>
              <w:pStyle w:val="TableParagraph"/>
              <w:spacing w:line="210" w:lineRule="exact" w:before="1"/>
              <w:ind w:left="141" w:right="132"/>
              <w:jc w:val="center"/>
              <w:rPr>
                <w:sz w:val="20"/>
              </w:rPr>
            </w:pPr>
            <w:r>
              <w:rPr>
                <w:sz w:val="20"/>
              </w:rPr>
              <w:t>1,435,000</w:t>
            </w:r>
          </w:p>
        </w:tc>
        <w:tc>
          <w:tcPr>
            <w:tcW w:w="984" w:type="dxa"/>
          </w:tcPr>
          <w:p>
            <w:pPr>
              <w:pStyle w:val="TableParagraph"/>
              <w:rPr>
                <w:sz w:val="22"/>
              </w:rPr>
            </w:pPr>
          </w:p>
          <w:p>
            <w:pPr>
              <w:pStyle w:val="TableParagraph"/>
              <w:spacing w:before="10"/>
              <w:rPr>
                <w:sz w:val="17"/>
              </w:rPr>
            </w:pPr>
          </w:p>
          <w:p>
            <w:pPr>
              <w:pStyle w:val="TableParagraph"/>
              <w:spacing w:line="210" w:lineRule="exact" w:before="1"/>
              <w:ind w:left="151" w:right="141"/>
              <w:jc w:val="center"/>
              <w:rPr>
                <w:sz w:val="20"/>
              </w:rPr>
            </w:pPr>
            <w:r>
              <w:rPr>
                <w:sz w:val="20"/>
              </w:rPr>
              <w:t>93,102</w:t>
            </w:r>
          </w:p>
        </w:tc>
        <w:tc>
          <w:tcPr>
            <w:tcW w:w="1345" w:type="dxa"/>
          </w:tcPr>
          <w:p>
            <w:pPr>
              <w:pStyle w:val="TableParagraph"/>
              <w:rPr>
                <w:sz w:val="22"/>
              </w:rPr>
            </w:pPr>
          </w:p>
          <w:p>
            <w:pPr>
              <w:pStyle w:val="TableParagraph"/>
              <w:spacing w:before="10"/>
              <w:rPr>
                <w:sz w:val="17"/>
              </w:rPr>
            </w:pPr>
          </w:p>
          <w:p>
            <w:pPr>
              <w:pStyle w:val="TableParagraph"/>
              <w:spacing w:line="210" w:lineRule="exact" w:before="1"/>
              <w:ind w:left="91" w:right="83"/>
              <w:jc w:val="center"/>
              <w:rPr>
                <w:sz w:val="20"/>
              </w:rPr>
            </w:pPr>
            <w:r>
              <w:rPr>
                <w:sz w:val="20"/>
              </w:rPr>
              <w:t>1,407,414</w:t>
            </w:r>
          </w:p>
        </w:tc>
        <w:tc>
          <w:tcPr>
            <w:tcW w:w="768" w:type="dxa"/>
          </w:tcPr>
          <w:p>
            <w:pPr>
              <w:pStyle w:val="TableParagraph"/>
              <w:rPr>
                <w:sz w:val="22"/>
              </w:rPr>
            </w:pPr>
          </w:p>
          <w:p>
            <w:pPr>
              <w:pStyle w:val="TableParagraph"/>
              <w:spacing w:before="10"/>
              <w:rPr>
                <w:sz w:val="17"/>
              </w:rPr>
            </w:pPr>
          </w:p>
          <w:p>
            <w:pPr>
              <w:pStyle w:val="TableParagraph"/>
              <w:spacing w:line="210" w:lineRule="exact" w:before="1"/>
              <w:ind w:left="88" w:right="79"/>
              <w:jc w:val="center"/>
              <w:rPr>
                <w:sz w:val="20"/>
              </w:rPr>
            </w:pPr>
            <w:r>
              <w:rPr>
                <w:sz w:val="20"/>
              </w:rPr>
              <w:t>100.00</w:t>
            </w:r>
          </w:p>
        </w:tc>
        <w:tc>
          <w:tcPr>
            <w:tcW w:w="766" w:type="dxa"/>
          </w:tcPr>
          <w:p>
            <w:pPr>
              <w:pStyle w:val="TableParagraph"/>
              <w:rPr>
                <w:sz w:val="22"/>
              </w:rPr>
            </w:pPr>
          </w:p>
          <w:p>
            <w:pPr>
              <w:pStyle w:val="TableParagraph"/>
              <w:spacing w:before="10"/>
              <w:rPr>
                <w:sz w:val="17"/>
              </w:rPr>
            </w:pPr>
          </w:p>
          <w:p>
            <w:pPr>
              <w:pStyle w:val="TableParagraph"/>
              <w:spacing w:line="210" w:lineRule="exact" w:before="1"/>
              <w:ind w:left="86" w:right="77"/>
              <w:jc w:val="center"/>
              <w:rPr>
                <w:sz w:val="20"/>
              </w:rPr>
            </w:pPr>
            <w:r>
              <w:rPr>
                <w:sz w:val="20"/>
              </w:rPr>
              <w:t>98.08</w:t>
            </w:r>
          </w:p>
        </w:tc>
        <w:tc>
          <w:tcPr>
            <w:tcW w:w="766" w:type="dxa"/>
          </w:tcPr>
          <w:p>
            <w:pPr>
              <w:pStyle w:val="TableParagraph"/>
              <w:rPr>
                <w:sz w:val="22"/>
              </w:rPr>
            </w:pPr>
          </w:p>
          <w:p>
            <w:pPr>
              <w:pStyle w:val="TableParagraph"/>
              <w:spacing w:before="10"/>
              <w:rPr>
                <w:sz w:val="17"/>
              </w:rPr>
            </w:pPr>
          </w:p>
          <w:p>
            <w:pPr>
              <w:pStyle w:val="TableParagraph"/>
              <w:spacing w:line="210" w:lineRule="exact" w:before="1"/>
              <w:ind w:left="85" w:right="77"/>
              <w:jc w:val="center"/>
              <w:rPr>
                <w:sz w:val="20"/>
              </w:rPr>
            </w:pPr>
            <w:r>
              <w:rPr>
                <w:sz w:val="20"/>
              </w:rPr>
              <w:t>98.08</w:t>
            </w:r>
          </w:p>
        </w:tc>
      </w:tr>
      <w:tr>
        <w:trPr>
          <w:trHeight w:val="458" w:hRule="atLeast"/>
        </w:trPr>
        <w:tc>
          <w:tcPr>
            <w:tcW w:w="2304" w:type="dxa"/>
          </w:tcPr>
          <w:p>
            <w:pPr>
              <w:pStyle w:val="TableParagraph"/>
              <w:spacing w:line="228" w:lineRule="exact"/>
              <w:ind w:left="110" w:right="103"/>
              <w:jc w:val="center"/>
              <w:rPr>
                <w:sz w:val="20"/>
              </w:rPr>
            </w:pPr>
            <w:r>
              <w:rPr>
                <w:sz w:val="20"/>
              </w:rPr>
              <w:t>PN</w:t>
            </w:r>
          </w:p>
          <w:p>
            <w:pPr>
              <w:pStyle w:val="TableParagraph"/>
              <w:spacing w:line="210" w:lineRule="exact"/>
              <w:ind w:left="108" w:right="104"/>
              <w:jc w:val="center"/>
              <w:rPr>
                <w:sz w:val="20"/>
              </w:rPr>
            </w:pPr>
            <w:r>
              <w:rPr>
                <w:sz w:val="20"/>
              </w:rPr>
              <w:t>Imunizari+mentenanta</w:t>
            </w:r>
          </w:p>
        </w:tc>
        <w:tc>
          <w:tcPr>
            <w:tcW w:w="1116" w:type="dxa"/>
          </w:tcPr>
          <w:p>
            <w:pPr>
              <w:pStyle w:val="TableParagraph"/>
              <w:spacing w:before="10"/>
              <w:rPr>
                <w:sz w:val="19"/>
              </w:rPr>
            </w:pPr>
          </w:p>
          <w:p>
            <w:pPr>
              <w:pStyle w:val="TableParagraph"/>
              <w:spacing w:line="210" w:lineRule="exact"/>
              <w:ind w:left="88" w:right="77"/>
              <w:jc w:val="center"/>
              <w:rPr>
                <w:sz w:val="20"/>
              </w:rPr>
            </w:pPr>
            <w:r>
              <w:rPr>
                <w:sz w:val="20"/>
              </w:rPr>
              <w:t>366,000</w:t>
            </w:r>
          </w:p>
        </w:tc>
        <w:tc>
          <w:tcPr>
            <w:tcW w:w="1296" w:type="dxa"/>
          </w:tcPr>
          <w:p>
            <w:pPr>
              <w:pStyle w:val="TableParagraph"/>
              <w:spacing w:before="10"/>
              <w:rPr>
                <w:sz w:val="19"/>
              </w:rPr>
            </w:pPr>
          </w:p>
          <w:p>
            <w:pPr>
              <w:pStyle w:val="TableParagraph"/>
              <w:spacing w:line="210" w:lineRule="exact"/>
              <w:ind w:left="141" w:right="132"/>
              <w:jc w:val="center"/>
              <w:rPr>
                <w:sz w:val="20"/>
              </w:rPr>
            </w:pPr>
            <w:r>
              <w:rPr>
                <w:sz w:val="20"/>
              </w:rPr>
              <w:t>293,744</w:t>
            </w:r>
          </w:p>
        </w:tc>
        <w:tc>
          <w:tcPr>
            <w:tcW w:w="984" w:type="dxa"/>
          </w:tcPr>
          <w:p>
            <w:pPr>
              <w:pStyle w:val="TableParagraph"/>
              <w:spacing w:before="10"/>
              <w:rPr>
                <w:sz w:val="19"/>
              </w:rPr>
            </w:pPr>
          </w:p>
          <w:p>
            <w:pPr>
              <w:pStyle w:val="TableParagraph"/>
              <w:spacing w:line="210" w:lineRule="exact"/>
              <w:ind w:left="11"/>
              <w:jc w:val="center"/>
              <w:rPr>
                <w:sz w:val="20"/>
              </w:rPr>
            </w:pPr>
            <w:r>
              <w:rPr>
                <w:w w:val="99"/>
                <w:sz w:val="20"/>
              </w:rPr>
              <w:t>0</w:t>
            </w:r>
          </w:p>
        </w:tc>
        <w:tc>
          <w:tcPr>
            <w:tcW w:w="1345" w:type="dxa"/>
          </w:tcPr>
          <w:p>
            <w:pPr>
              <w:pStyle w:val="TableParagraph"/>
              <w:spacing w:before="10"/>
              <w:rPr>
                <w:sz w:val="19"/>
              </w:rPr>
            </w:pPr>
          </w:p>
          <w:p>
            <w:pPr>
              <w:pStyle w:val="TableParagraph"/>
              <w:spacing w:line="210" w:lineRule="exact"/>
              <w:ind w:left="91" w:right="82"/>
              <w:jc w:val="center"/>
              <w:rPr>
                <w:sz w:val="20"/>
              </w:rPr>
            </w:pPr>
            <w:r>
              <w:rPr>
                <w:sz w:val="20"/>
              </w:rPr>
              <w:t>293,743</w:t>
            </w:r>
          </w:p>
        </w:tc>
        <w:tc>
          <w:tcPr>
            <w:tcW w:w="768" w:type="dxa"/>
          </w:tcPr>
          <w:p>
            <w:pPr>
              <w:pStyle w:val="TableParagraph"/>
              <w:spacing w:before="10"/>
              <w:rPr>
                <w:sz w:val="19"/>
              </w:rPr>
            </w:pPr>
          </w:p>
          <w:p>
            <w:pPr>
              <w:pStyle w:val="TableParagraph"/>
              <w:spacing w:line="210" w:lineRule="exact"/>
              <w:ind w:left="86" w:right="79"/>
              <w:jc w:val="center"/>
              <w:rPr>
                <w:sz w:val="20"/>
              </w:rPr>
            </w:pPr>
            <w:r>
              <w:rPr>
                <w:sz w:val="20"/>
              </w:rPr>
              <w:t>80.26</w:t>
            </w:r>
          </w:p>
        </w:tc>
        <w:tc>
          <w:tcPr>
            <w:tcW w:w="766" w:type="dxa"/>
          </w:tcPr>
          <w:p>
            <w:pPr>
              <w:pStyle w:val="TableParagraph"/>
              <w:spacing w:before="10"/>
              <w:rPr>
                <w:sz w:val="19"/>
              </w:rPr>
            </w:pPr>
          </w:p>
          <w:p>
            <w:pPr>
              <w:pStyle w:val="TableParagraph"/>
              <w:spacing w:line="210" w:lineRule="exact"/>
              <w:ind w:left="86" w:right="77"/>
              <w:jc w:val="center"/>
              <w:rPr>
                <w:sz w:val="20"/>
              </w:rPr>
            </w:pPr>
            <w:r>
              <w:rPr>
                <w:sz w:val="20"/>
              </w:rPr>
              <w:t>80.26</w:t>
            </w:r>
          </w:p>
        </w:tc>
        <w:tc>
          <w:tcPr>
            <w:tcW w:w="766" w:type="dxa"/>
          </w:tcPr>
          <w:p>
            <w:pPr>
              <w:pStyle w:val="TableParagraph"/>
              <w:spacing w:before="10"/>
              <w:rPr>
                <w:sz w:val="19"/>
              </w:rPr>
            </w:pPr>
          </w:p>
          <w:p>
            <w:pPr>
              <w:pStyle w:val="TableParagraph"/>
              <w:spacing w:line="210" w:lineRule="exact"/>
              <w:ind w:left="87" w:right="77"/>
              <w:jc w:val="center"/>
              <w:rPr>
                <w:sz w:val="20"/>
              </w:rPr>
            </w:pPr>
            <w:r>
              <w:rPr>
                <w:sz w:val="20"/>
              </w:rPr>
              <w:t>100.00</w:t>
            </w:r>
          </w:p>
        </w:tc>
      </w:tr>
      <w:tr>
        <w:trPr>
          <w:trHeight w:val="750" w:hRule="atLeast"/>
        </w:trPr>
        <w:tc>
          <w:tcPr>
            <w:tcW w:w="2304" w:type="dxa"/>
          </w:tcPr>
          <w:p>
            <w:pPr>
              <w:pStyle w:val="TableParagraph"/>
              <w:spacing w:line="230" w:lineRule="atLeast" w:before="60"/>
              <w:ind w:left="185" w:right="176" w:firstLine="2"/>
              <w:jc w:val="center"/>
              <w:rPr>
                <w:sz w:val="20"/>
              </w:rPr>
            </w:pPr>
            <w:r>
              <w:rPr>
                <w:sz w:val="20"/>
              </w:rPr>
              <w:t>Programe naţionale la sp.din reţeaua paralelă a MS</w:t>
            </w:r>
          </w:p>
        </w:tc>
        <w:tc>
          <w:tcPr>
            <w:tcW w:w="1116" w:type="dxa"/>
          </w:tcPr>
          <w:p>
            <w:pPr>
              <w:pStyle w:val="TableParagraph"/>
              <w:rPr>
                <w:sz w:val="22"/>
              </w:rPr>
            </w:pPr>
          </w:p>
          <w:p>
            <w:pPr>
              <w:pStyle w:val="TableParagraph"/>
              <w:spacing w:before="3"/>
              <w:rPr>
                <w:sz w:val="23"/>
              </w:rPr>
            </w:pPr>
          </w:p>
          <w:p>
            <w:pPr>
              <w:pStyle w:val="TableParagraph"/>
              <w:spacing w:line="210" w:lineRule="exact"/>
              <w:ind w:left="88" w:right="77"/>
              <w:jc w:val="center"/>
              <w:rPr>
                <w:sz w:val="20"/>
              </w:rPr>
            </w:pPr>
            <w:r>
              <w:rPr>
                <w:sz w:val="20"/>
              </w:rPr>
              <w:t>1,777,000</w:t>
            </w:r>
          </w:p>
        </w:tc>
        <w:tc>
          <w:tcPr>
            <w:tcW w:w="1296" w:type="dxa"/>
          </w:tcPr>
          <w:p>
            <w:pPr>
              <w:pStyle w:val="TableParagraph"/>
              <w:rPr>
                <w:sz w:val="22"/>
              </w:rPr>
            </w:pPr>
          </w:p>
          <w:p>
            <w:pPr>
              <w:pStyle w:val="TableParagraph"/>
              <w:spacing w:before="3"/>
              <w:rPr>
                <w:sz w:val="23"/>
              </w:rPr>
            </w:pPr>
          </w:p>
          <w:p>
            <w:pPr>
              <w:pStyle w:val="TableParagraph"/>
              <w:spacing w:line="210" w:lineRule="exact"/>
              <w:ind w:left="141" w:right="132"/>
              <w:jc w:val="center"/>
              <w:rPr>
                <w:sz w:val="20"/>
              </w:rPr>
            </w:pPr>
            <w:r>
              <w:rPr>
                <w:sz w:val="20"/>
              </w:rPr>
              <w:t>1,625,385</w:t>
            </w:r>
          </w:p>
        </w:tc>
        <w:tc>
          <w:tcPr>
            <w:tcW w:w="984" w:type="dxa"/>
          </w:tcPr>
          <w:p>
            <w:pPr>
              <w:pStyle w:val="TableParagraph"/>
              <w:rPr>
                <w:sz w:val="22"/>
              </w:rPr>
            </w:pPr>
          </w:p>
          <w:p>
            <w:pPr>
              <w:pStyle w:val="TableParagraph"/>
              <w:spacing w:before="3"/>
              <w:rPr>
                <w:sz w:val="23"/>
              </w:rPr>
            </w:pPr>
          </w:p>
          <w:p>
            <w:pPr>
              <w:pStyle w:val="TableParagraph"/>
              <w:spacing w:line="210" w:lineRule="exact"/>
              <w:ind w:left="153" w:right="141"/>
              <w:jc w:val="center"/>
              <w:rPr>
                <w:sz w:val="20"/>
              </w:rPr>
            </w:pPr>
            <w:r>
              <w:rPr>
                <w:sz w:val="20"/>
              </w:rPr>
              <w:t>88</w:t>
            </w:r>
          </w:p>
        </w:tc>
        <w:tc>
          <w:tcPr>
            <w:tcW w:w="1345" w:type="dxa"/>
          </w:tcPr>
          <w:p>
            <w:pPr>
              <w:pStyle w:val="TableParagraph"/>
              <w:rPr>
                <w:sz w:val="22"/>
              </w:rPr>
            </w:pPr>
          </w:p>
          <w:p>
            <w:pPr>
              <w:pStyle w:val="TableParagraph"/>
              <w:spacing w:before="3"/>
              <w:rPr>
                <w:sz w:val="23"/>
              </w:rPr>
            </w:pPr>
          </w:p>
          <w:p>
            <w:pPr>
              <w:pStyle w:val="TableParagraph"/>
              <w:spacing w:line="210" w:lineRule="exact"/>
              <w:ind w:left="91" w:right="83"/>
              <w:jc w:val="center"/>
              <w:rPr>
                <w:sz w:val="20"/>
              </w:rPr>
            </w:pPr>
            <w:r>
              <w:rPr>
                <w:sz w:val="20"/>
              </w:rPr>
              <w:t>1,625,385</w:t>
            </w:r>
          </w:p>
        </w:tc>
        <w:tc>
          <w:tcPr>
            <w:tcW w:w="768" w:type="dxa"/>
          </w:tcPr>
          <w:p>
            <w:pPr>
              <w:pStyle w:val="TableParagraph"/>
              <w:rPr>
                <w:sz w:val="22"/>
              </w:rPr>
            </w:pPr>
          </w:p>
          <w:p>
            <w:pPr>
              <w:pStyle w:val="TableParagraph"/>
              <w:spacing w:before="3"/>
              <w:rPr>
                <w:sz w:val="23"/>
              </w:rPr>
            </w:pPr>
          </w:p>
          <w:p>
            <w:pPr>
              <w:pStyle w:val="TableParagraph"/>
              <w:spacing w:line="210" w:lineRule="exact"/>
              <w:ind w:left="86" w:right="79"/>
              <w:jc w:val="center"/>
              <w:rPr>
                <w:sz w:val="20"/>
              </w:rPr>
            </w:pPr>
            <w:r>
              <w:rPr>
                <w:sz w:val="20"/>
              </w:rPr>
              <w:t>91.47</w:t>
            </w:r>
          </w:p>
        </w:tc>
        <w:tc>
          <w:tcPr>
            <w:tcW w:w="766" w:type="dxa"/>
          </w:tcPr>
          <w:p>
            <w:pPr>
              <w:pStyle w:val="TableParagraph"/>
              <w:rPr>
                <w:sz w:val="22"/>
              </w:rPr>
            </w:pPr>
          </w:p>
          <w:p>
            <w:pPr>
              <w:pStyle w:val="TableParagraph"/>
              <w:spacing w:before="3"/>
              <w:rPr>
                <w:sz w:val="23"/>
              </w:rPr>
            </w:pPr>
          </w:p>
          <w:p>
            <w:pPr>
              <w:pStyle w:val="TableParagraph"/>
              <w:spacing w:line="210" w:lineRule="exact"/>
              <w:ind w:left="86" w:right="77"/>
              <w:jc w:val="center"/>
              <w:rPr>
                <w:sz w:val="20"/>
              </w:rPr>
            </w:pPr>
            <w:r>
              <w:rPr>
                <w:sz w:val="20"/>
              </w:rPr>
              <w:t>91.47</w:t>
            </w:r>
          </w:p>
        </w:tc>
        <w:tc>
          <w:tcPr>
            <w:tcW w:w="766" w:type="dxa"/>
          </w:tcPr>
          <w:p>
            <w:pPr>
              <w:pStyle w:val="TableParagraph"/>
              <w:rPr>
                <w:sz w:val="22"/>
              </w:rPr>
            </w:pPr>
          </w:p>
          <w:p>
            <w:pPr>
              <w:pStyle w:val="TableParagraph"/>
              <w:spacing w:before="3"/>
              <w:rPr>
                <w:sz w:val="23"/>
              </w:rPr>
            </w:pPr>
          </w:p>
          <w:p>
            <w:pPr>
              <w:pStyle w:val="TableParagraph"/>
              <w:spacing w:line="210" w:lineRule="exact"/>
              <w:ind w:left="87" w:right="77"/>
              <w:jc w:val="center"/>
              <w:rPr>
                <w:sz w:val="20"/>
              </w:rPr>
            </w:pPr>
            <w:r>
              <w:rPr>
                <w:sz w:val="20"/>
              </w:rPr>
              <w:t>100.00</w:t>
            </w:r>
          </w:p>
        </w:tc>
      </w:tr>
      <w:tr>
        <w:trPr>
          <w:trHeight w:val="402" w:hRule="atLeast"/>
        </w:trPr>
        <w:tc>
          <w:tcPr>
            <w:tcW w:w="2304" w:type="dxa"/>
          </w:tcPr>
          <w:p>
            <w:pPr>
              <w:pStyle w:val="TableParagraph"/>
              <w:spacing w:line="210" w:lineRule="exact" w:before="173"/>
              <w:ind w:left="110" w:right="104"/>
              <w:jc w:val="center"/>
              <w:rPr>
                <w:sz w:val="20"/>
              </w:rPr>
            </w:pPr>
            <w:r>
              <w:rPr>
                <w:sz w:val="20"/>
              </w:rPr>
              <w:t>Handicap</w:t>
            </w:r>
          </w:p>
        </w:tc>
        <w:tc>
          <w:tcPr>
            <w:tcW w:w="1116" w:type="dxa"/>
          </w:tcPr>
          <w:p>
            <w:pPr>
              <w:pStyle w:val="TableParagraph"/>
              <w:spacing w:line="210" w:lineRule="exact" w:before="173"/>
              <w:ind w:left="88" w:right="77"/>
              <w:jc w:val="center"/>
              <w:rPr>
                <w:sz w:val="20"/>
              </w:rPr>
            </w:pPr>
            <w:r>
              <w:rPr>
                <w:sz w:val="20"/>
              </w:rPr>
              <w:t>30,000</w:t>
            </w:r>
          </w:p>
        </w:tc>
        <w:tc>
          <w:tcPr>
            <w:tcW w:w="1296" w:type="dxa"/>
          </w:tcPr>
          <w:p>
            <w:pPr>
              <w:pStyle w:val="TableParagraph"/>
              <w:spacing w:line="210" w:lineRule="exact" w:before="173"/>
              <w:ind w:left="141" w:right="132"/>
              <w:jc w:val="center"/>
              <w:rPr>
                <w:sz w:val="20"/>
              </w:rPr>
            </w:pPr>
            <w:r>
              <w:rPr>
                <w:sz w:val="20"/>
              </w:rPr>
              <w:t>30,000</w:t>
            </w:r>
          </w:p>
        </w:tc>
        <w:tc>
          <w:tcPr>
            <w:tcW w:w="984" w:type="dxa"/>
          </w:tcPr>
          <w:p>
            <w:pPr>
              <w:pStyle w:val="TableParagraph"/>
              <w:spacing w:line="210" w:lineRule="exact" w:before="173"/>
              <w:ind w:left="11"/>
              <w:jc w:val="center"/>
              <w:rPr>
                <w:sz w:val="20"/>
              </w:rPr>
            </w:pPr>
            <w:r>
              <w:rPr>
                <w:w w:val="99"/>
                <w:sz w:val="20"/>
              </w:rPr>
              <w:t>0</w:t>
            </w:r>
          </w:p>
        </w:tc>
        <w:tc>
          <w:tcPr>
            <w:tcW w:w="1345" w:type="dxa"/>
          </w:tcPr>
          <w:p>
            <w:pPr>
              <w:pStyle w:val="TableParagraph"/>
              <w:spacing w:line="210" w:lineRule="exact" w:before="173"/>
              <w:ind w:left="91" w:right="82"/>
              <w:jc w:val="center"/>
              <w:rPr>
                <w:sz w:val="20"/>
              </w:rPr>
            </w:pPr>
            <w:r>
              <w:rPr>
                <w:sz w:val="20"/>
              </w:rPr>
              <w:t>30,000</w:t>
            </w:r>
          </w:p>
        </w:tc>
        <w:tc>
          <w:tcPr>
            <w:tcW w:w="768" w:type="dxa"/>
          </w:tcPr>
          <w:p>
            <w:pPr>
              <w:pStyle w:val="TableParagraph"/>
              <w:spacing w:line="210" w:lineRule="exact" w:before="173"/>
              <w:ind w:left="88" w:right="79"/>
              <w:jc w:val="center"/>
              <w:rPr>
                <w:sz w:val="20"/>
              </w:rPr>
            </w:pPr>
            <w:r>
              <w:rPr>
                <w:sz w:val="20"/>
              </w:rPr>
              <w:t>100.00</w:t>
            </w:r>
          </w:p>
        </w:tc>
        <w:tc>
          <w:tcPr>
            <w:tcW w:w="766" w:type="dxa"/>
          </w:tcPr>
          <w:p>
            <w:pPr>
              <w:pStyle w:val="TableParagraph"/>
              <w:spacing w:line="210" w:lineRule="exact" w:before="173"/>
              <w:ind w:left="88" w:right="77"/>
              <w:jc w:val="center"/>
              <w:rPr>
                <w:sz w:val="20"/>
              </w:rPr>
            </w:pPr>
            <w:r>
              <w:rPr>
                <w:sz w:val="20"/>
              </w:rPr>
              <w:t>100.00</w:t>
            </w:r>
          </w:p>
        </w:tc>
        <w:tc>
          <w:tcPr>
            <w:tcW w:w="766" w:type="dxa"/>
          </w:tcPr>
          <w:p>
            <w:pPr>
              <w:pStyle w:val="TableParagraph"/>
              <w:spacing w:line="210" w:lineRule="exact" w:before="173"/>
              <w:ind w:left="87" w:right="77"/>
              <w:jc w:val="center"/>
              <w:rPr>
                <w:sz w:val="20"/>
              </w:rPr>
            </w:pPr>
            <w:r>
              <w:rPr>
                <w:sz w:val="20"/>
              </w:rPr>
              <w:t>100.00</w:t>
            </w:r>
          </w:p>
        </w:tc>
      </w:tr>
      <w:tr>
        <w:trPr>
          <w:trHeight w:val="450" w:hRule="atLeast"/>
        </w:trPr>
        <w:tc>
          <w:tcPr>
            <w:tcW w:w="2304" w:type="dxa"/>
          </w:tcPr>
          <w:p>
            <w:pPr>
              <w:pStyle w:val="TableParagraph"/>
              <w:spacing w:before="2"/>
              <w:rPr>
                <w:sz w:val="19"/>
              </w:rPr>
            </w:pPr>
          </w:p>
          <w:p>
            <w:pPr>
              <w:pStyle w:val="TableParagraph"/>
              <w:spacing w:line="210" w:lineRule="exact"/>
              <w:ind w:left="110" w:right="103"/>
              <w:jc w:val="center"/>
              <w:rPr>
                <w:sz w:val="20"/>
              </w:rPr>
            </w:pPr>
            <w:r>
              <w:rPr>
                <w:sz w:val="20"/>
              </w:rPr>
              <w:t>total art.20.30.30</w:t>
            </w:r>
          </w:p>
        </w:tc>
        <w:tc>
          <w:tcPr>
            <w:tcW w:w="1116" w:type="dxa"/>
          </w:tcPr>
          <w:p>
            <w:pPr>
              <w:pStyle w:val="TableParagraph"/>
              <w:spacing w:before="2"/>
              <w:rPr>
                <w:sz w:val="19"/>
              </w:rPr>
            </w:pPr>
          </w:p>
          <w:p>
            <w:pPr>
              <w:pStyle w:val="TableParagraph"/>
              <w:spacing w:line="210" w:lineRule="exact"/>
              <w:ind w:left="88" w:right="77"/>
              <w:jc w:val="center"/>
              <w:rPr>
                <w:sz w:val="20"/>
              </w:rPr>
            </w:pPr>
            <w:r>
              <w:rPr>
                <w:sz w:val="20"/>
              </w:rPr>
              <w:t>3,608,000</w:t>
            </w:r>
          </w:p>
        </w:tc>
        <w:tc>
          <w:tcPr>
            <w:tcW w:w="1296" w:type="dxa"/>
          </w:tcPr>
          <w:p>
            <w:pPr>
              <w:pStyle w:val="TableParagraph"/>
              <w:spacing w:before="2"/>
              <w:rPr>
                <w:sz w:val="19"/>
              </w:rPr>
            </w:pPr>
          </w:p>
          <w:p>
            <w:pPr>
              <w:pStyle w:val="TableParagraph"/>
              <w:spacing w:line="210" w:lineRule="exact"/>
              <w:ind w:left="141" w:right="132"/>
              <w:jc w:val="center"/>
              <w:rPr>
                <w:sz w:val="20"/>
              </w:rPr>
            </w:pPr>
            <w:r>
              <w:rPr>
                <w:sz w:val="20"/>
              </w:rPr>
              <w:t>3,384,129</w:t>
            </w:r>
          </w:p>
        </w:tc>
        <w:tc>
          <w:tcPr>
            <w:tcW w:w="984" w:type="dxa"/>
          </w:tcPr>
          <w:p>
            <w:pPr>
              <w:pStyle w:val="TableParagraph"/>
              <w:spacing w:before="2"/>
              <w:rPr>
                <w:sz w:val="19"/>
              </w:rPr>
            </w:pPr>
          </w:p>
          <w:p>
            <w:pPr>
              <w:pStyle w:val="TableParagraph"/>
              <w:spacing w:line="210" w:lineRule="exact"/>
              <w:ind w:left="151" w:right="141"/>
              <w:jc w:val="center"/>
              <w:rPr>
                <w:sz w:val="20"/>
              </w:rPr>
            </w:pPr>
            <w:r>
              <w:rPr>
                <w:sz w:val="20"/>
              </w:rPr>
              <w:t>93,191</w:t>
            </w:r>
          </w:p>
        </w:tc>
        <w:tc>
          <w:tcPr>
            <w:tcW w:w="1345" w:type="dxa"/>
          </w:tcPr>
          <w:p>
            <w:pPr>
              <w:pStyle w:val="TableParagraph"/>
              <w:spacing w:before="2"/>
              <w:rPr>
                <w:sz w:val="19"/>
              </w:rPr>
            </w:pPr>
          </w:p>
          <w:p>
            <w:pPr>
              <w:pStyle w:val="TableParagraph"/>
              <w:spacing w:line="210" w:lineRule="exact"/>
              <w:ind w:left="91" w:right="83"/>
              <w:jc w:val="center"/>
              <w:rPr>
                <w:sz w:val="20"/>
              </w:rPr>
            </w:pPr>
            <w:r>
              <w:rPr>
                <w:sz w:val="20"/>
              </w:rPr>
              <w:t>3,356,542</w:t>
            </w:r>
          </w:p>
        </w:tc>
        <w:tc>
          <w:tcPr>
            <w:tcW w:w="768" w:type="dxa"/>
          </w:tcPr>
          <w:p>
            <w:pPr>
              <w:pStyle w:val="TableParagraph"/>
              <w:rPr>
                <w:sz w:val="20"/>
              </w:rPr>
            </w:pPr>
          </w:p>
        </w:tc>
        <w:tc>
          <w:tcPr>
            <w:tcW w:w="766" w:type="dxa"/>
          </w:tcPr>
          <w:p>
            <w:pPr>
              <w:pStyle w:val="TableParagraph"/>
              <w:rPr>
                <w:sz w:val="20"/>
              </w:rPr>
            </w:pPr>
          </w:p>
        </w:tc>
        <w:tc>
          <w:tcPr>
            <w:tcW w:w="766" w:type="dxa"/>
          </w:tcPr>
          <w:p>
            <w:pPr>
              <w:pStyle w:val="TableParagraph"/>
              <w:rPr>
                <w:sz w:val="20"/>
              </w:rPr>
            </w:pPr>
          </w:p>
        </w:tc>
      </w:tr>
      <w:tr>
        <w:trPr>
          <w:trHeight w:val="618" w:hRule="atLeast"/>
        </w:trPr>
        <w:tc>
          <w:tcPr>
            <w:tcW w:w="2304" w:type="dxa"/>
          </w:tcPr>
          <w:p>
            <w:pPr>
              <w:pStyle w:val="TableParagraph"/>
              <w:spacing w:line="230" w:lineRule="atLeast" w:before="158"/>
              <w:ind w:left="734" w:right="277" w:hanging="432"/>
              <w:rPr>
                <w:sz w:val="20"/>
              </w:rPr>
            </w:pPr>
            <w:r>
              <w:rPr>
                <w:sz w:val="20"/>
              </w:rPr>
              <w:t>PN proprii DSP (fără imunizări)</w:t>
            </w:r>
          </w:p>
        </w:tc>
        <w:tc>
          <w:tcPr>
            <w:tcW w:w="1116" w:type="dxa"/>
          </w:tcPr>
          <w:p>
            <w:pPr>
              <w:pStyle w:val="TableParagraph"/>
              <w:rPr>
                <w:sz w:val="22"/>
              </w:rPr>
            </w:pPr>
          </w:p>
          <w:p>
            <w:pPr>
              <w:pStyle w:val="TableParagraph"/>
              <w:spacing w:line="210" w:lineRule="exact" w:before="136"/>
              <w:ind w:left="88" w:right="77"/>
              <w:jc w:val="center"/>
              <w:rPr>
                <w:sz w:val="20"/>
              </w:rPr>
            </w:pPr>
            <w:r>
              <w:rPr>
                <w:sz w:val="20"/>
              </w:rPr>
              <w:t>488,000</w:t>
            </w:r>
          </w:p>
        </w:tc>
        <w:tc>
          <w:tcPr>
            <w:tcW w:w="1296" w:type="dxa"/>
          </w:tcPr>
          <w:p>
            <w:pPr>
              <w:pStyle w:val="TableParagraph"/>
              <w:rPr>
                <w:sz w:val="22"/>
              </w:rPr>
            </w:pPr>
          </w:p>
          <w:p>
            <w:pPr>
              <w:pStyle w:val="TableParagraph"/>
              <w:spacing w:line="210" w:lineRule="exact" w:before="136"/>
              <w:ind w:left="141" w:right="132"/>
              <w:jc w:val="center"/>
              <w:rPr>
                <w:sz w:val="20"/>
              </w:rPr>
            </w:pPr>
            <w:r>
              <w:rPr>
                <w:sz w:val="20"/>
              </w:rPr>
              <w:t>15,790</w:t>
            </w:r>
          </w:p>
        </w:tc>
        <w:tc>
          <w:tcPr>
            <w:tcW w:w="984" w:type="dxa"/>
          </w:tcPr>
          <w:p>
            <w:pPr>
              <w:pStyle w:val="TableParagraph"/>
              <w:rPr>
                <w:sz w:val="22"/>
              </w:rPr>
            </w:pPr>
          </w:p>
          <w:p>
            <w:pPr>
              <w:pStyle w:val="TableParagraph"/>
              <w:spacing w:line="210" w:lineRule="exact" w:before="136"/>
              <w:ind w:left="11"/>
              <w:jc w:val="center"/>
              <w:rPr>
                <w:sz w:val="20"/>
              </w:rPr>
            </w:pPr>
            <w:r>
              <w:rPr>
                <w:w w:val="99"/>
                <w:sz w:val="20"/>
              </w:rPr>
              <w:t>0</w:t>
            </w:r>
          </w:p>
        </w:tc>
        <w:tc>
          <w:tcPr>
            <w:tcW w:w="1345" w:type="dxa"/>
          </w:tcPr>
          <w:p>
            <w:pPr>
              <w:pStyle w:val="TableParagraph"/>
              <w:rPr>
                <w:sz w:val="22"/>
              </w:rPr>
            </w:pPr>
          </w:p>
          <w:p>
            <w:pPr>
              <w:pStyle w:val="TableParagraph"/>
              <w:spacing w:line="210" w:lineRule="exact" w:before="136"/>
              <w:ind w:left="91" w:right="82"/>
              <w:jc w:val="center"/>
              <w:rPr>
                <w:sz w:val="20"/>
              </w:rPr>
            </w:pPr>
            <w:r>
              <w:rPr>
                <w:sz w:val="20"/>
              </w:rPr>
              <w:t>15,790</w:t>
            </w:r>
          </w:p>
        </w:tc>
        <w:tc>
          <w:tcPr>
            <w:tcW w:w="768" w:type="dxa"/>
          </w:tcPr>
          <w:p>
            <w:pPr>
              <w:pStyle w:val="TableParagraph"/>
              <w:rPr>
                <w:sz w:val="22"/>
              </w:rPr>
            </w:pPr>
          </w:p>
          <w:p>
            <w:pPr>
              <w:pStyle w:val="TableParagraph"/>
              <w:spacing w:line="210" w:lineRule="exact" w:before="136"/>
              <w:ind w:left="86" w:right="79"/>
              <w:jc w:val="center"/>
              <w:rPr>
                <w:sz w:val="20"/>
              </w:rPr>
            </w:pPr>
            <w:r>
              <w:rPr>
                <w:sz w:val="20"/>
              </w:rPr>
              <w:t>3.24</w:t>
            </w:r>
          </w:p>
        </w:tc>
        <w:tc>
          <w:tcPr>
            <w:tcW w:w="766" w:type="dxa"/>
          </w:tcPr>
          <w:p>
            <w:pPr>
              <w:pStyle w:val="TableParagraph"/>
              <w:rPr>
                <w:sz w:val="22"/>
              </w:rPr>
            </w:pPr>
          </w:p>
          <w:p>
            <w:pPr>
              <w:pStyle w:val="TableParagraph"/>
              <w:spacing w:line="210" w:lineRule="exact" w:before="136"/>
              <w:ind w:left="86" w:right="77"/>
              <w:jc w:val="center"/>
              <w:rPr>
                <w:sz w:val="20"/>
              </w:rPr>
            </w:pPr>
            <w:r>
              <w:rPr>
                <w:sz w:val="20"/>
              </w:rPr>
              <w:t>3.24</w:t>
            </w:r>
          </w:p>
        </w:tc>
        <w:tc>
          <w:tcPr>
            <w:tcW w:w="766" w:type="dxa"/>
          </w:tcPr>
          <w:p>
            <w:pPr>
              <w:pStyle w:val="TableParagraph"/>
              <w:rPr>
                <w:sz w:val="22"/>
              </w:rPr>
            </w:pPr>
          </w:p>
          <w:p>
            <w:pPr>
              <w:pStyle w:val="TableParagraph"/>
              <w:spacing w:line="210" w:lineRule="exact" w:before="136"/>
              <w:ind w:left="87" w:right="77"/>
              <w:jc w:val="center"/>
              <w:rPr>
                <w:sz w:val="20"/>
              </w:rPr>
            </w:pPr>
            <w:r>
              <w:rPr>
                <w:sz w:val="20"/>
              </w:rPr>
              <w:t>100.00</w:t>
            </w:r>
          </w:p>
        </w:tc>
      </w:tr>
      <w:tr>
        <w:trPr>
          <w:trHeight w:val="1149" w:hRule="atLeast"/>
        </w:trPr>
        <w:tc>
          <w:tcPr>
            <w:tcW w:w="2304" w:type="dxa"/>
          </w:tcPr>
          <w:p>
            <w:pPr>
              <w:pStyle w:val="TableParagraph"/>
              <w:ind w:left="107" w:right="456"/>
              <w:rPr>
                <w:sz w:val="20"/>
              </w:rPr>
            </w:pPr>
            <w:r>
              <w:rPr>
                <w:sz w:val="20"/>
              </w:rPr>
              <w:t>Finantarea actiuni de sănătate din cadrul unitatilor sanitare din</w:t>
            </w:r>
          </w:p>
          <w:p>
            <w:pPr>
              <w:pStyle w:val="TableParagraph"/>
              <w:spacing w:line="228" w:lineRule="exact" w:before="6"/>
              <w:ind w:left="107" w:right="106"/>
              <w:rPr>
                <w:sz w:val="20"/>
              </w:rPr>
            </w:pPr>
            <w:r>
              <w:rPr>
                <w:sz w:val="20"/>
              </w:rPr>
              <w:t>reteaua administratiei publice locale (art. 20.31)</w:t>
            </w:r>
          </w:p>
        </w:tc>
        <w:tc>
          <w:tcPr>
            <w:tcW w:w="111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88" w:right="77"/>
              <w:jc w:val="center"/>
              <w:rPr>
                <w:sz w:val="20"/>
              </w:rPr>
            </w:pPr>
            <w:r>
              <w:rPr>
                <w:sz w:val="20"/>
              </w:rPr>
              <w:t>26,204,000</w:t>
            </w:r>
          </w:p>
        </w:tc>
        <w:tc>
          <w:tcPr>
            <w:tcW w:w="129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140" w:right="132"/>
              <w:jc w:val="center"/>
              <w:rPr>
                <w:sz w:val="20"/>
              </w:rPr>
            </w:pPr>
            <w:r>
              <w:rPr>
                <w:sz w:val="20"/>
              </w:rPr>
              <w:t>26,198,948</w:t>
            </w:r>
          </w:p>
        </w:tc>
        <w:tc>
          <w:tcPr>
            <w:tcW w:w="984"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151" w:right="141"/>
              <w:jc w:val="center"/>
              <w:rPr>
                <w:sz w:val="20"/>
              </w:rPr>
            </w:pPr>
            <w:r>
              <w:rPr>
                <w:sz w:val="20"/>
              </w:rPr>
              <w:t>54,202</w:t>
            </w:r>
          </w:p>
        </w:tc>
        <w:tc>
          <w:tcPr>
            <w:tcW w:w="1345"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91" w:right="83"/>
              <w:jc w:val="center"/>
              <w:rPr>
                <w:sz w:val="20"/>
              </w:rPr>
            </w:pPr>
            <w:r>
              <w:rPr>
                <w:sz w:val="20"/>
              </w:rPr>
              <w:t>26,104,180</w:t>
            </w:r>
          </w:p>
        </w:tc>
        <w:tc>
          <w:tcPr>
            <w:tcW w:w="768"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86" w:right="79"/>
              <w:jc w:val="center"/>
              <w:rPr>
                <w:sz w:val="20"/>
              </w:rPr>
            </w:pPr>
            <w:r>
              <w:rPr>
                <w:sz w:val="20"/>
              </w:rPr>
              <w:t>99.98</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86" w:right="77"/>
              <w:jc w:val="center"/>
              <w:rPr>
                <w:sz w:val="20"/>
              </w:rPr>
            </w:pPr>
            <w:r>
              <w:rPr>
                <w:sz w:val="20"/>
              </w:rPr>
              <w:t>99.62</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1"/>
              <w:ind w:left="85" w:right="77"/>
              <w:jc w:val="center"/>
              <w:rPr>
                <w:sz w:val="20"/>
              </w:rPr>
            </w:pPr>
            <w:r>
              <w:rPr>
                <w:sz w:val="20"/>
              </w:rPr>
              <w:t>99.64</w:t>
            </w:r>
          </w:p>
        </w:tc>
      </w:tr>
      <w:tr>
        <w:trPr>
          <w:trHeight w:val="1149" w:hRule="atLeast"/>
        </w:trPr>
        <w:tc>
          <w:tcPr>
            <w:tcW w:w="2304" w:type="dxa"/>
          </w:tcPr>
          <w:p>
            <w:pPr>
              <w:pStyle w:val="TableParagraph"/>
              <w:spacing w:line="230" w:lineRule="exact"/>
              <w:ind w:left="107" w:right="279"/>
              <w:rPr>
                <w:sz w:val="20"/>
              </w:rPr>
            </w:pPr>
            <w:r>
              <w:rPr>
                <w:sz w:val="20"/>
              </w:rPr>
              <w:t>Finantarea asistentei medicale desfasurate in cabinetele medicale din unit. de invătământ (art.20.33)</w:t>
            </w:r>
          </w:p>
        </w:tc>
        <w:tc>
          <w:tcPr>
            <w:tcW w:w="111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88" w:right="77"/>
              <w:jc w:val="center"/>
              <w:rPr>
                <w:sz w:val="20"/>
              </w:rPr>
            </w:pPr>
            <w:r>
              <w:rPr>
                <w:sz w:val="20"/>
              </w:rPr>
              <w:t>37,662,000</w:t>
            </w:r>
          </w:p>
        </w:tc>
        <w:tc>
          <w:tcPr>
            <w:tcW w:w="129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140" w:right="132"/>
              <w:jc w:val="center"/>
              <w:rPr>
                <w:sz w:val="20"/>
              </w:rPr>
            </w:pPr>
            <w:r>
              <w:rPr>
                <w:sz w:val="20"/>
              </w:rPr>
              <w:t>37,663,000</w:t>
            </w:r>
          </w:p>
        </w:tc>
        <w:tc>
          <w:tcPr>
            <w:tcW w:w="984"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153" w:right="141"/>
              <w:jc w:val="center"/>
              <w:rPr>
                <w:sz w:val="20"/>
              </w:rPr>
            </w:pPr>
            <w:r>
              <w:rPr>
                <w:sz w:val="20"/>
              </w:rPr>
              <w:t>1,500</w:t>
            </w:r>
          </w:p>
        </w:tc>
        <w:tc>
          <w:tcPr>
            <w:tcW w:w="1345"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91" w:right="83"/>
              <w:jc w:val="center"/>
              <w:rPr>
                <w:sz w:val="20"/>
              </w:rPr>
            </w:pPr>
            <w:r>
              <w:rPr>
                <w:sz w:val="20"/>
              </w:rPr>
              <w:t>37,521,326</w:t>
            </w:r>
          </w:p>
        </w:tc>
        <w:tc>
          <w:tcPr>
            <w:tcW w:w="768"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88" w:right="79"/>
              <w:jc w:val="center"/>
              <w:rPr>
                <w:sz w:val="20"/>
              </w:rPr>
            </w:pPr>
            <w:r>
              <w:rPr>
                <w:sz w:val="20"/>
              </w:rPr>
              <w:t>100.00</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86" w:right="77"/>
              <w:jc w:val="center"/>
              <w:rPr>
                <w:sz w:val="20"/>
              </w:rPr>
            </w:pPr>
            <w:r>
              <w:rPr>
                <w:sz w:val="20"/>
              </w:rPr>
              <w:t>99.63</w:t>
            </w:r>
          </w:p>
        </w:tc>
        <w:tc>
          <w:tcPr>
            <w:tcW w:w="766" w:type="dxa"/>
          </w:tcPr>
          <w:p>
            <w:pPr>
              <w:pStyle w:val="TableParagraph"/>
              <w:rPr>
                <w:sz w:val="22"/>
              </w:rPr>
            </w:pPr>
          </w:p>
          <w:p>
            <w:pPr>
              <w:pStyle w:val="TableParagraph"/>
              <w:rPr>
                <w:sz w:val="22"/>
              </w:rPr>
            </w:pPr>
          </w:p>
          <w:p>
            <w:pPr>
              <w:pStyle w:val="TableParagraph"/>
              <w:rPr>
                <w:sz w:val="22"/>
              </w:rPr>
            </w:pPr>
          </w:p>
          <w:p>
            <w:pPr>
              <w:pStyle w:val="TableParagraph"/>
              <w:spacing w:line="210" w:lineRule="exact" w:before="160"/>
              <w:ind w:left="85" w:right="77"/>
              <w:jc w:val="center"/>
              <w:rPr>
                <w:sz w:val="20"/>
              </w:rPr>
            </w:pPr>
            <w:r>
              <w:rPr>
                <w:sz w:val="20"/>
              </w:rPr>
              <w:t>99.62</w:t>
            </w:r>
          </w:p>
        </w:tc>
      </w:tr>
      <w:tr>
        <w:trPr>
          <w:trHeight w:val="747" w:hRule="atLeast"/>
        </w:trPr>
        <w:tc>
          <w:tcPr>
            <w:tcW w:w="2304" w:type="dxa"/>
          </w:tcPr>
          <w:p>
            <w:pPr>
              <w:pStyle w:val="TableParagraph"/>
              <w:spacing w:before="59"/>
              <w:ind w:left="333" w:right="322"/>
              <w:jc w:val="center"/>
              <w:rPr>
                <w:sz w:val="20"/>
              </w:rPr>
            </w:pPr>
            <w:r>
              <w:rPr>
                <w:sz w:val="20"/>
              </w:rPr>
              <w:t>Finantarea asistentei medico-sociale (art.</w:t>
            </w:r>
          </w:p>
          <w:p>
            <w:pPr>
              <w:pStyle w:val="TableParagraph"/>
              <w:spacing w:line="208" w:lineRule="exact"/>
              <w:ind w:left="110" w:right="102"/>
              <w:jc w:val="center"/>
              <w:rPr>
                <w:sz w:val="20"/>
              </w:rPr>
            </w:pPr>
            <w:r>
              <w:rPr>
                <w:sz w:val="20"/>
              </w:rPr>
              <w:t>51.01.38)</w:t>
            </w:r>
          </w:p>
        </w:tc>
        <w:tc>
          <w:tcPr>
            <w:tcW w:w="1116" w:type="dxa"/>
          </w:tcPr>
          <w:p>
            <w:pPr>
              <w:pStyle w:val="TableParagraph"/>
              <w:rPr>
                <w:sz w:val="22"/>
              </w:rPr>
            </w:pPr>
          </w:p>
          <w:p>
            <w:pPr>
              <w:pStyle w:val="TableParagraph"/>
              <w:rPr>
                <w:sz w:val="23"/>
              </w:rPr>
            </w:pPr>
          </w:p>
          <w:p>
            <w:pPr>
              <w:pStyle w:val="TableParagraph"/>
              <w:spacing w:line="210" w:lineRule="exact"/>
              <w:ind w:left="88" w:right="77"/>
              <w:jc w:val="center"/>
              <w:rPr>
                <w:sz w:val="20"/>
              </w:rPr>
            </w:pPr>
            <w:r>
              <w:rPr>
                <w:sz w:val="20"/>
              </w:rPr>
              <w:t>1,097,000</w:t>
            </w:r>
          </w:p>
        </w:tc>
        <w:tc>
          <w:tcPr>
            <w:tcW w:w="1296" w:type="dxa"/>
          </w:tcPr>
          <w:p>
            <w:pPr>
              <w:pStyle w:val="TableParagraph"/>
              <w:rPr>
                <w:sz w:val="22"/>
              </w:rPr>
            </w:pPr>
          </w:p>
          <w:p>
            <w:pPr>
              <w:pStyle w:val="TableParagraph"/>
              <w:rPr>
                <w:sz w:val="23"/>
              </w:rPr>
            </w:pPr>
          </w:p>
          <w:p>
            <w:pPr>
              <w:pStyle w:val="TableParagraph"/>
              <w:spacing w:line="210" w:lineRule="exact"/>
              <w:ind w:left="141" w:right="132"/>
              <w:jc w:val="center"/>
              <w:rPr>
                <w:sz w:val="20"/>
              </w:rPr>
            </w:pPr>
            <w:r>
              <w:rPr>
                <w:sz w:val="20"/>
              </w:rPr>
              <w:t>1,097,000</w:t>
            </w:r>
          </w:p>
        </w:tc>
        <w:tc>
          <w:tcPr>
            <w:tcW w:w="984" w:type="dxa"/>
          </w:tcPr>
          <w:p>
            <w:pPr>
              <w:pStyle w:val="TableParagraph"/>
              <w:rPr>
                <w:sz w:val="22"/>
              </w:rPr>
            </w:pPr>
          </w:p>
          <w:p>
            <w:pPr>
              <w:pStyle w:val="TableParagraph"/>
              <w:rPr>
                <w:sz w:val="23"/>
              </w:rPr>
            </w:pPr>
          </w:p>
          <w:p>
            <w:pPr>
              <w:pStyle w:val="TableParagraph"/>
              <w:spacing w:line="210" w:lineRule="exact"/>
              <w:ind w:left="153" w:right="141"/>
              <w:jc w:val="center"/>
              <w:rPr>
                <w:sz w:val="20"/>
              </w:rPr>
            </w:pPr>
            <w:r>
              <w:rPr>
                <w:sz w:val="20"/>
              </w:rPr>
              <w:t>1,331</w:t>
            </w:r>
          </w:p>
        </w:tc>
        <w:tc>
          <w:tcPr>
            <w:tcW w:w="1345" w:type="dxa"/>
          </w:tcPr>
          <w:p>
            <w:pPr>
              <w:pStyle w:val="TableParagraph"/>
              <w:rPr>
                <w:sz w:val="22"/>
              </w:rPr>
            </w:pPr>
          </w:p>
          <w:p>
            <w:pPr>
              <w:pStyle w:val="TableParagraph"/>
              <w:rPr>
                <w:sz w:val="23"/>
              </w:rPr>
            </w:pPr>
          </w:p>
          <w:p>
            <w:pPr>
              <w:pStyle w:val="TableParagraph"/>
              <w:spacing w:line="210" w:lineRule="exact"/>
              <w:ind w:left="91" w:right="83"/>
              <w:jc w:val="center"/>
              <w:rPr>
                <w:sz w:val="20"/>
              </w:rPr>
            </w:pPr>
            <w:r>
              <w:rPr>
                <w:sz w:val="20"/>
              </w:rPr>
              <w:t>1,097,000</w:t>
            </w:r>
          </w:p>
        </w:tc>
        <w:tc>
          <w:tcPr>
            <w:tcW w:w="768" w:type="dxa"/>
          </w:tcPr>
          <w:p>
            <w:pPr>
              <w:pStyle w:val="TableParagraph"/>
              <w:rPr>
                <w:sz w:val="22"/>
              </w:rPr>
            </w:pPr>
          </w:p>
          <w:p>
            <w:pPr>
              <w:pStyle w:val="TableParagraph"/>
              <w:rPr>
                <w:sz w:val="23"/>
              </w:rPr>
            </w:pPr>
          </w:p>
          <w:p>
            <w:pPr>
              <w:pStyle w:val="TableParagraph"/>
              <w:spacing w:line="210" w:lineRule="exact"/>
              <w:ind w:left="88" w:right="79"/>
              <w:jc w:val="center"/>
              <w:rPr>
                <w:sz w:val="20"/>
              </w:rPr>
            </w:pPr>
            <w:r>
              <w:rPr>
                <w:sz w:val="20"/>
              </w:rPr>
              <w:t>100.00</w:t>
            </w:r>
          </w:p>
        </w:tc>
        <w:tc>
          <w:tcPr>
            <w:tcW w:w="766" w:type="dxa"/>
          </w:tcPr>
          <w:p>
            <w:pPr>
              <w:pStyle w:val="TableParagraph"/>
              <w:rPr>
                <w:sz w:val="22"/>
              </w:rPr>
            </w:pPr>
          </w:p>
          <w:p>
            <w:pPr>
              <w:pStyle w:val="TableParagraph"/>
              <w:rPr>
                <w:sz w:val="23"/>
              </w:rPr>
            </w:pPr>
          </w:p>
          <w:p>
            <w:pPr>
              <w:pStyle w:val="TableParagraph"/>
              <w:spacing w:line="210" w:lineRule="exact"/>
              <w:ind w:left="88" w:right="77"/>
              <w:jc w:val="center"/>
              <w:rPr>
                <w:sz w:val="20"/>
              </w:rPr>
            </w:pPr>
            <w:r>
              <w:rPr>
                <w:sz w:val="20"/>
              </w:rPr>
              <w:t>100.00</w:t>
            </w:r>
          </w:p>
        </w:tc>
        <w:tc>
          <w:tcPr>
            <w:tcW w:w="766" w:type="dxa"/>
          </w:tcPr>
          <w:p>
            <w:pPr>
              <w:pStyle w:val="TableParagraph"/>
              <w:rPr>
                <w:sz w:val="22"/>
              </w:rPr>
            </w:pPr>
          </w:p>
          <w:p>
            <w:pPr>
              <w:pStyle w:val="TableParagraph"/>
              <w:rPr>
                <w:sz w:val="23"/>
              </w:rPr>
            </w:pPr>
          </w:p>
          <w:p>
            <w:pPr>
              <w:pStyle w:val="TableParagraph"/>
              <w:spacing w:line="210" w:lineRule="exact"/>
              <w:ind w:left="87" w:right="77"/>
              <w:jc w:val="center"/>
              <w:rPr>
                <w:sz w:val="20"/>
              </w:rPr>
            </w:pPr>
            <w:r>
              <w:rPr>
                <w:sz w:val="20"/>
              </w:rPr>
              <w:t>100.00</w:t>
            </w:r>
          </w:p>
        </w:tc>
      </w:tr>
      <w:tr>
        <w:trPr>
          <w:trHeight w:val="751" w:hRule="atLeast"/>
        </w:trPr>
        <w:tc>
          <w:tcPr>
            <w:tcW w:w="2304" w:type="dxa"/>
          </w:tcPr>
          <w:p>
            <w:pPr>
              <w:pStyle w:val="TableParagraph"/>
              <w:spacing w:line="230" w:lineRule="atLeast" w:before="60"/>
              <w:ind w:left="110" w:right="99"/>
              <w:jc w:val="center"/>
              <w:rPr>
                <w:sz w:val="20"/>
              </w:rPr>
            </w:pPr>
            <w:r>
              <w:rPr>
                <w:sz w:val="20"/>
              </w:rPr>
              <w:t>Finantarea asistentei medicale comunitare art.51.01.45</w:t>
            </w:r>
          </w:p>
        </w:tc>
        <w:tc>
          <w:tcPr>
            <w:tcW w:w="1116" w:type="dxa"/>
          </w:tcPr>
          <w:p>
            <w:pPr>
              <w:pStyle w:val="TableParagraph"/>
              <w:rPr>
                <w:sz w:val="22"/>
              </w:rPr>
            </w:pPr>
          </w:p>
          <w:p>
            <w:pPr>
              <w:pStyle w:val="TableParagraph"/>
              <w:spacing w:before="3"/>
              <w:rPr>
                <w:sz w:val="23"/>
              </w:rPr>
            </w:pPr>
          </w:p>
          <w:p>
            <w:pPr>
              <w:pStyle w:val="TableParagraph"/>
              <w:spacing w:line="210" w:lineRule="exact"/>
              <w:ind w:left="88" w:right="77"/>
              <w:jc w:val="center"/>
              <w:rPr>
                <w:sz w:val="20"/>
              </w:rPr>
            </w:pPr>
            <w:r>
              <w:rPr>
                <w:sz w:val="20"/>
              </w:rPr>
              <w:t>234,000</w:t>
            </w:r>
          </w:p>
        </w:tc>
        <w:tc>
          <w:tcPr>
            <w:tcW w:w="1296" w:type="dxa"/>
          </w:tcPr>
          <w:p>
            <w:pPr>
              <w:pStyle w:val="TableParagraph"/>
              <w:rPr>
                <w:sz w:val="22"/>
              </w:rPr>
            </w:pPr>
          </w:p>
          <w:p>
            <w:pPr>
              <w:pStyle w:val="TableParagraph"/>
              <w:spacing w:before="3"/>
              <w:rPr>
                <w:sz w:val="23"/>
              </w:rPr>
            </w:pPr>
          </w:p>
          <w:p>
            <w:pPr>
              <w:pStyle w:val="TableParagraph"/>
              <w:spacing w:line="210" w:lineRule="exact"/>
              <w:ind w:left="141" w:right="132"/>
              <w:jc w:val="center"/>
              <w:rPr>
                <w:sz w:val="20"/>
              </w:rPr>
            </w:pPr>
            <w:r>
              <w:rPr>
                <w:sz w:val="20"/>
              </w:rPr>
              <w:t>234,000</w:t>
            </w:r>
          </w:p>
        </w:tc>
        <w:tc>
          <w:tcPr>
            <w:tcW w:w="984" w:type="dxa"/>
          </w:tcPr>
          <w:p>
            <w:pPr>
              <w:pStyle w:val="TableParagraph"/>
              <w:rPr>
                <w:sz w:val="22"/>
              </w:rPr>
            </w:pPr>
          </w:p>
          <w:p>
            <w:pPr>
              <w:pStyle w:val="TableParagraph"/>
              <w:spacing w:before="3"/>
              <w:rPr>
                <w:sz w:val="23"/>
              </w:rPr>
            </w:pPr>
          </w:p>
          <w:p>
            <w:pPr>
              <w:pStyle w:val="TableParagraph"/>
              <w:spacing w:line="210" w:lineRule="exact"/>
              <w:ind w:left="153" w:right="141"/>
              <w:jc w:val="center"/>
              <w:rPr>
                <w:sz w:val="20"/>
              </w:rPr>
            </w:pPr>
            <w:r>
              <w:rPr>
                <w:sz w:val="20"/>
              </w:rPr>
              <w:t>5,976</w:t>
            </w:r>
          </w:p>
        </w:tc>
        <w:tc>
          <w:tcPr>
            <w:tcW w:w="1345" w:type="dxa"/>
          </w:tcPr>
          <w:p>
            <w:pPr>
              <w:pStyle w:val="TableParagraph"/>
              <w:rPr>
                <w:sz w:val="22"/>
              </w:rPr>
            </w:pPr>
          </w:p>
          <w:p>
            <w:pPr>
              <w:pStyle w:val="TableParagraph"/>
              <w:spacing w:before="3"/>
              <w:rPr>
                <w:sz w:val="23"/>
              </w:rPr>
            </w:pPr>
          </w:p>
          <w:p>
            <w:pPr>
              <w:pStyle w:val="TableParagraph"/>
              <w:spacing w:line="210" w:lineRule="exact"/>
              <w:ind w:left="91" w:right="82"/>
              <w:jc w:val="center"/>
              <w:rPr>
                <w:sz w:val="20"/>
              </w:rPr>
            </w:pPr>
            <w:r>
              <w:rPr>
                <w:sz w:val="20"/>
              </w:rPr>
              <w:t>233,614</w:t>
            </w:r>
          </w:p>
        </w:tc>
        <w:tc>
          <w:tcPr>
            <w:tcW w:w="768" w:type="dxa"/>
          </w:tcPr>
          <w:p>
            <w:pPr>
              <w:pStyle w:val="TableParagraph"/>
              <w:rPr>
                <w:sz w:val="22"/>
              </w:rPr>
            </w:pPr>
          </w:p>
          <w:p>
            <w:pPr>
              <w:pStyle w:val="TableParagraph"/>
              <w:spacing w:before="3"/>
              <w:rPr>
                <w:sz w:val="23"/>
              </w:rPr>
            </w:pPr>
          </w:p>
          <w:p>
            <w:pPr>
              <w:pStyle w:val="TableParagraph"/>
              <w:spacing w:line="210" w:lineRule="exact"/>
              <w:ind w:left="88" w:right="79"/>
              <w:jc w:val="center"/>
              <w:rPr>
                <w:sz w:val="20"/>
              </w:rPr>
            </w:pPr>
            <w:r>
              <w:rPr>
                <w:sz w:val="20"/>
              </w:rPr>
              <w:t>100.00</w:t>
            </w:r>
          </w:p>
        </w:tc>
        <w:tc>
          <w:tcPr>
            <w:tcW w:w="766" w:type="dxa"/>
          </w:tcPr>
          <w:p>
            <w:pPr>
              <w:pStyle w:val="TableParagraph"/>
              <w:rPr>
                <w:sz w:val="22"/>
              </w:rPr>
            </w:pPr>
          </w:p>
          <w:p>
            <w:pPr>
              <w:pStyle w:val="TableParagraph"/>
              <w:spacing w:before="3"/>
              <w:rPr>
                <w:sz w:val="23"/>
              </w:rPr>
            </w:pPr>
          </w:p>
          <w:p>
            <w:pPr>
              <w:pStyle w:val="TableParagraph"/>
              <w:spacing w:line="210" w:lineRule="exact"/>
              <w:ind w:left="86" w:right="77"/>
              <w:jc w:val="center"/>
              <w:rPr>
                <w:sz w:val="20"/>
              </w:rPr>
            </w:pPr>
            <w:r>
              <w:rPr>
                <w:sz w:val="20"/>
              </w:rPr>
              <w:t>99.84</w:t>
            </w:r>
          </w:p>
        </w:tc>
        <w:tc>
          <w:tcPr>
            <w:tcW w:w="766" w:type="dxa"/>
          </w:tcPr>
          <w:p>
            <w:pPr>
              <w:pStyle w:val="TableParagraph"/>
              <w:rPr>
                <w:sz w:val="22"/>
              </w:rPr>
            </w:pPr>
          </w:p>
          <w:p>
            <w:pPr>
              <w:pStyle w:val="TableParagraph"/>
              <w:spacing w:before="3"/>
              <w:rPr>
                <w:sz w:val="23"/>
              </w:rPr>
            </w:pPr>
          </w:p>
          <w:p>
            <w:pPr>
              <w:pStyle w:val="TableParagraph"/>
              <w:spacing w:line="210" w:lineRule="exact"/>
              <w:ind w:left="85" w:right="77"/>
              <w:jc w:val="center"/>
              <w:rPr>
                <w:sz w:val="20"/>
              </w:rPr>
            </w:pPr>
            <w:r>
              <w:rPr>
                <w:sz w:val="20"/>
              </w:rPr>
              <w:t>99.84</w:t>
            </w:r>
          </w:p>
        </w:tc>
      </w:tr>
      <w:tr>
        <w:trPr>
          <w:trHeight w:val="460" w:hRule="atLeast"/>
        </w:trPr>
        <w:tc>
          <w:tcPr>
            <w:tcW w:w="2304" w:type="dxa"/>
          </w:tcPr>
          <w:p>
            <w:pPr>
              <w:pStyle w:val="TableParagraph"/>
              <w:spacing w:line="230" w:lineRule="atLeast"/>
              <w:ind w:left="734" w:right="108" w:hanging="601"/>
              <w:rPr>
                <w:sz w:val="20"/>
              </w:rPr>
            </w:pPr>
            <w:r>
              <w:rPr>
                <w:sz w:val="20"/>
              </w:rPr>
              <w:t>Transferuri de capital art. (51.02.22)</w:t>
            </w:r>
          </w:p>
        </w:tc>
        <w:tc>
          <w:tcPr>
            <w:tcW w:w="1116" w:type="dxa"/>
          </w:tcPr>
          <w:p>
            <w:pPr>
              <w:pStyle w:val="TableParagraph"/>
              <w:rPr>
                <w:sz w:val="20"/>
              </w:rPr>
            </w:pPr>
          </w:p>
          <w:p>
            <w:pPr>
              <w:pStyle w:val="TableParagraph"/>
              <w:spacing w:line="210" w:lineRule="exact"/>
              <w:ind w:left="88" w:right="77"/>
              <w:jc w:val="center"/>
              <w:rPr>
                <w:sz w:val="20"/>
              </w:rPr>
            </w:pPr>
            <w:r>
              <w:rPr>
                <w:sz w:val="20"/>
              </w:rPr>
              <w:t>2,802,000</w:t>
            </w:r>
          </w:p>
        </w:tc>
        <w:tc>
          <w:tcPr>
            <w:tcW w:w="1296" w:type="dxa"/>
          </w:tcPr>
          <w:p>
            <w:pPr>
              <w:pStyle w:val="TableParagraph"/>
              <w:rPr>
                <w:sz w:val="20"/>
              </w:rPr>
            </w:pPr>
          </w:p>
          <w:p>
            <w:pPr>
              <w:pStyle w:val="TableParagraph"/>
              <w:spacing w:line="210" w:lineRule="exact"/>
              <w:ind w:left="141" w:right="132"/>
              <w:jc w:val="center"/>
              <w:rPr>
                <w:sz w:val="20"/>
              </w:rPr>
            </w:pPr>
            <w:r>
              <w:rPr>
                <w:sz w:val="20"/>
              </w:rPr>
              <w:t>2,802,000</w:t>
            </w:r>
          </w:p>
        </w:tc>
        <w:tc>
          <w:tcPr>
            <w:tcW w:w="984" w:type="dxa"/>
          </w:tcPr>
          <w:p>
            <w:pPr>
              <w:pStyle w:val="TableParagraph"/>
              <w:rPr>
                <w:sz w:val="20"/>
              </w:rPr>
            </w:pPr>
          </w:p>
          <w:p>
            <w:pPr>
              <w:pStyle w:val="TableParagraph"/>
              <w:spacing w:line="210" w:lineRule="exact"/>
              <w:ind w:left="11"/>
              <w:jc w:val="center"/>
              <w:rPr>
                <w:sz w:val="20"/>
              </w:rPr>
            </w:pPr>
            <w:r>
              <w:rPr>
                <w:w w:val="99"/>
                <w:sz w:val="20"/>
              </w:rPr>
              <w:t>0</w:t>
            </w:r>
          </w:p>
        </w:tc>
        <w:tc>
          <w:tcPr>
            <w:tcW w:w="1345" w:type="dxa"/>
          </w:tcPr>
          <w:p>
            <w:pPr>
              <w:pStyle w:val="TableParagraph"/>
              <w:rPr>
                <w:sz w:val="20"/>
              </w:rPr>
            </w:pPr>
          </w:p>
          <w:p>
            <w:pPr>
              <w:pStyle w:val="TableParagraph"/>
              <w:spacing w:line="210" w:lineRule="exact"/>
              <w:ind w:left="91" w:right="83"/>
              <w:jc w:val="center"/>
              <w:rPr>
                <w:sz w:val="20"/>
              </w:rPr>
            </w:pPr>
            <w:r>
              <w:rPr>
                <w:sz w:val="20"/>
              </w:rPr>
              <w:t>2,802,000</w:t>
            </w:r>
          </w:p>
        </w:tc>
        <w:tc>
          <w:tcPr>
            <w:tcW w:w="768" w:type="dxa"/>
          </w:tcPr>
          <w:p>
            <w:pPr>
              <w:pStyle w:val="TableParagraph"/>
              <w:rPr>
                <w:sz w:val="20"/>
              </w:rPr>
            </w:pPr>
          </w:p>
          <w:p>
            <w:pPr>
              <w:pStyle w:val="TableParagraph"/>
              <w:spacing w:line="210" w:lineRule="exact"/>
              <w:ind w:left="88" w:right="79"/>
              <w:jc w:val="center"/>
              <w:rPr>
                <w:sz w:val="20"/>
              </w:rPr>
            </w:pPr>
            <w:r>
              <w:rPr>
                <w:sz w:val="20"/>
              </w:rPr>
              <w:t>100.00</w:t>
            </w:r>
          </w:p>
        </w:tc>
        <w:tc>
          <w:tcPr>
            <w:tcW w:w="766" w:type="dxa"/>
          </w:tcPr>
          <w:p>
            <w:pPr>
              <w:pStyle w:val="TableParagraph"/>
              <w:rPr>
                <w:sz w:val="20"/>
              </w:rPr>
            </w:pPr>
          </w:p>
          <w:p>
            <w:pPr>
              <w:pStyle w:val="TableParagraph"/>
              <w:spacing w:line="210" w:lineRule="exact"/>
              <w:ind w:left="88" w:right="77"/>
              <w:jc w:val="center"/>
              <w:rPr>
                <w:sz w:val="20"/>
              </w:rPr>
            </w:pPr>
            <w:r>
              <w:rPr>
                <w:sz w:val="20"/>
              </w:rPr>
              <w:t>100.00</w:t>
            </w:r>
          </w:p>
        </w:tc>
        <w:tc>
          <w:tcPr>
            <w:tcW w:w="766" w:type="dxa"/>
          </w:tcPr>
          <w:p>
            <w:pPr>
              <w:pStyle w:val="TableParagraph"/>
              <w:rPr>
                <w:sz w:val="20"/>
              </w:rPr>
            </w:pPr>
          </w:p>
          <w:p>
            <w:pPr>
              <w:pStyle w:val="TableParagraph"/>
              <w:spacing w:line="210" w:lineRule="exact"/>
              <w:ind w:left="87" w:right="77"/>
              <w:jc w:val="center"/>
              <w:rPr>
                <w:sz w:val="20"/>
              </w:rPr>
            </w:pPr>
            <w:r>
              <w:rPr>
                <w:sz w:val="20"/>
              </w:rPr>
              <w:t>100.00</w:t>
            </w:r>
          </w:p>
        </w:tc>
      </w:tr>
    </w:tbl>
    <w:p>
      <w:pPr>
        <w:pStyle w:val="BodyText"/>
        <w:ind w:left="0"/>
        <w:rPr>
          <w:sz w:val="20"/>
        </w:rPr>
      </w:pPr>
    </w:p>
    <w:p>
      <w:pPr>
        <w:pStyle w:val="BodyText"/>
        <w:ind w:left="0"/>
        <w:rPr>
          <w:sz w:val="20"/>
        </w:rPr>
      </w:pPr>
    </w:p>
    <w:p>
      <w:pPr>
        <w:pStyle w:val="BodyText"/>
        <w:spacing w:before="7"/>
        <w:ind w:left="0"/>
        <w:rPr>
          <w:sz w:val="26"/>
        </w:rPr>
      </w:pPr>
    </w:p>
    <w:p>
      <w:pPr>
        <w:spacing w:after="0"/>
        <w:rPr>
          <w:sz w:val="26"/>
        </w:rPr>
        <w:sectPr>
          <w:type w:val="continuous"/>
          <w:pgSz w:w="11910" w:h="16840"/>
          <w:pgMar w:top="1280" w:bottom="280" w:left="400" w:right="0"/>
        </w:sectPr>
      </w:pPr>
    </w:p>
    <w:p>
      <w:pPr>
        <w:pStyle w:val="BodyText"/>
        <w:spacing w:before="90"/>
        <w:ind w:left="4033" w:right="-19" w:firstLine="436"/>
      </w:pPr>
      <w:r>
        <w:rPr/>
        <w:t>Execuţie bugetară Venituri proprii MS-accize</w:t>
      </w:r>
    </w:p>
    <w:p>
      <w:pPr>
        <w:pStyle w:val="BodyText"/>
        <w:ind w:left="0"/>
        <w:rPr>
          <w:sz w:val="26"/>
        </w:rPr>
      </w:pPr>
      <w:r>
        <w:rPr/>
        <w:br w:type="column"/>
      </w:r>
      <w:r>
        <w:rPr>
          <w:sz w:val="26"/>
        </w:rPr>
      </w:r>
    </w:p>
    <w:p>
      <w:pPr>
        <w:pStyle w:val="BodyText"/>
        <w:spacing w:before="9"/>
        <w:ind w:left="0"/>
        <w:rPr>
          <w:sz w:val="29"/>
        </w:rPr>
      </w:pPr>
    </w:p>
    <w:p>
      <w:pPr>
        <w:pStyle w:val="BodyText"/>
        <w:ind w:left="1357"/>
      </w:pPr>
      <w:r>
        <w:rPr/>
        <w:t>în lei</w:t>
      </w:r>
    </w:p>
    <w:p>
      <w:pPr>
        <w:spacing w:after="0"/>
        <w:sectPr>
          <w:type w:val="continuous"/>
          <w:pgSz w:w="11910" w:h="16840"/>
          <w:pgMar w:top="1280" w:bottom="280" w:left="400" w:right="0"/>
          <w:cols w:num="2" w:equalWidth="0">
            <w:col w:w="6634" w:space="40"/>
            <w:col w:w="4836"/>
          </w:cols>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217"/>
        <w:gridCol w:w="1442"/>
        <w:gridCol w:w="993"/>
        <w:gridCol w:w="1394"/>
        <w:gridCol w:w="724"/>
        <w:gridCol w:w="722"/>
        <w:gridCol w:w="828"/>
      </w:tblGrid>
      <w:tr>
        <w:trPr>
          <w:trHeight w:val="510" w:hRule="atLeast"/>
        </w:trPr>
        <w:tc>
          <w:tcPr>
            <w:tcW w:w="2201" w:type="dxa"/>
          </w:tcPr>
          <w:p>
            <w:pPr>
              <w:pStyle w:val="TableParagraph"/>
              <w:spacing w:before="5"/>
              <w:rPr>
                <w:sz w:val="24"/>
              </w:rPr>
            </w:pPr>
          </w:p>
          <w:p>
            <w:pPr>
              <w:pStyle w:val="TableParagraph"/>
              <w:spacing w:line="210" w:lineRule="exact"/>
              <w:ind w:left="230"/>
              <w:rPr>
                <w:sz w:val="20"/>
              </w:rPr>
            </w:pPr>
            <w:r>
              <w:rPr>
                <w:sz w:val="20"/>
              </w:rPr>
              <w:t>Articole de cheltuieli</w:t>
            </w:r>
          </w:p>
        </w:tc>
        <w:tc>
          <w:tcPr>
            <w:tcW w:w="1217" w:type="dxa"/>
          </w:tcPr>
          <w:p>
            <w:pPr>
              <w:pStyle w:val="TableParagraph"/>
              <w:spacing w:before="5"/>
              <w:rPr>
                <w:sz w:val="24"/>
              </w:rPr>
            </w:pPr>
          </w:p>
          <w:p>
            <w:pPr>
              <w:pStyle w:val="TableParagraph"/>
              <w:spacing w:line="210" w:lineRule="exact"/>
              <w:ind w:left="348" w:right="340"/>
              <w:jc w:val="center"/>
              <w:rPr>
                <w:sz w:val="20"/>
              </w:rPr>
            </w:pPr>
            <w:r>
              <w:rPr>
                <w:sz w:val="20"/>
              </w:rPr>
              <w:t>Buget</w:t>
            </w:r>
          </w:p>
        </w:tc>
        <w:tc>
          <w:tcPr>
            <w:tcW w:w="1442" w:type="dxa"/>
          </w:tcPr>
          <w:p>
            <w:pPr>
              <w:pStyle w:val="TableParagraph"/>
              <w:spacing w:before="5"/>
              <w:rPr>
                <w:sz w:val="24"/>
              </w:rPr>
            </w:pPr>
          </w:p>
          <w:p>
            <w:pPr>
              <w:pStyle w:val="TableParagraph"/>
              <w:spacing w:line="210" w:lineRule="exact"/>
              <w:ind w:left="101" w:right="96"/>
              <w:jc w:val="center"/>
              <w:rPr>
                <w:sz w:val="20"/>
              </w:rPr>
            </w:pPr>
            <w:r>
              <w:rPr>
                <w:sz w:val="20"/>
              </w:rPr>
              <w:t>Finantare M.S.</w:t>
            </w:r>
          </w:p>
        </w:tc>
        <w:tc>
          <w:tcPr>
            <w:tcW w:w="993" w:type="dxa"/>
          </w:tcPr>
          <w:p>
            <w:pPr>
              <w:pStyle w:val="TableParagraph"/>
              <w:spacing w:before="5"/>
              <w:rPr>
                <w:sz w:val="24"/>
              </w:rPr>
            </w:pPr>
          </w:p>
          <w:p>
            <w:pPr>
              <w:pStyle w:val="TableParagraph"/>
              <w:spacing w:line="210" w:lineRule="exact"/>
              <w:ind w:left="104" w:right="94"/>
              <w:jc w:val="center"/>
              <w:rPr>
                <w:sz w:val="20"/>
              </w:rPr>
            </w:pPr>
            <w:r>
              <w:rPr>
                <w:sz w:val="20"/>
              </w:rPr>
              <w:t>Restituiri</w:t>
            </w:r>
          </w:p>
        </w:tc>
        <w:tc>
          <w:tcPr>
            <w:tcW w:w="1394" w:type="dxa"/>
          </w:tcPr>
          <w:p>
            <w:pPr>
              <w:pStyle w:val="TableParagraph"/>
              <w:spacing w:line="230" w:lineRule="atLeast" w:before="50"/>
              <w:ind w:left="141" w:right="124" w:firstLine="374"/>
              <w:rPr>
                <w:sz w:val="20"/>
              </w:rPr>
            </w:pPr>
            <w:r>
              <w:rPr>
                <w:sz w:val="20"/>
              </w:rPr>
              <w:t>Plati (fara restituri)</w:t>
            </w:r>
          </w:p>
        </w:tc>
        <w:tc>
          <w:tcPr>
            <w:tcW w:w="724" w:type="dxa"/>
          </w:tcPr>
          <w:p>
            <w:pPr>
              <w:pStyle w:val="TableParagraph"/>
              <w:spacing w:before="5"/>
              <w:rPr>
                <w:sz w:val="24"/>
              </w:rPr>
            </w:pPr>
          </w:p>
          <w:p>
            <w:pPr>
              <w:pStyle w:val="TableParagraph"/>
              <w:spacing w:line="210" w:lineRule="exact"/>
              <w:ind w:left="14"/>
              <w:jc w:val="center"/>
              <w:rPr>
                <w:sz w:val="20"/>
              </w:rPr>
            </w:pPr>
            <w:r>
              <w:rPr>
                <w:w w:val="99"/>
                <w:sz w:val="20"/>
              </w:rPr>
              <w:t>%</w:t>
            </w:r>
          </w:p>
        </w:tc>
        <w:tc>
          <w:tcPr>
            <w:tcW w:w="722" w:type="dxa"/>
          </w:tcPr>
          <w:p>
            <w:pPr>
              <w:pStyle w:val="TableParagraph"/>
              <w:spacing w:before="5"/>
              <w:rPr>
                <w:sz w:val="24"/>
              </w:rPr>
            </w:pPr>
          </w:p>
          <w:p>
            <w:pPr>
              <w:pStyle w:val="TableParagraph"/>
              <w:spacing w:line="210" w:lineRule="exact"/>
              <w:ind w:left="17"/>
              <w:jc w:val="center"/>
              <w:rPr>
                <w:sz w:val="20"/>
              </w:rPr>
            </w:pPr>
            <w:r>
              <w:rPr>
                <w:w w:val="99"/>
                <w:sz w:val="20"/>
              </w:rPr>
              <w:t>%</w:t>
            </w:r>
          </w:p>
        </w:tc>
        <w:tc>
          <w:tcPr>
            <w:tcW w:w="828" w:type="dxa"/>
          </w:tcPr>
          <w:p>
            <w:pPr>
              <w:pStyle w:val="TableParagraph"/>
              <w:spacing w:before="5"/>
              <w:rPr>
                <w:sz w:val="24"/>
              </w:rPr>
            </w:pPr>
          </w:p>
          <w:p>
            <w:pPr>
              <w:pStyle w:val="TableParagraph"/>
              <w:spacing w:line="210" w:lineRule="exact"/>
              <w:ind w:left="18"/>
              <w:jc w:val="center"/>
              <w:rPr>
                <w:sz w:val="20"/>
              </w:rPr>
            </w:pPr>
            <w:r>
              <w:rPr>
                <w:w w:val="99"/>
                <w:sz w:val="20"/>
              </w:rPr>
              <w:t>%</w:t>
            </w:r>
          </w:p>
        </w:tc>
      </w:tr>
      <w:tr>
        <w:trPr>
          <w:trHeight w:val="285" w:hRule="atLeast"/>
        </w:trPr>
        <w:tc>
          <w:tcPr>
            <w:tcW w:w="2201" w:type="dxa"/>
          </w:tcPr>
          <w:p>
            <w:pPr>
              <w:pStyle w:val="TableParagraph"/>
              <w:rPr>
                <w:sz w:val="20"/>
              </w:rPr>
            </w:pPr>
          </w:p>
        </w:tc>
        <w:tc>
          <w:tcPr>
            <w:tcW w:w="1217" w:type="dxa"/>
          </w:tcPr>
          <w:p>
            <w:pPr>
              <w:pStyle w:val="TableParagraph"/>
              <w:spacing w:line="210" w:lineRule="exact" w:before="55"/>
              <w:ind w:left="7"/>
              <w:jc w:val="center"/>
              <w:rPr>
                <w:sz w:val="20"/>
              </w:rPr>
            </w:pPr>
            <w:r>
              <w:rPr>
                <w:w w:val="99"/>
                <w:sz w:val="20"/>
              </w:rPr>
              <w:t>1</w:t>
            </w:r>
          </w:p>
        </w:tc>
        <w:tc>
          <w:tcPr>
            <w:tcW w:w="1442" w:type="dxa"/>
          </w:tcPr>
          <w:p>
            <w:pPr>
              <w:pStyle w:val="TableParagraph"/>
              <w:spacing w:line="210" w:lineRule="exact" w:before="55"/>
              <w:ind w:left="7"/>
              <w:jc w:val="center"/>
              <w:rPr>
                <w:sz w:val="20"/>
              </w:rPr>
            </w:pPr>
            <w:r>
              <w:rPr>
                <w:w w:val="99"/>
                <w:sz w:val="20"/>
              </w:rPr>
              <w:t>2</w:t>
            </w:r>
          </w:p>
        </w:tc>
        <w:tc>
          <w:tcPr>
            <w:tcW w:w="993" w:type="dxa"/>
          </w:tcPr>
          <w:p>
            <w:pPr>
              <w:pStyle w:val="TableParagraph"/>
              <w:spacing w:line="210" w:lineRule="exact" w:before="55"/>
              <w:ind w:left="11"/>
              <w:jc w:val="center"/>
              <w:rPr>
                <w:sz w:val="20"/>
              </w:rPr>
            </w:pPr>
            <w:r>
              <w:rPr>
                <w:w w:val="99"/>
                <w:sz w:val="20"/>
              </w:rPr>
              <w:t>3</w:t>
            </w:r>
          </w:p>
        </w:tc>
        <w:tc>
          <w:tcPr>
            <w:tcW w:w="1394" w:type="dxa"/>
          </w:tcPr>
          <w:p>
            <w:pPr>
              <w:pStyle w:val="TableParagraph"/>
              <w:spacing w:line="210" w:lineRule="exact" w:before="55"/>
              <w:ind w:left="15"/>
              <w:jc w:val="center"/>
              <w:rPr>
                <w:sz w:val="20"/>
              </w:rPr>
            </w:pPr>
            <w:r>
              <w:rPr>
                <w:w w:val="99"/>
                <w:sz w:val="20"/>
              </w:rPr>
              <w:t>4</w:t>
            </w:r>
          </w:p>
        </w:tc>
        <w:tc>
          <w:tcPr>
            <w:tcW w:w="724" w:type="dxa"/>
          </w:tcPr>
          <w:p>
            <w:pPr>
              <w:pStyle w:val="TableParagraph"/>
              <w:spacing w:line="210" w:lineRule="exact" w:before="55"/>
              <w:ind w:left="109" w:right="95"/>
              <w:jc w:val="center"/>
              <w:rPr>
                <w:sz w:val="20"/>
              </w:rPr>
            </w:pPr>
            <w:r>
              <w:rPr>
                <w:sz w:val="20"/>
              </w:rPr>
              <w:t>5=2/1</w:t>
            </w:r>
          </w:p>
        </w:tc>
        <w:tc>
          <w:tcPr>
            <w:tcW w:w="722" w:type="dxa"/>
          </w:tcPr>
          <w:p>
            <w:pPr>
              <w:pStyle w:val="TableParagraph"/>
              <w:spacing w:line="210" w:lineRule="exact" w:before="55"/>
              <w:ind w:left="110" w:right="92"/>
              <w:jc w:val="center"/>
              <w:rPr>
                <w:sz w:val="20"/>
              </w:rPr>
            </w:pPr>
            <w:r>
              <w:rPr>
                <w:sz w:val="20"/>
              </w:rPr>
              <w:t>6=4/1</w:t>
            </w:r>
          </w:p>
        </w:tc>
        <w:tc>
          <w:tcPr>
            <w:tcW w:w="828" w:type="dxa"/>
          </w:tcPr>
          <w:p>
            <w:pPr>
              <w:pStyle w:val="TableParagraph"/>
              <w:spacing w:line="210" w:lineRule="exact" w:before="55"/>
              <w:ind w:left="122" w:right="104"/>
              <w:jc w:val="center"/>
              <w:rPr>
                <w:sz w:val="20"/>
              </w:rPr>
            </w:pPr>
            <w:r>
              <w:rPr>
                <w:sz w:val="20"/>
              </w:rPr>
              <w:t>7=4/2</w:t>
            </w:r>
          </w:p>
        </w:tc>
      </w:tr>
    </w:tbl>
    <w:p>
      <w:pPr>
        <w:spacing w:after="0" w:line="210" w:lineRule="exact"/>
        <w:jc w:val="center"/>
        <w:rPr>
          <w:sz w:val="20"/>
        </w:rPr>
        <w:sectPr>
          <w:type w:val="continuous"/>
          <w:pgSz w:w="11910" w:h="16840"/>
          <w:pgMar w:top="1280" w:bottom="280" w:left="400" w:right="0"/>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217"/>
        <w:gridCol w:w="1442"/>
        <w:gridCol w:w="993"/>
        <w:gridCol w:w="1394"/>
        <w:gridCol w:w="724"/>
        <w:gridCol w:w="722"/>
        <w:gridCol w:w="828"/>
      </w:tblGrid>
      <w:tr>
        <w:trPr>
          <w:trHeight w:val="1149" w:hRule="atLeast"/>
        </w:trPr>
        <w:tc>
          <w:tcPr>
            <w:tcW w:w="2201" w:type="dxa"/>
            <w:tcBorders>
              <w:top w:val="nil"/>
            </w:tcBorders>
          </w:tcPr>
          <w:p>
            <w:pPr>
              <w:pStyle w:val="TableParagraph"/>
              <w:ind w:left="107"/>
              <w:rPr>
                <w:sz w:val="20"/>
              </w:rPr>
            </w:pPr>
            <w:r>
              <w:rPr>
                <w:sz w:val="20"/>
              </w:rPr>
              <w:t>Finantarea din veniturile proprii ale Ministerului Sanatatii pentru</w:t>
            </w:r>
          </w:p>
          <w:p>
            <w:pPr>
              <w:pStyle w:val="TableParagraph"/>
              <w:spacing w:line="230" w:lineRule="exact"/>
              <w:ind w:left="107" w:right="208"/>
              <w:rPr>
                <w:sz w:val="20"/>
              </w:rPr>
            </w:pPr>
            <w:r>
              <w:rPr>
                <w:sz w:val="20"/>
              </w:rPr>
              <w:t>programele (PN AAPL 20,35)</w:t>
            </w:r>
          </w:p>
        </w:tc>
        <w:tc>
          <w:tcPr>
            <w:tcW w:w="1217"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58"/>
              <w:rPr>
                <w:sz w:val="20"/>
              </w:rPr>
            </w:pPr>
            <w:r>
              <w:rPr>
                <w:sz w:val="20"/>
              </w:rPr>
              <w:t>30,232,000</w:t>
            </w:r>
          </w:p>
        </w:tc>
        <w:tc>
          <w:tcPr>
            <w:tcW w:w="1442"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01" w:right="94"/>
              <w:jc w:val="center"/>
              <w:rPr>
                <w:sz w:val="20"/>
              </w:rPr>
            </w:pPr>
            <w:r>
              <w:rPr>
                <w:sz w:val="20"/>
              </w:rPr>
              <w:t>24,542,272</w:t>
            </w:r>
          </w:p>
        </w:tc>
        <w:tc>
          <w:tcPr>
            <w:tcW w:w="993"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04" w:right="94"/>
              <w:jc w:val="center"/>
              <w:rPr>
                <w:sz w:val="20"/>
              </w:rPr>
            </w:pPr>
            <w:r>
              <w:rPr>
                <w:sz w:val="20"/>
              </w:rPr>
              <w:t>522,644</w:t>
            </w:r>
          </w:p>
        </w:tc>
        <w:tc>
          <w:tcPr>
            <w:tcW w:w="1394"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right="233"/>
              <w:jc w:val="right"/>
              <w:rPr>
                <w:sz w:val="20"/>
              </w:rPr>
            </w:pPr>
            <w:r>
              <w:rPr>
                <w:w w:val="95"/>
                <w:sz w:val="20"/>
              </w:rPr>
              <w:t>24,542,272</w:t>
            </w:r>
          </w:p>
        </w:tc>
        <w:tc>
          <w:tcPr>
            <w:tcW w:w="724"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37"/>
              <w:rPr>
                <w:sz w:val="20"/>
              </w:rPr>
            </w:pPr>
            <w:r>
              <w:rPr>
                <w:sz w:val="20"/>
              </w:rPr>
              <w:t>81.18</w:t>
            </w:r>
          </w:p>
        </w:tc>
        <w:tc>
          <w:tcPr>
            <w:tcW w:w="722"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07" w:right="92"/>
              <w:jc w:val="center"/>
              <w:rPr>
                <w:sz w:val="20"/>
              </w:rPr>
            </w:pPr>
            <w:r>
              <w:rPr>
                <w:sz w:val="20"/>
              </w:rPr>
              <w:t>81.18</w:t>
            </w:r>
          </w:p>
        </w:tc>
        <w:tc>
          <w:tcPr>
            <w:tcW w:w="828" w:type="dxa"/>
            <w:tcBorders>
              <w:top w:val="nil"/>
            </w:tcBorders>
          </w:tcPr>
          <w:p>
            <w:pPr>
              <w:pStyle w:val="TableParagraph"/>
              <w:rPr>
                <w:sz w:val="22"/>
              </w:rPr>
            </w:pPr>
          </w:p>
          <w:p>
            <w:pPr>
              <w:pStyle w:val="TableParagraph"/>
              <w:rPr>
                <w:sz w:val="22"/>
              </w:rPr>
            </w:pPr>
          </w:p>
          <w:p>
            <w:pPr>
              <w:pStyle w:val="TableParagraph"/>
              <w:rPr>
                <w:sz w:val="22"/>
              </w:rPr>
            </w:pPr>
          </w:p>
          <w:p>
            <w:pPr>
              <w:pStyle w:val="TableParagraph"/>
              <w:spacing w:line="213" w:lineRule="exact" w:before="158"/>
              <w:ind w:left="122" w:right="104"/>
              <w:jc w:val="center"/>
              <w:rPr>
                <w:sz w:val="20"/>
              </w:rPr>
            </w:pPr>
            <w:r>
              <w:rPr>
                <w:sz w:val="20"/>
              </w:rPr>
              <w:t>100.00</w:t>
            </w:r>
          </w:p>
        </w:tc>
      </w:tr>
      <w:tr>
        <w:trPr>
          <w:trHeight w:val="448" w:hRule="atLeast"/>
        </w:trPr>
        <w:tc>
          <w:tcPr>
            <w:tcW w:w="2201" w:type="dxa"/>
          </w:tcPr>
          <w:p>
            <w:pPr>
              <w:pStyle w:val="TableParagraph"/>
              <w:spacing w:before="8"/>
              <w:rPr>
                <w:sz w:val="18"/>
              </w:rPr>
            </w:pPr>
          </w:p>
          <w:p>
            <w:pPr>
              <w:pStyle w:val="TableParagraph"/>
              <w:spacing w:line="213" w:lineRule="exact"/>
              <w:ind w:left="95" w:right="89"/>
              <w:jc w:val="center"/>
              <w:rPr>
                <w:sz w:val="20"/>
              </w:rPr>
            </w:pPr>
            <w:r>
              <w:rPr>
                <w:sz w:val="20"/>
              </w:rPr>
              <w:t>Actiuni prioritare AAPL</w:t>
            </w:r>
          </w:p>
        </w:tc>
        <w:tc>
          <w:tcPr>
            <w:tcW w:w="1217" w:type="dxa"/>
          </w:tcPr>
          <w:p>
            <w:pPr>
              <w:pStyle w:val="TableParagraph"/>
              <w:spacing w:before="8"/>
              <w:rPr>
                <w:sz w:val="18"/>
              </w:rPr>
            </w:pPr>
          </w:p>
          <w:p>
            <w:pPr>
              <w:pStyle w:val="TableParagraph"/>
              <w:spacing w:line="213" w:lineRule="exact"/>
              <w:ind w:left="209"/>
              <w:rPr>
                <w:sz w:val="20"/>
              </w:rPr>
            </w:pPr>
            <w:r>
              <w:rPr>
                <w:sz w:val="20"/>
              </w:rPr>
              <w:t>4,475,000</w:t>
            </w:r>
          </w:p>
        </w:tc>
        <w:tc>
          <w:tcPr>
            <w:tcW w:w="1442" w:type="dxa"/>
          </w:tcPr>
          <w:p>
            <w:pPr>
              <w:pStyle w:val="TableParagraph"/>
              <w:spacing w:before="8"/>
              <w:rPr>
                <w:sz w:val="18"/>
              </w:rPr>
            </w:pPr>
          </w:p>
          <w:p>
            <w:pPr>
              <w:pStyle w:val="TableParagraph"/>
              <w:spacing w:line="213" w:lineRule="exact"/>
              <w:ind w:left="101" w:right="95"/>
              <w:jc w:val="center"/>
              <w:rPr>
                <w:sz w:val="20"/>
              </w:rPr>
            </w:pPr>
            <w:r>
              <w:rPr>
                <w:sz w:val="20"/>
              </w:rPr>
              <w:t>4,235,000</w:t>
            </w:r>
          </w:p>
        </w:tc>
        <w:tc>
          <w:tcPr>
            <w:tcW w:w="993" w:type="dxa"/>
          </w:tcPr>
          <w:p>
            <w:pPr>
              <w:pStyle w:val="TableParagraph"/>
              <w:spacing w:before="8"/>
              <w:rPr>
                <w:sz w:val="18"/>
              </w:rPr>
            </w:pPr>
          </w:p>
          <w:p>
            <w:pPr>
              <w:pStyle w:val="TableParagraph"/>
              <w:spacing w:line="213" w:lineRule="exact"/>
              <w:ind w:left="104" w:right="94"/>
              <w:jc w:val="center"/>
              <w:rPr>
                <w:sz w:val="20"/>
              </w:rPr>
            </w:pPr>
            <w:r>
              <w:rPr>
                <w:sz w:val="20"/>
              </w:rPr>
              <w:t>86,564</w:t>
            </w:r>
          </w:p>
        </w:tc>
        <w:tc>
          <w:tcPr>
            <w:tcW w:w="1394" w:type="dxa"/>
          </w:tcPr>
          <w:p>
            <w:pPr>
              <w:pStyle w:val="TableParagraph"/>
              <w:spacing w:before="8"/>
              <w:rPr>
                <w:sz w:val="18"/>
              </w:rPr>
            </w:pPr>
          </w:p>
          <w:p>
            <w:pPr>
              <w:pStyle w:val="TableParagraph"/>
              <w:spacing w:line="213" w:lineRule="exact"/>
              <w:ind w:right="283"/>
              <w:jc w:val="right"/>
              <w:rPr>
                <w:sz w:val="20"/>
              </w:rPr>
            </w:pPr>
            <w:r>
              <w:rPr>
                <w:w w:val="95"/>
                <w:sz w:val="20"/>
              </w:rPr>
              <w:t>4,235,000</w:t>
            </w:r>
          </w:p>
        </w:tc>
        <w:tc>
          <w:tcPr>
            <w:tcW w:w="724" w:type="dxa"/>
          </w:tcPr>
          <w:p>
            <w:pPr>
              <w:pStyle w:val="TableParagraph"/>
              <w:spacing w:before="8"/>
              <w:rPr>
                <w:sz w:val="18"/>
              </w:rPr>
            </w:pPr>
          </w:p>
          <w:p>
            <w:pPr>
              <w:pStyle w:val="TableParagraph"/>
              <w:spacing w:line="213" w:lineRule="exact"/>
              <w:ind w:left="137"/>
              <w:rPr>
                <w:sz w:val="20"/>
              </w:rPr>
            </w:pPr>
            <w:r>
              <w:rPr>
                <w:sz w:val="20"/>
              </w:rPr>
              <w:t>94.64</w:t>
            </w:r>
          </w:p>
        </w:tc>
        <w:tc>
          <w:tcPr>
            <w:tcW w:w="722" w:type="dxa"/>
          </w:tcPr>
          <w:p>
            <w:pPr>
              <w:pStyle w:val="TableParagraph"/>
              <w:spacing w:before="8"/>
              <w:rPr>
                <w:sz w:val="18"/>
              </w:rPr>
            </w:pPr>
          </w:p>
          <w:p>
            <w:pPr>
              <w:pStyle w:val="TableParagraph"/>
              <w:spacing w:line="213" w:lineRule="exact"/>
              <w:ind w:left="107" w:right="92"/>
              <w:jc w:val="center"/>
              <w:rPr>
                <w:sz w:val="20"/>
              </w:rPr>
            </w:pPr>
            <w:r>
              <w:rPr>
                <w:sz w:val="20"/>
              </w:rPr>
              <w:t>94.64</w:t>
            </w:r>
          </w:p>
        </w:tc>
        <w:tc>
          <w:tcPr>
            <w:tcW w:w="828" w:type="dxa"/>
          </w:tcPr>
          <w:p>
            <w:pPr>
              <w:pStyle w:val="TableParagraph"/>
              <w:spacing w:before="8"/>
              <w:rPr>
                <w:sz w:val="18"/>
              </w:rPr>
            </w:pPr>
          </w:p>
          <w:p>
            <w:pPr>
              <w:pStyle w:val="TableParagraph"/>
              <w:spacing w:line="213" w:lineRule="exact"/>
              <w:ind w:left="122" w:right="104"/>
              <w:jc w:val="center"/>
              <w:rPr>
                <w:sz w:val="20"/>
              </w:rPr>
            </w:pPr>
            <w:r>
              <w:rPr>
                <w:sz w:val="20"/>
              </w:rPr>
              <w:t>100.00</w:t>
            </w:r>
          </w:p>
        </w:tc>
      </w:tr>
      <w:tr>
        <w:trPr>
          <w:trHeight w:val="350" w:hRule="atLeast"/>
        </w:trPr>
        <w:tc>
          <w:tcPr>
            <w:tcW w:w="2201" w:type="dxa"/>
          </w:tcPr>
          <w:p>
            <w:pPr>
              <w:pStyle w:val="TableParagraph"/>
              <w:spacing w:line="213" w:lineRule="exact" w:before="117"/>
              <w:ind w:left="95" w:right="85"/>
              <w:jc w:val="center"/>
              <w:rPr>
                <w:sz w:val="20"/>
              </w:rPr>
            </w:pPr>
            <w:r>
              <w:rPr>
                <w:sz w:val="20"/>
              </w:rPr>
              <w:t>total art 20.35</w:t>
            </w:r>
          </w:p>
        </w:tc>
        <w:tc>
          <w:tcPr>
            <w:tcW w:w="1217" w:type="dxa"/>
          </w:tcPr>
          <w:p>
            <w:pPr>
              <w:pStyle w:val="TableParagraph"/>
              <w:spacing w:line="213" w:lineRule="exact" w:before="117"/>
              <w:ind w:left="158"/>
              <w:rPr>
                <w:sz w:val="20"/>
              </w:rPr>
            </w:pPr>
            <w:r>
              <w:rPr>
                <w:sz w:val="20"/>
              </w:rPr>
              <w:t>34,707,000</w:t>
            </w:r>
          </w:p>
        </w:tc>
        <w:tc>
          <w:tcPr>
            <w:tcW w:w="1442" w:type="dxa"/>
          </w:tcPr>
          <w:p>
            <w:pPr>
              <w:pStyle w:val="TableParagraph"/>
              <w:spacing w:line="213" w:lineRule="exact" w:before="117"/>
              <w:ind w:left="101" w:right="95"/>
              <w:jc w:val="center"/>
              <w:rPr>
                <w:sz w:val="20"/>
              </w:rPr>
            </w:pPr>
            <w:r>
              <w:rPr>
                <w:sz w:val="20"/>
              </w:rPr>
              <w:t>28,777,272</w:t>
            </w:r>
          </w:p>
        </w:tc>
        <w:tc>
          <w:tcPr>
            <w:tcW w:w="993" w:type="dxa"/>
          </w:tcPr>
          <w:p>
            <w:pPr>
              <w:pStyle w:val="TableParagraph"/>
              <w:spacing w:line="213" w:lineRule="exact" w:before="117"/>
              <w:ind w:left="104" w:right="94"/>
              <w:jc w:val="center"/>
              <w:rPr>
                <w:sz w:val="20"/>
              </w:rPr>
            </w:pPr>
            <w:r>
              <w:rPr>
                <w:sz w:val="20"/>
              </w:rPr>
              <w:t>609,208</w:t>
            </w:r>
          </w:p>
        </w:tc>
        <w:tc>
          <w:tcPr>
            <w:tcW w:w="1394" w:type="dxa"/>
          </w:tcPr>
          <w:p>
            <w:pPr>
              <w:pStyle w:val="TableParagraph"/>
              <w:spacing w:line="213" w:lineRule="exact" w:before="117"/>
              <w:ind w:right="233"/>
              <w:jc w:val="right"/>
              <w:rPr>
                <w:sz w:val="20"/>
              </w:rPr>
            </w:pPr>
            <w:r>
              <w:rPr>
                <w:w w:val="95"/>
                <w:sz w:val="20"/>
              </w:rPr>
              <w:t>28,777,272</w:t>
            </w:r>
          </w:p>
        </w:tc>
        <w:tc>
          <w:tcPr>
            <w:tcW w:w="724" w:type="dxa"/>
          </w:tcPr>
          <w:p>
            <w:pPr>
              <w:pStyle w:val="TableParagraph"/>
              <w:rPr>
                <w:sz w:val="22"/>
              </w:rPr>
            </w:pPr>
          </w:p>
        </w:tc>
        <w:tc>
          <w:tcPr>
            <w:tcW w:w="722" w:type="dxa"/>
          </w:tcPr>
          <w:p>
            <w:pPr>
              <w:pStyle w:val="TableParagraph"/>
              <w:rPr>
                <w:sz w:val="22"/>
              </w:rPr>
            </w:pPr>
          </w:p>
        </w:tc>
        <w:tc>
          <w:tcPr>
            <w:tcW w:w="828" w:type="dxa"/>
          </w:tcPr>
          <w:p>
            <w:pPr>
              <w:pStyle w:val="TableParagraph"/>
              <w:rPr>
                <w:sz w:val="22"/>
              </w:rPr>
            </w:pPr>
          </w:p>
        </w:tc>
      </w:tr>
      <w:tr>
        <w:trPr>
          <w:trHeight w:val="750" w:hRule="atLeast"/>
        </w:trPr>
        <w:tc>
          <w:tcPr>
            <w:tcW w:w="2201" w:type="dxa"/>
          </w:tcPr>
          <w:p>
            <w:pPr>
              <w:pStyle w:val="TableParagraph"/>
              <w:spacing w:line="230" w:lineRule="atLeast" w:before="57"/>
              <w:ind w:left="134" w:right="125" w:hanging="1"/>
              <w:jc w:val="center"/>
              <w:rPr>
                <w:sz w:val="20"/>
              </w:rPr>
            </w:pPr>
            <w:r>
              <w:rPr>
                <w:sz w:val="20"/>
              </w:rPr>
              <w:t>Programe naţionale la sp.din reţeaua paralelă </w:t>
            </w:r>
            <w:r>
              <w:rPr>
                <w:spacing w:val="-13"/>
                <w:sz w:val="20"/>
              </w:rPr>
              <w:t>a </w:t>
            </w:r>
            <w:r>
              <w:rPr>
                <w:sz w:val="20"/>
              </w:rPr>
              <w:t>MS (art.20,30,30)</w:t>
            </w:r>
          </w:p>
        </w:tc>
        <w:tc>
          <w:tcPr>
            <w:tcW w:w="1217" w:type="dxa"/>
          </w:tcPr>
          <w:p>
            <w:pPr>
              <w:pStyle w:val="TableParagraph"/>
              <w:rPr>
                <w:sz w:val="22"/>
              </w:rPr>
            </w:pPr>
          </w:p>
          <w:p>
            <w:pPr>
              <w:pStyle w:val="TableParagraph"/>
              <w:rPr>
                <w:sz w:val="23"/>
              </w:rPr>
            </w:pPr>
          </w:p>
          <w:p>
            <w:pPr>
              <w:pStyle w:val="TableParagraph"/>
              <w:spacing w:line="213" w:lineRule="exact"/>
              <w:ind w:left="209"/>
              <w:rPr>
                <w:sz w:val="20"/>
              </w:rPr>
            </w:pPr>
            <w:r>
              <w:rPr>
                <w:sz w:val="20"/>
              </w:rPr>
              <w:t>4,017,000</w:t>
            </w:r>
          </w:p>
        </w:tc>
        <w:tc>
          <w:tcPr>
            <w:tcW w:w="1442" w:type="dxa"/>
          </w:tcPr>
          <w:p>
            <w:pPr>
              <w:pStyle w:val="TableParagraph"/>
              <w:rPr>
                <w:sz w:val="22"/>
              </w:rPr>
            </w:pPr>
          </w:p>
          <w:p>
            <w:pPr>
              <w:pStyle w:val="TableParagraph"/>
              <w:rPr>
                <w:sz w:val="23"/>
              </w:rPr>
            </w:pPr>
          </w:p>
          <w:p>
            <w:pPr>
              <w:pStyle w:val="TableParagraph"/>
              <w:spacing w:line="213" w:lineRule="exact"/>
              <w:ind w:left="101" w:right="95"/>
              <w:jc w:val="center"/>
              <w:rPr>
                <w:sz w:val="20"/>
              </w:rPr>
            </w:pPr>
            <w:r>
              <w:rPr>
                <w:sz w:val="20"/>
              </w:rPr>
              <w:t>1,885,046</w:t>
            </w:r>
          </w:p>
        </w:tc>
        <w:tc>
          <w:tcPr>
            <w:tcW w:w="993" w:type="dxa"/>
          </w:tcPr>
          <w:p>
            <w:pPr>
              <w:pStyle w:val="TableParagraph"/>
              <w:rPr>
                <w:sz w:val="22"/>
              </w:rPr>
            </w:pPr>
          </w:p>
          <w:p>
            <w:pPr>
              <w:pStyle w:val="TableParagraph"/>
              <w:rPr>
                <w:sz w:val="23"/>
              </w:rPr>
            </w:pPr>
          </w:p>
          <w:p>
            <w:pPr>
              <w:pStyle w:val="TableParagraph"/>
              <w:spacing w:line="213" w:lineRule="exact"/>
              <w:ind w:left="11"/>
              <w:jc w:val="center"/>
              <w:rPr>
                <w:sz w:val="20"/>
              </w:rPr>
            </w:pPr>
            <w:r>
              <w:rPr>
                <w:w w:val="99"/>
                <w:sz w:val="20"/>
              </w:rPr>
              <w:t>1</w:t>
            </w:r>
          </w:p>
        </w:tc>
        <w:tc>
          <w:tcPr>
            <w:tcW w:w="1394" w:type="dxa"/>
          </w:tcPr>
          <w:p>
            <w:pPr>
              <w:pStyle w:val="TableParagraph"/>
              <w:rPr>
                <w:sz w:val="22"/>
              </w:rPr>
            </w:pPr>
          </w:p>
          <w:p>
            <w:pPr>
              <w:pStyle w:val="TableParagraph"/>
              <w:rPr>
                <w:sz w:val="23"/>
              </w:rPr>
            </w:pPr>
          </w:p>
          <w:p>
            <w:pPr>
              <w:pStyle w:val="TableParagraph"/>
              <w:spacing w:line="213" w:lineRule="exact"/>
              <w:ind w:right="283"/>
              <w:jc w:val="right"/>
              <w:rPr>
                <w:sz w:val="20"/>
              </w:rPr>
            </w:pPr>
            <w:r>
              <w:rPr>
                <w:w w:val="95"/>
                <w:sz w:val="20"/>
              </w:rPr>
              <w:t>1,885,046</w:t>
            </w:r>
          </w:p>
        </w:tc>
        <w:tc>
          <w:tcPr>
            <w:tcW w:w="724" w:type="dxa"/>
          </w:tcPr>
          <w:p>
            <w:pPr>
              <w:pStyle w:val="TableParagraph"/>
              <w:rPr>
                <w:sz w:val="22"/>
              </w:rPr>
            </w:pPr>
          </w:p>
          <w:p>
            <w:pPr>
              <w:pStyle w:val="TableParagraph"/>
              <w:rPr>
                <w:sz w:val="23"/>
              </w:rPr>
            </w:pPr>
          </w:p>
          <w:p>
            <w:pPr>
              <w:pStyle w:val="TableParagraph"/>
              <w:spacing w:line="213" w:lineRule="exact"/>
              <w:ind w:left="137"/>
              <w:rPr>
                <w:sz w:val="20"/>
              </w:rPr>
            </w:pPr>
            <w:r>
              <w:rPr>
                <w:sz w:val="20"/>
              </w:rPr>
              <w:t>46.93</w:t>
            </w:r>
          </w:p>
        </w:tc>
        <w:tc>
          <w:tcPr>
            <w:tcW w:w="722" w:type="dxa"/>
          </w:tcPr>
          <w:p>
            <w:pPr>
              <w:pStyle w:val="TableParagraph"/>
              <w:rPr>
                <w:sz w:val="22"/>
              </w:rPr>
            </w:pPr>
          </w:p>
          <w:p>
            <w:pPr>
              <w:pStyle w:val="TableParagraph"/>
              <w:rPr>
                <w:sz w:val="23"/>
              </w:rPr>
            </w:pPr>
          </w:p>
          <w:p>
            <w:pPr>
              <w:pStyle w:val="TableParagraph"/>
              <w:spacing w:line="213" w:lineRule="exact"/>
              <w:ind w:left="107" w:right="92"/>
              <w:jc w:val="center"/>
              <w:rPr>
                <w:sz w:val="20"/>
              </w:rPr>
            </w:pPr>
            <w:r>
              <w:rPr>
                <w:sz w:val="20"/>
              </w:rPr>
              <w:t>46.93</w:t>
            </w:r>
          </w:p>
        </w:tc>
        <w:tc>
          <w:tcPr>
            <w:tcW w:w="828" w:type="dxa"/>
          </w:tcPr>
          <w:p>
            <w:pPr>
              <w:pStyle w:val="TableParagraph"/>
              <w:rPr>
                <w:sz w:val="22"/>
              </w:rPr>
            </w:pPr>
          </w:p>
          <w:p>
            <w:pPr>
              <w:pStyle w:val="TableParagraph"/>
              <w:rPr>
                <w:sz w:val="23"/>
              </w:rPr>
            </w:pPr>
          </w:p>
          <w:p>
            <w:pPr>
              <w:pStyle w:val="TableParagraph"/>
              <w:spacing w:line="213" w:lineRule="exact"/>
              <w:ind w:left="122" w:right="104"/>
              <w:jc w:val="center"/>
              <w:rPr>
                <w:sz w:val="20"/>
              </w:rPr>
            </w:pPr>
            <w:r>
              <w:rPr>
                <w:sz w:val="20"/>
              </w:rPr>
              <w:t>100.00</w:t>
            </w:r>
          </w:p>
        </w:tc>
      </w:tr>
      <w:tr>
        <w:trPr>
          <w:trHeight w:val="494" w:hRule="atLeast"/>
        </w:trPr>
        <w:tc>
          <w:tcPr>
            <w:tcW w:w="2201" w:type="dxa"/>
          </w:tcPr>
          <w:p>
            <w:pPr>
              <w:pStyle w:val="TableParagraph"/>
              <w:spacing w:before="30"/>
              <w:ind w:left="95" w:right="86"/>
              <w:jc w:val="center"/>
              <w:rPr>
                <w:sz w:val="20"/>
              </w:rPr>
            </w:pPr>
            <w:r>
              <w:rPr>
                <w:sz w:val="20"/>
              </w:rPr>
              <w:t>PN</w:t>
            </w:r>
          </w:p>
          <w:p>
            <w:pPr>
              <w:pStyle w:val="TableParagraph"/>
              <w:spacing w:line="213" w:lineRule="exact" w:before="1"/>
              <w:ind w:left="95" w:right="89"/>
              <w:jc w:val="center"/>
              <w:rPr>
                <w:sz w:val="20"/>
              </w:rPr>
            </w:pPr>
            <w:r>
              <w:rPr>
                <w:sz w:val="20"/>
              </w:rPr>
              <w:t>Imunizari+mentenanta</w:t>
            </w:r>
          </w:p>
        </w:tc>
        <w:tc>
          <w:tcPr>
            <w:tcW w:w="1217" w:type="dxa"/>
          </w:tcPr>
          <w:p>
            <w:pPr>
              <w:pStyle w:val="TableParagraph"/>
              <w:spacing w:before="8"/>
              <w:rPr>
                <w:sz w:val="22"/>
              </w:rPr>
            </w:pPr>
          </w:p>
          <w:p>
            <w:pPr>
              <w:pStyle w:val="TableParagraph"/>
              <w:spacing w:line="213" w:lineRule="exact"/>
              <w:ind w:left="209"/>
              <w:rPr>
                <w:sz w:val="20"/>
              </w:rPr>
            </w:pPr>
            <w:r>
              <w:rPr>
                <w:sz w:val="20"/>
              </w:rPr>
              <w:t>4,526,000</w:t>
            </w:r>
          </w:p>
        </w:tc>
        <w:tc>
          <w:tcPr>
            <w:tcW w:w="1442" w:type="dxa"/>
          </w:tcPr>
          <w:p>
            <w:pPr>
              <w:pStyle w:val="TableParagraph"/>
              <w:spacing w:before="8"/>
              <w:rPr>
                <w:sz w:val="22"/>
              </w:rPr>
            </w:pPr>
          </w:p>
          <w:p>
            <w:pPr>
              <w:pStyle w:val="TableParagraph"/>
              <w:spacing w:line="213" w:lineRule="exact"/>
              <w:ind w:left="101" w:right="95"/>
              <w:jc w:val="center"/>
              <w:rPr>
                <w:sz w:val="20"/>
              </w:rPr>
            </w:pPr>
            <w:r>
              <w:rPr>
                <w:sz w:val="20"/>
              </w:rPr>
              <w:t>611,587</w:t>
            </w:r>
          </w:p>
        </w:tc>
        <w:tc>
          <w:tcPr>
            <w:tcW w:w="993" w:type="dxa"/>
          </w:tcPr>
          <w:p>
            <w:pPr>
              <w:pStyle w:val="TableParagraph"/>
              <w:spacing w:before="8"/>
              <w:rPr>
                <w:sz w:val="22"/>
              </w:rPr>
            </w:pPr>
          </w:p>
          <w:p>
            <w:pPr>
              <w:pStyle w:val="TableParagraph"/>
              <w:spacing w:line="213" w:lineRule="exact"/>
              <w:ind w:left="104" w:right="91"/>
              <w:jc w:val="center"/>
              <w:rPr>
                <w:sz w:val="20"/>
              </w:rPr>
            </w:pPr>
            <w:r>
              <w:rPr>
                <w:sz w:val="20"/>
              </w:rPr>
              <w:t>4,530</w:t>
            </w:r>
          </w:p>
        </w:tc>
        <w:tc>
          <w:tcPr>
            <w:tcW w:w="1394" w:type="dxa"/>
          </w:tcPr>
          <w:p>
            <w:pPr>
              <w:pStyle w:val="TableParagraph"/>
              <w:spacing w:before="8"/>
              <w:rPr>
                <w:sz w:val="22"/>
              </w:rPr>
            </w:pPr>
          </w:p>
          <w:p>
            <w:pPr>
              <w:pStyle w:val="TableParagraph"/>
              <w:spacing w:line="213" w:lineRule="exact"/>
              <w:ind w:left="373"/>
              <w:rPr>
                <w:sz w:val="20"/>
              </w:rPr>
            </w:pPr>
            <w:r>
              <w:rPr>
                <w:sz w:val="20"/>
              </w:rPr>
              <w:t>611,586</w:t>
            </w:r>
          </w:p>
        </w:tc>
        <w:tc>
          <w:tcPr>
            <w:tcW w:w="724" w:type="dxa"/>
          </w:tcPr>
          <w:p>
            <w:pPr>
              <w:pStyle w:val="TableParagraph"/>
              <w:spacing w:before="8"/>
              <w:rPr>
                <w:sz w:val="22"/>
              </w:rPr>
            </w:pPr>
          </w:p>
          <w:p>
            <w:pPr>
              <w:pStyle w:val="TableParagraph"/>
              <w:spacing w:line="213" w:lineRule="exact"/>
              <w:ind w:left="137"/>
              <w:rPr>
                <w:sz w:val="20"/>
              </w:rPr>
            </w:pPr>
            <w:r>
              <w:rPr>
                <w:sz w:val="20"/>
              </w:rPr>
              <w:t>13.51</w:t>
            </w:r>
          </w:p>
        </w:tc>
        <w:tc>
          <w:tcPr>
            <w:tcW w:w="722" w:type="dxa"/>
          </w:tcPr>
          <w:p>
            <w:pPr>
              <w:pStyle w:val="TableParagraph"/>
              <w:spacing w:before="8"/>
              <w:rPr>
                <w:sz w:val="22"/>
              </w:rPr>
            </w:pPr>
          </w:p>
          <w:p>
            <w:pPr>
              <w:pStyle w:val="TableParagraph"/>
              <w:spacing w:line="213" w:lineRule="exact"/>
              <w:ind w:left="107" w:right="92"/>
              <w:jc w:val="center"/>
              <w:rPr>
                <w:sz w:val="20"/>
              </w:rPr>
            </w:pPr>
            <w:r>
              <w:rPr>
                <w:sz w:val="20"/>
              </w:rPr>
              <w:t>13.51</w:t>
            </w:r>
          </w:p>
        </w:tc>
        <w:tc>
          <w:tcPr>
            <w:tcW w:w="828" w:type="dxa"/>
          </w:tcPr>
          <w:p>
            <w:pPr>
              <w:pStyle w:val="TableParagraph"/>
              <w:spacing w:before="8"/>
              <w:rPr>
                <w:sz w:val="22"/>
              </w:rPr>
            </w:pPr>
          </w:p>
          <w:p>
            <w:pPr>
              <w:pStyle w:val="TableParagraph"/>
              <w:spacing w:line="213" w:lineRule="exact"/>
              <w:ind w:left="122" w:right="104"/>
              <w:jc w:val="center"/>
              <w:rPr>
                <w:sz w:val="20"/>
              </w:rPr>
            </w:pPr>
            <w:r>
              <w:rPr>
                <w:sz w:val="20"/>
              </w:rPr>
              <w:t>100.00</w:t>
            </w:r>
          </w:p>
        </w:tc>
      </w:tr>
      <w:tr>
        <w:trPr>
          <w:trHeight w:val="921" w:hRule="atLeast"/>
        </w:trPr>
        <w:tc>
          <w:tcPr>
            <w:tcW w:w="2201" w:type="dxa"/>
          </w:tcPr>
          <w:p>
            <w:pPr>
              <w:pStyle w:val="TableParagraph"/>
              <w:ind w:left="95" w:right="87"/>
              <w:jc w:val="center"/>
              <w:rPr>
                <w:sz w:val="20"/>
              </w:rPr>
            </w:pPr>
            <w:r>
              <w:rPr>
                <w:sz w:val="20"/>
              </w:rPr>
              <w:t>Actiuni prioritare</w:t>
            </w:r>
            <w:r>
              <w:rPr>
                <w:spacing w:val="-8"/>
                <w:sz w:val="20"/>
              </w:rPr>
              <w:t> </w:t>
            </w:r>
            <w:r>
              <w:rPr>
                <w:sz w:val="20"/>
              </w:rPr>
              <w:t>alta retea la sp.din </w:t>
            </w:r>
            <w:r>
              <w:rPr>
                <w:spacing w:val="-3"/>
                <w:sz w:val="20"/>
              </w:rPr>
              <w:t>reţeaua </w:t>
            </w:r>
            <w:r>
              <w:rPr>
                <w:sz w:val="20"/>
              </w:rPr>
              <w:t>paralelă a</w:t>
            </w:r>
            <w:r>
              <w:rPr>
                <w:spacing w:val="-1"/>
                <w:sz w:val="20"/>
              </w:rPr>
              <w:t> </w:t>
            </w:r>
            <w:r>
              <w:rPr>
                <w:sz w:val="20"/>
              </w:rPr>
              <w:t>MS</w:t>
            </w:r>
          </w:p>
          <w:p>
            <w:pPr>
              <w:pStyle w:val="TableParagraph"/>
              <w:spacing w:line="213" w:lineRule="exact"/>
              <w:ind w:left="95" w:right="88"/>
              <w:jc w:val="center"/>
              <w:rPr>
                <w:sz w:val="20"/>
              </w:rPr>
            </w:pPr>
            <w:r>
              <w:rPr>
                <w:sz w:val="20"/>
              </w:rPr>
              <w:t>(art.20,30,30)</w:t>
            </w:r>
          </w:p>
        </w:tc>
        <w:tc>
          <w:tcPr>
            <w:tcW w:w="1217" w:type="dxa"/>
          </w:tcPr>
          <w:p>
            <w:pPr>
              <w:pStyle w:val="TableParagraph"/>
              <w:rPr>
                <w:sz w:val="22"/>
              </w:rPr>
            </w:pPr>
          </w:p>
          <w:p>
            <w:pPr>
              <w:pStyle w:val="TableParagraph"/>
              <w:rPr>
                <w:sz w:val="22"/>
              </w:rPr>
            </w:pPr>
          </w:p>
          <w:p>
            <w:pPr>
              <w:pStyle w:val="TableParagraph"/>
              <w:spacing w:line="213" w:lineRule="exact" w:before="183"/>
              <w:ind w:left="209"/>
              <w:rPr>
                <w:sz w:val="20"/>
              </w:rPr>
            </w:pPr>
            <w:r>
              <w:rPr>
                <w:sz w:val="20"/>
              </w:rPr>
              <w:t>8,114,000</w:t>
            </w:r>
          </w:p>
        </w:tc>
        <w:tc>
          <w:tcPr>
            <w:tcW w:w="1442" w:type="dxa"/>
          </w:tcPr>
          <w:p>
            <w:pPr>
              <w:pStyle w:val="TableParagraph"/>
              <w:rPr>
                <w:sz w:val="22"/>
              </w:rPr>
            </w:pPr>
          </w:p>
          <w:p>
            <w:pPr>
              <w:pStyle w:val="TableParagraph"/>
              <w:rPr>
                <w:sz w:val="22"/>
              </w:rPr>
            </w:pPr>
          </w:p>
          <w:p>
            <w:pPr>
              <w:pStyle w:val="TableParagraph"/>
              <w:spacing w:line="213" w:lineRule="exact" w:before="183"/>
              <w:ind w:left="101" w:right="95"/>
              <w:jc w:val="center"/>
              <w:rPr>
                <w:sz w:val="20"/>
              </w:rPr>
            </w:pPr>
            <w:r>
              <w:rPr>
                <w:sz w:val="20"/>
              </w:rPr>
              <w:t>7,489,000</w:t>
            </w:r>
          </w:p>
        </w:tc>
        <w:tc>
          <w:tcPr>
            <w:tcW w:w="993" w:type="dxa"/>
          </w:tcPr>
          <w:p>
            <w:pPr>
              <w:pStyle w:val="TableParagraph"/>
              <w:rPr>
                <w:sz w:val="22"/>
              </w:rPr>
            </w:pPr>
          </w:p>
          <w:p>
            <w:pPr>
              <w:pStyle w:val="TableParagraph"/>
              <w:rPr>
                <w:sz w:val="22"/>
              </w:rPr>
            </w:pPr>
          </w:p>
          <w:p>
            <w:pPr>
              <w:pStyle w:val="TableParagraph"/>
              <w:spacing w:line="213" w:lineRule="exact" w:before="183"/>
              <w:ind w:left="104" w:right="91"/>
              <w:jc w:val="center"/>
              <w:rPr>
                <w:sz w:val="20"/>
              </w:rPr>
            </w:pPr>
            <w:r>
              <w:rPr>
                <w:sz w:val="20"/>
              </w:rPr>
              <w:t>4,075</w:t>
            </w:r>
          </w:p>
        </w:tc>
        <w:tc>
          <w:tcPr>
            <w:tcW w:w="1394" w:type="dxa"/>
          </w:tcPr>
          <w:p>
            <w:pPr>
              <w:pStyle w:val="TableParagraph"/>
              <w:rPr>
                <w:sz w:val="22"/>
              </w:rPr>
            </w:pPr>
          </w:p>
          <w:p>
            <w:pPr>
              <w:pStyle w:val="TableParagraph"/>
              <w:rPr>
                <w:sz w:val="22"/>
              </w:rPr>
            </w:pPr>
          </w:p>
          <w:p>
            <w:pPr>
              <w:pStyle w:val="TableParagraph"/>
              <w:spacing w:line="213" w:lineRule="exact" w:before="183"/>
              <w:ind w:right="283"/>
              <w:jc w:val="right"/>
              <w:rPr>
                <w:sz w:val="20"/>
              </w:rPr>
            </w:pPr>
            <w:r>
              <w:rPr>
                <w:w w:val="95"/>
                <w:sz w:val="20"/>
              </w:rPr>
              <w:t>7,489,000</w:t>
            </w:r>
          </w:p>
        </w:tc>
        <w:tc>
          <w:tcPr>
            <w:tcW w:w="724" w:type="dxa"/>
          </w:tcPr>
          <w:p>
            <w:pPr>
              <w:pStyle w:val="TableParagraph"/>
              <w:rPr>
                <w:sz w:val="22"/>
              </w:rPr>
            </w:pPr>
          </w:p>
          <w:p>
            <w:pPr>
              <w:pStyle w:val="TableParagraph"/>
              <w:rPr>
                <w:sz w:val="22"/>
              </w:rPr>
            </w:pPr>
          </w:p>
          <w:p>
            <w:pPr>
              <w:pStyle w:val="TableParagraph"/>
              <w:spacing w:line="213" w:lineRule="exact" w:before="183"/>
              <w:ind w:left="137"/>
              <w:rPr>
                <w:sz w:val="20"/>
              </w:rPr>
            </w:pPr>
            <w:r>
              <w:rPr>
                <w:sz w:val="20"/>
              </w:rPr>
              <w:t>92.30</w:t>
            </w:r>
          </w:p>
        </w:tc>
        <w:tc>
          <w:tcPr>
            <w:tcW w:w="722" w:type="dxa"/>
          </w:tcPr>
          <w:p>
            <w:pPr>
              <w:pStyle w:val="TableParagraph"/>
              <w:rPr>
                <w:sz w:val="22"/>
              </w:rPr>
            </w:pPr>
          </w:p>
          <w:p>
            <w:pPr>
              <w:pStyle w:val="TableParagraph"/>
              <w:rPr>
                <w:sz w:val="22"/>
              </w:rPr>
            </w:pPr>
          </w:p>
          <w:p>
            <w:pPr>
              <w:pStyle w:val="TableParagraph"/>
              <w:spacing w:line="213" w:lineRule="exact" w:before="183"/>
              <w:ind w:left="107" w:right="92"/>
              <w:jc w:val="center"/>
              <w:rPr>
                <w:sz w:val="20"/>
              </w:rPr>
            </w:pPr>
            <w:r>
              <w:rPr>
                <w:sz w:val="20"/>
              </w:rPr>
              <w:t>92.30</w:t>
            </w:r>
          </w:p>
        </w:tc>
        <w:tc>
          <w:tcPr>
            <w:tcW w:w="828" w:type="dxa"/>
          </w:tcPr>
          <w:p>
            <w:pPr>
              <w:pStyle w:val="TableParagraph"/>
              <w:rPr>
                <w:sz w:val="22"/>
              </w:rPr>
            </w:pPr>
          </w:p>
          <w:p>
            <w:pPr>
              <w:pStyle w:val="TableParagraph"/>
              <w:rPr>
                <w:sz w:val="22"/>
              </w:rPr>
            </w:pPr>
          </w:p>
          <w:p>
            <w:pPr>
              <w:pStyle w:val="TableParagraph"/>
              <w:spacing w:line="213" w:lineRule="exact" w:before="183"/>
              <w:ind w:left="123" w:right="104"/>
              <w:jc w:val="center"/>
              <w:rPr>
                <w:sz w:val="20"/>
              </w:rPr>
            </w:pPr>
            <w:r>
              <w:rPr>
                <w:sz w:val="20"/>
              </w:rPr>
              <w:t>100.00</w:t>
            </w:r>
          </w:p>
        </w:tc>
      </w:tr>
      <w:tr>
        <w:trPr>
          <w:trHeight w:val="350" w:hRule="atLeast"/>
        </w:trPr>
        <w:tc>
          <w:tcPr>
            <w:tcW w:w="2201" w:type="dxa"/>
          </w:tcPr>
          <w:p>
            <w:pPr>
              <w:pStyle w:val="TableParagraph"/>
              <w:spacing w:line="213" w:lineRule="exact" w:before="117"/>
              <w:ind w:left="95" w:right="88"/>
              <w:jc w:val="center"/>
              <w:rPr>
                <w:sz w:val="20"/>
              </w:rPr>
            </w:pPr>
            <w:r>
              <w:rPr>
                <w:sz w:val="20"/>
              </w:rPr>
              <w:t>total articol 20.30.30</w:t>
            </w:r>
          </w:p>
        </w:tc>
        <w:tc>
          <w:tcPr>
            <w:tcW w:w="1217" w:type="dxa"/>
          </w:tcPr>
          <w:p>
            <w:pPr>
              <w:pStyle w:val="TableParagraph"/>
              <w:spacing w:line="213" w:lineRule="exact" w:before="117"/>
              <w:ind w:left="158"/>
              <w:rPr>
                <w:sz w:val="20"/>
              </w:rPr>
            </w:pPr>
            <w:r>
              <w:rPr>
                <w:sz w:val="20"/>
              </w:rPr>
              <w:t>16,657,000</w:t>
            </w:r>
          </w:p>
        </w:tc>
        <w:tc>
          <w:tcPr>
            <w:tcW w:w="1442" w:type="dxa"/>
          </w:tcPr>
          <w:p>
            <w:pPr>
              <w:pStyle w:val="TableParagraph"/>
              <w:spacing w:line="213" w:lineRule="exact" w:before="117"/>
              <w:ind w:left="101" w:right="95"/>
              <w:jc w:val="center"/>
              <w:rPr>
                <w:sz w:val="20"/>
              </w:rPr>
            </w:pPr>
            <w:r>
              <w:rPr>
                <w:sz w:val="20"/>
              </w:rPr>
              <w:t>9,985,633</w:t>
            </w:r>
          </w:p>
        </w:tc>
        <w:tc>
          <w:tcPr>
            <w:tcW w:w="993" w:type="dxa"/>
          </w:tcPr>
          <w:p>
            <w:pPr>
              <w:pStyle w:val="TableParagraph"/>
              <w:spacing w:line="213" w:lineRule="exact" w:before="117"/>
              <w:ind w:left="104" w:right="91"/>
              <w:jc w:val="center"/>
              <w:rPr>
                <w:sz w:val="20"/>
              </w:rPr>
            </w:pPr>
            <w:r>
              <w:rPr>
                <w:sz w:val="20"/>
              </w:rPr>
              <w:t>8,607</w:t>
            </w:r>
          </w:p>
        </w:tc>
        <w:tc>
          <w:tcPr>
            <w:tcW w:w="1394" w:type="dxa"/>
          </w:tcPr>
          <w:p>
            <w:pPr>
              <w:pStyle w:val="TableParagraph"/>
              <w:spacing w:line="213" w:lineRule="exact" w:before="117"/>
              <w:ind w:right="283"/>
              <w:jc w:val="right"/>
              <w:rPr>
                <w:sz w:val="20"/>
              </w:rPr>
            </w:pPr>
            <w:r>
              <w:rPr>
                <w:w w:val="95"/>
                <w:sz w:val="20"/>
              </w:rPr>
              <w:t>9,985,632</w:t>
            </w:r>
          </w:p>
        </w:tc>
        <w:tc>
          <w:tcPr>
            <w:tcW w:w="724" w:type="dxa"/>
          </w:tcPr>
          <w:p>
            <w:pPr>
              <w:pStyle w:val="TableParagraph"/>
              <w:rPr>
                <w:sz w:val="22"/>
              </w:rPr>
            </w:pPr>
          </w:p>
        </w:tc>
        <w:tc>
          <w:tcPr>
            <w:tcW w:w="722" w:type="dxa"/>
          </w:tcPr>
          <w:p>
            <w:pPr>
              <w:pStyle w:val="TableParagraph"/>
              <w:rPr>
                <w:sz w:val="22"/>
              </w:rPr>
            </w:pPr>
          </w:p>
        </w:tc>
        <w:tc>
          <w:tcPr>
            <w:tcW w:w="828" w:type="dxa"/>
          </w:tcPr>
          <w:p>
            <w:pPr>
              <w:pStyle w:val="TableParagraph"/>
              <w:rPr>
                <w:sz w:val="22"/>
              </w:rPr>
            </w:pPr>
          </w:p>
        </w:tc>
      </w:tr>
    </w:tbl>
    <w:p>
      <w:pPr>
        <w:pStyle w:val="BodyText"/>
        <w:ind w:right="1140"/>
      </w:pPr>
      <w:r>
        <w:rPr/>
        <w:t>S-a acordat viza de control financiar preventiv pe proiectele de operaţiuni prevăzute în dispoziţiile Conducerii DSPMB de către persoanele nominalizate pentru 21 proiecte operaţiuni, cu respectarea legislaţiei specifice, precum si viza compartimentala pe Propunerea de angajare de cheltuieli şi Ordonanţarea de plată, pentru cheltuielile angajate de biroul Buget-Finanţe.</w:t>
      </w:r>
    </w:p>
    <w:p>
      <w:pPr>
        <w:pStyle w:val="BodyText"/>
      </w:pPr>
      <w:r>
        <w:rPr/>
        <w:t>Alte activitati :</w:t>
      </w:r>
    </w:p>
    <w:p>
      <w:pPr>
        <w:pStyle w:val="BodyText"/>
        <w:ind w:right="1873"/>
      </w:pPr>
      <w:r>
        <w:rPr/>
        <w:t>-Implementarea SCIM şi elaborarea situaţiilor specifice, în conformitate cu prevederile OMF 400/2015 pentru aprobarea Codului controlului intern / managerial al entităţilor publice.</w:t>
      </w:r>
    </w:p>
    <w:p>
      <w:pPr>
        <w:pStyle w:val="BodyText"/>
        <w:spacing w:before="7"/>
        <w:ind w:left="0"/>
        <w:rPr>
          <w:sz w:val="23"/>
        </w:rPr>
      </w:pPr>
    </w:p>
    <w:p>
      <w:pPr>
        <w:pStyle w:val="Heading1"/>
        <w:ind w:left="680"/>
        <w:rPr>
          <w:u w:val="none"/>
        </w:rPr>
      </w:pPr>
      <w:r>
        <w:rPr>
          <w:u w:val="thick"/>
        </w:rPr>
        <w:t>BIROUL</w:t>
      </w:r>
      <w:r>
        <w:rPr>
          <w:spacing w:val="59"/>
          <w:u w:val="thick"/>
        </w:rPr>
        <w:t> </w:t>
      </w:r>
      <w:r>
        <w:rPr>
          <w:u w:val="thick"/>
        </w:rPr>
        <w:t>CONTABILITATE</w:t>
      </w:r>
    </w:p>
    <w:p>
      <w:pPr>
        <w:pStyle w:val="BodyText"/>
        <w:spacing w:before="3"/>
        <w:ind w:left="0"/>
        <w:rPr>
          <w:b/>
          <w:sz w:val="16"/>
        </w:rPr>
      </w:pPr>
    </w:p>
    <w:p>
      <w:pPr>
        <w:pStyle w:val="BodyText"/>
        <w:spacing w:before="90"/>
        <w:jc w:val="both"/>
      </w:pPr>
      <w:r>
        <w:rPr/>
        <w:t>Activitati derulate:</w:t>
      </w:r>
    </w:p>
    <w:p>
      <w:pPr>
        <w:pStyle w:val="BodyText"/>
        <w:ind w:right="1135"/>
        <w:jc w:val="both"/>
      </w:pPr>
      <w:r>
        <w:rPr/>
        <w:t>-executarea indicatorilor aprobati în bugetul de venituri si cheltuieli al Directiei de Sănătate Publică, atât la bugetul de stat cât si la venituri proprii ;</w:t>
      </w:r>
    </w:p>
    <w:p>
      <w:pPr>
        <w:pStyle w:val="BodyText"/>
        <w:ind w:right="1132"/>
        <w:jc w:val="both"/>
      </w:pPr>
      <w:r>
        <w:rPr/>
        <w:t>-asigurarea tuturor operatiunilor necesare si înregistrarea tuturor documentelor în programul FOREXEBUG, conform normelor primite de la ATCP-MB, pentru sumele încasate în extrasele de cont;</w:t>
      </w:r>
    </w:p>
    <w:p>
      <w:pPr>
        <w:pStyle w:val="BodyText"/>
        <w:jc w:val="both"/>
      </w:pPr>
      <w:r>
        <w:rPr/>
        <w:t>-solicitarea corectiilor în aplicatia: control angajamente bugetare –CAB ;</w:t>
      </w:r>
    </w:p>
    <w:p>
      <w:pPr>
        <w:pStyle w:val="BodyText"/>
        <w:spacing w:line="237" w:lineRule="auto" w:before="2"/>
        <w:ind w:right="1133"/>
        <w:jc w:val="both"/>
      </w:pPr>
      <w:r>
        <w:rPr/>
        <w:t>-întocmirea tuturor notelor de corectie – CAB si a adreselor de înaintare către ATCP-MB împreună cu referatele necesare;</w:t>
      </w:r>
    </w:p>
    <w:p>
      <w:pPr>
        <w:pStyle w:val="BodyText"/>
        <w:spacing w:before="1"/>
      </w:pPr>
      <w:r>
        <w:rPr/>
        <w:t>Au fost întocmite:</w:t>
      </w:r>
    </w:p>
    <w:p>
      <w:pPr>
        <w:pStyle w:val="ListParagraph"/>
        <w:numPr>
          <w:ilvl w:val="0"/>
          <w:numId w:val="26"/>
        </w:numPr>
        <w:tabs>
          <w:tab w:pos="820" w:val="left" w:leader="none"/>
        </w:tabs>
        <w:spacing w:line="240" w:lineRule="auto" w:before="0" w:after="0"/>
        <w:ind w:left="819" w:right="0" w:hanging="140"/>
        <w:jc w:val="left"/>
        <w:rPr>
          <w:sz w:val="24"/>
        </w:rPr>
      </w:pPr>
      <w:r>
        <w:rPr>
          <w:sz w:val="24"/>
        </w:rPr>
        <w:t>880 de Note de Corectii privind aplicatia Control Angajamente Bugetare</w:t>
      </w:r>
      <w:r>
        <w:rPr>
          <w:spacing w:val="55"/>
          <w:sz w:val="24"/>
        </w:rPr>
        <w:t> </w:t>
      </w:r>
      <w:r>
        <w:rPr>
          <w:sz w:val="24"/>
        </w:rPr>
        <w:t>;</w:t>
      </w:r>
    </w:p>
    <w:p>
      <w:pPr>
        <w:pStyle w:val="BodyText"/>
        <w:ind w:right="5924"/>
      </w:pPr>
      <w:r>
        <w:rPr/>
        <w:t>-3430 ordine de plată pentru operatiuni diverse ; Au fost facturate:</w:t>
      </w:r>
    </w:p>
    <w:p>
      <w:pPr>
        <w:pStyle w:val="ListParagraph"/>
        <w:numPr>
          <w:ilvl w:val="0"/>
          <w:numId w:val="26"/>
        </w:numPr>
        <w:tabs>
          <w:tab w:pos="880" w:val="left" w:leader="none"/>
        </w:tabs>
        <w:spacing w:line="240" w:lineRule="auto" w:before="1" w:after="0"/>
        <w:ind w:left="879" w:right="0" w:hanging="140"/>
        <w:jc w:val="left"/>
        <w:rPr>
          <w:sz w:val="24"/>
        </w:rPr>
      </w:pPr>
      <w:r>
        <w:rPr>
          <w:sz w:val="24"/>
        </w:rPr>
        <w:t>11340 facturi cu seria DSPB-A</w:t>
      </w:r>
      <w:r>
        <w:rPr>
          <w:spacing w:val="59"/>
          <w:sz w:val="24"/>
        </w:rPr>
        <w:t> </w:t>
      </w:r>
      <w:r>
        <w:rPr>
          <w:sz w:val="24"/>
        </w:rPr>
        <w:t>;</w:t>
      </w:r>
    </w:p>
    <w:p>
      <w:pPr>
        <w:pStyle w:val="ListParagraph"/>
        <w:numPr>
          <w:ilvl w:val="0"/>
          <w:numId w:val="26"/>
        </w:numPr>
        <w:tabs>
          <w:tab w:pos="820" w:val="left" w:leader="none"/>
        </w:tabs>
        <w:spacing w:line="240" w:lineRule="auto" w:before="0" w:after="0"/>
        <w:ind w:left="819" w:right="0" w:hanging="140"/>
        <w:jc w:val="left"/>
        <w:rPr>
          <w:sz w:val="24"/>
        </w:rPr>
      </w:pPr>
      <w:r>
        <w:rPr>
          <w:sz w:val="24"/>
        </w:rPr>
        <w:t>1943 facturi DSPB-T</w:t>
      </w:r>
      <w:r>
        <w:rPr>
          <w:spacing w:val="1"/>
          <w:sz w:val="24"/>
        </w:rPr>
        <w:t> </w:t>
      </w:r>
      <w:r>
        <w:rPr>
          <w:sz w:val="24"/>
        </w:rPr>
        <w:t>;</w:t>
      </w:r>
    </w:p>
    <w:p>
      <w:pPr>
        <w:pStyle w:val="ListParagraph"/>
        <w:numPr>
          <w:ilvl w:val="0"/>
          <w:numId w:val="26"/>
        </w:numPr>
        <w:tabs>
          <w:tab w:pos="820" w:val="left" w:leader="none"/>
        </w:tabs>
        <w:spacing w:line="240" w:lineRule="auto" w:before="0" w:after="0"/>
        <w:ind w:left="819" w:right="0" w:hanging="140"/>
        <w:jc w:val="left"/>
        <w:rPr>
          <w:sz w:val="24"/>
        </w:rPr>
      </w:pPr>
      <w:r>
        <w:rPr>
          <w:sz w:val="24"/>
        </w:rPr>
        <w:t>9997 chitante de plată</w:t>
      </w:r>
      <w:r>
        <w:rPr>
          <w:spacing w:val="59"/>
          <w:sz w:val="24"/>
        </w:rPr>
        <w:t> </w:t>
      </w:r>
      <w:r>
        <w:rPr>
          <w:sz w:val="24"/>
        </w:rPr>
        <w:t>;</w:t>
      </w:r>
    </w:p>
    <w:p>
      <w:pPr>
        <w:pStyle w:val="BodyText"/>
      </w:pPr>
      <w:r>
        <w:rPr/>
        <w:t>Au fost generate si verificate:</w:t>
      </w:r>
    </w:p>
    <w:p>
      <w:pPr>
        <w:pStyle w:val="ListParagraph"/>
        <w:numPr>
          <w:ilvl w:val="0"/>
          <w:numId w:val="26"/>
        </w:numPr>
        <w:tabs>
          <w:tab w:pos="820" w:val="left" w:leader="none"/>
        </w:tabs>
        <w:spacing w:line="240" w:lineRule="auto" w:before="0" w:after="0"/>
        <w:ind w:left="819" w:right="0" w:hanging="140"/>
        <w:jc w:val="left"/>
        <w:rPr>
          <w:sz w:val="24"/>
        </w:rPr>
      </w:pPr>
      <w:r>
        <w:rPr>
          <w:sz w:val="24"/>
        </w:rPr>
        <w:t>1136 liste documente de încasări</w:t>
      </w:r>
      <w:r>
        <w:rPr>
          <w:spacing w:val="-4"/>
          <w:sz w:val="24"/>
        </w:rPr>
        <w:t> </w:t>
      </w:r>
      <w:r>
        <w:rPr>
          <w:sz w:val="24"/>
        </w:rPr>
        <w:t>;</w:t>
      </w:r>
    </w:p>
    <w:p>
      <w:pPr>
        <w:pStyle w:val="ListParagraph"/>
        <w:numPr>
          <w:ilvl w:val="0"/>
          <w:numId w:val="26"/>
        </w:numPr>
        <w:tabs>
          <w:tab w:pos="820" w:val="left" w:leader="none"/>
        </w:tabs>
        <w:spacing w:line="240" w:lineRule="auto" w:before="0" w:after="0"/>
        <w:ind w:left="819" w:right="0" w:hanging="140"/>
        <w:jc w:val="left"/>
        <w:rPr>
          <w:sz w:val="24"/>
        </w:rPr>
      </w:pPr>
      <w:r>
        <w:rPr>
          <w:sz w:val="24"/>
        </w:rPr>
        <w:t>868 foi de vărsământ</w:t>
      </w:r>
      <w:r>
        <w:rPr>
          <w:spacing w:val="-1"/>
          <w:sz w:val="24"/>
        </w:rPr>
        <w:t> </w:t>
      </w:r>
      <w:r>
        <w:rPr>
          <w:sz w:val="24"/>
        </w:rPr>
        <w:t>;</w:t>
      </w:r>
    </w:p>
    <w:p>
      <w:pPr>
        <w:pStyle w:val="ListParagraph"/>
        <w:numPr>
          <w:ilvl w:val="0"/>
          <w:numId w:val="26"/>
        </w:numPr>
        <w:tabs>
          <w:tab w:pos="820" w:val="left" w:leader="none"/>
        </w:tabs>
        <w:spacing w:line="240" w:lineRule="auto" w:before="0" w:after="0"/>
        <w:ind w:left="819" w:right="0" w:hanging="140"/>
        <w:jc w:val="left"/>
        <w:rPr>
          <w:sz w:val="24"/>
        </w:rPr>
      </w:pPr>
      <w:r>
        <w:rPr>
          <w:sz w:val="24"/>
        </w:rPr>
        <w:t>2400 dosare de la Biroul Avize si Autorizatii</w:t>
      </w:r>
      <w:r>
        <w:rPr>
          <w:spacing w:val="55"/>
          <w:sz w:val="24"/>
        </w:rPr>
        <w:t> </w:t>
      </w:r>
      <w:r>
        <w:rPr>
          <w:sz w:val="24"/>
        </w:rPr>
        <w:t>;</w:t>
      </w:r>
    </w:p>
    <w:p>
      <w:pPr>
        <w:pStyle w:val="ListParagraph"/>
        <w:numPr>
          <w:ilvl w:val="0"/>
          <w:numId w:val="26"/>
        </w:numPr>
        <w:tabs>
          <w:tab w:pos="880" w:val="left" w:leader="none"/>
        </w:tabs>
        <w:spacing w:line="240" w:lineRule="auto" w:before="0" w:after="0"/>
        <w:ind w:left="680" w:right="7308" w:firstLine="60"/>
        <w:jc w:val="left"/>
        <w:rPr>
          <w:sz w:val="24"/>
        </w:rPr>
      </w:pPr>
      <w:r>
        <w:rPr>
          <w:sz w:val="24"/>
        </w:rPr>
        <w:t>226 dispozitii de plată si încasare </w:t>
      </w:r>
      <w:r>
        <w:rPr>
          <w:spacing w:val="-11"/>
          <w:sz w:val="24"/>
        </w:rPr>
        <w:t>; </w:t>
      </w:r>
      <w:r>
        <w:rPr>
          <w:sz w:val="24"/>
        </w:rPr>
        <w:t>Au fost trimise adrese lunar</w:t>
      </w:r>
      <w:r>
        <w:rPr>
          <w:spacing w:val="-5"/>
          <w:sz w:val="24"/>
        </w:rPr>
        <w:t> </w:t>
      </w:r>
      <w:r>
        <w:rPr>
          <w:sz w:val="24"/>
        </w:rPr>
        <w:t>către:</w:t>
      </w:r>
    </w:p>
    <w:p>
      <w:pPr>
        <w:pStyle w:val="ListParagraph"/>
        <w:numPr>
          <w:ilvl w:val="0"/>
          <w:numId w:val="26"/>
        </w:numPr>
        <w:tabs>
          <w:tab w:pos="923" w:val="left" w:leader="none"/>
        </w:tabs>
        <w:spacing w:line="240" w:lineRule="auto" w:before="0" w:after="0"/>
        <w:ind w:left="680" w:right="1133" w:firstLine="0"/>
        <w:jc w:val="left"/>
        <w:rPr>
          <w:sz w:val="24"/>
        </w:rPr>
      </w:pPr>
      <w:r>
        <w:rPr>
          <w:sz w:val="24"/>
        </w:rPr>
        <w:t>Agentia Natională de Administrare Fiscală a Marilor Contribuabili în vederea efectuării punctajului privind drepturile constatate si veniturile încasate</w:t>
      </w:r>
      <w:r>
        <w:rPr>
          <w:spacing w:val="57"/>
          <w:sz w:val="24"/>
        </w:rPr>
        <w:t> </w:t>
      </w:r>
      <w:r>
        <w:rPr>
          <w:sz w:val="24"/>
        </w:rPr>
        <w:t>;</w:t>
      </w:r>
    </w:p>
    <w:p>
      <w:pPr>
        <w:spacing w:after="0" w:line="240" w:lineRule="auto"/>
        <w:jc w:val="left"/>
        <w:rPr>
          <w:sz w:val="24"/>
        </w:rPr>
        <w:sectPr>
          <w:pgSz w:w="11910" w:h="16840"/>
          <w:pgMar w:header="0" w:footer="658" w:top="1420" w:bottom="920" w:left="400" w:right="0"/>
        </w:sectPr>
      </w:pPr>
    </w:p>
    <w:p>
      <w:pPr>
        <w:pStyle w:val="ListParagraph"/>
        <w:numPr>
          <w:ilvl w:val="0"/>
          <w:numId w:val="26"/>
        </w:numPr>
        <w:tabs>
          <w:tab w:pos="823" w:val="left" w:leader="none"/>
        </w:tabs>
        <w:spacing w:line="240" w:lineRule="auto" w:before="60" w:after="0"/>
        <w:ind w:left="680" w:right="1136" w:firstLine="0"/>
        <w:jc w:val="both"/>
        <w:rPr>
          <w:sz w:val="24"/>
        </w:rPr>
      </w:pPr>
      <w:r>
        <w:rPr>
          <w:sz w:val="24"/>
        </w:rPr>
        <w:t>Directia Generala de Finante Publice în vederea efectuării punctajului privind drepturile constatate si veniturile încasate</w:t>
      </w:r>
      <w:r>
        <w:rPr>
          <w:spacing w:val="58"/>
          <w:sz w:val="24"/>
        </w:rPr>
        <w:t> </w:t>
      </w:r>
      <w:r>
        <w:rPr>
          <w:sz w:val="24"/>
        </w:rPr>
        <w:t>;</w:t>
      </w:r>
    </w:p>
    <w:p>
      <w:pPr>
        <w:pStyle w:val="BodyText"/>
        <w:spacing w:before="1"/>
        <w:jc w:val="both"/>
      </w:pPr>
      <w:r>
        <w:rPr/>
        <w:t>Au fost întocmite:</w:t>
      </w:r>
    </w:p>
    <w:p>
      <w:pPr>
        <w:pStyle w:val="ListParagraph"/>
        <w:numPr>
          <w:ilvl w:val="0"/>
          <w:numId w:val="26"/>
        </w:numPr>
        <w:tabs>
          <w:tab w:pos="921" w:val="left" w:leader="none"/>
        </w:tabs>
        <w:spacing w:line="240" w:lineRule="auto" w:before="0" w:after="0"/>
        <w:ind w:left="680" w:right="1136" w:firstLine="60"/>
        <w:jc w:val="both"/>
        <w:rPr>
          <w:sz w:val="24"/>
        </w:rPr>
      </w:pPr>
      <w:r>
        <w:rPr>
          <w:sz w:val="24"/>
        </w:rPr>
        <w:t>situatiile financiare trimestriale si anuale ale directiei, potrivit normelor legale, răspunzând de realitatea si exactitatea datelor cuprinse</w:t>
      </w:r>
      <w:r>
        <w:rPr>
          <w:spacing w:val="-5"/>
          <w:sz w:val="24"/>
        </w:rPr>
        <w:t> </w:t>
      </w:r>
      <w:r>
        <w:rPr>
          <w:sz w:val="24"/>
        </w:rPr>
        <w:t>;</w:t>
      </w:r>
    </w:p>
    <w:p>
      <w:pPr>
        <w:pStyle w:val="ListParagraph"/>
        <w:numPr>
          <w:ilvl w:val="0"/>
          <w:numId w:val="26"/>
        </w:numPr>
        <w:tabs>
          <w:tab w:pos="820" w:val="left" w:leader="none"/>
        </w:tabs>
        <w:spacing w:line="240" w:lineRule="auto" w:before="0" w:after="0"/>
        <w:ind w:left="819" w:right="0" w:hanging="140"/>
        <w:jc w:val="both"/>
        <w:rPr>
          <w:sz w:val="24"/>
        </w:rPr>
      </w:pPr>
      <w:r>
        <w:rPr>
          <w:sz w:val="24"/>
        </w:rPr>
        <w:t>ordine de plată pentru achitarea obligatiilor institutiei către furnizoriii de bunuri si servicii</w:t>
      </w:r>
      <w:r>
        <w:rPr>
          <w:spacing w:val="51"/>
          <w:sz w:val="24"/>
        </w:rPr>
        <w:t> </w:t>
      </w:r>
      <w:r>
        <w:rPr>
          <w:sz w:val="24"/>
        </w:rPr>
        <w:t>;</w:t>
      </w:r>
    </w:p>
    <w:p>
      <w:pPr>
        <w:pStyle w:val="ListParagraph"/>
        <w:numPr>
          <w:ilvl w:val="0"/>
          <w:numId w:val="26"/>
        </w:numPr>
        <w:tabs>
          <w:tab w:pos="835" w:val="left" w:leader="none"/>
        </w:tabs>
        <w:spacing w:line="240" w:lineRule="auto" w:before="0" w:after="0"/>
        <w:ind w:left="680" w:right="1134" w:firstLine="0"/>
        <w:jc w:val="both"/>
        <w:rPr>
          <w:sz w:val="24"/>
        </w:rPr>
      </w:pPr>
      <w:r>
        <w:rPr>
          <w:sz w:val="24"/>
        </w:rPr>
        <w:t>s-a analizat componenta conturilor de debitori , s-a urmărit recuperarea debitorilor si s-au propus măsuri pentru lichidarea acestora prin imputarea în sarcina persoanelor vinovate</w:t>
      </w:r>
      <w:r>
        <w:rPr>
          <w:spacing w:val="-6"/>
          <w:sz w:val="24"/>
        </w:rPr>
        <w:t> </w:t>
      </w:r>
      <w:r>
        <w:rPr>
          <w:sz w:val="24"/>
        </w:rPr>
        <w:t>;</w:t>
      </w:r>
    </w:p>
    <w:p>
      <w:pPr>
        <w:pStyle w:val="ListParagraph"/>
        <w:numPr>
          <w:ilvl w:val="0"/>
          <w:numId w:val="26"/>
        </w:numPr>
        <w:tabs>
          <w:tab w:pos="827" w:val="left" w:leader="none"/>
        </w:tabs>
        <w:spacing w:line="240" w:lineRule="auto" w:before="0" w:after="0"/>
        <w:ind w:left="680" w:right="1130" w:firstLine="0"/>
        <w:jc w:val="both"/>
        <w:rPr>
          <w:sz w:val="24"/>
        </w:rPr>
      </w:pPr>
      <w:r>
        <w:rPr>
          <w:sz w:val="24"/>
        </w:rPr>
        <w:t>s-a întocmit « Registrul facturilor de plată » s-a urmărit achitarea acestora în termenii si conditiile legale. Pentru facturile emise de prestatorii de servicii (gaze, electricitate, apa, pază, telefoane,e.t.c.) care de regulă au termene limită fixate prin lege, s-a întocmit un scadentar urmărind asigurarea efectuării plătilor în termenul</w:t>
      </w:r>
      <w:r>
        <w:rPr>
          <w:spacing w:val="-1"/>
          <w:sz w:val="24"/>
        </w:rPr>
        <w:t> </w:t>
      </w:r>
      <w:r>
        <w:rPr>
          <w:sz w:val="24"/>
        </w:rPr>
        <w:t>stabilit.</w:t>
      </w:r>
    </w:p>
    <w:p>
      <w:pPr>
        <w:pStyle w:val="ListParagraph"/>
        <w:numPr>
          <w:ilvl w:val="0"/>
          <w:numId w:val="26"/>
        </w:numPr>
        <w:tabs>
          <w:tab w:pos="820" w:val="left" w:leader="none"/>
        </w:tabs>
        <w:spacing w:line="240" w:lineRule="auto" w:before="0" w:after="0"/>
        <w:ind w:left="819" w:right="0" w:hanging="140"/>
        <w:jc w:val="both"/>
        <w:rPr>
          <w:sz w:val="24"/>
        </w:rPr>
      </w:pPr>
      <w:r>
        <w:rPr>
          <w:sz w:val="24"/>
        </w:rPr>
        <w:t>evidenta analitică a furnizorilor si balanta lunară de verificare a acestui cont</w:t>
      </w:r>
      <w:r>
        <w:rPr>
          <w:spacing w:val="-8"/>
          <w:sz w:val="24"/>
        </w:rPr>
        <w:t> </w:t>
      </w:r>
      <w:r>
        <w:rPr>
          <w:sz w:val="24"/>
        </w:rPr>
        <w:t>;</w:t>
      </w:r>
    </w:p>
    <w:p>
      <w:pPr>
        <w:pStyle w:val="ListParagraph"/>
        <w:numPr>
          <w:ilvl w:val="0"/>
          <w:numId w:val="26"/>
        </w:numPr>
        <w:tabs>
          <w:tab w:pos="820" w:val="left" w:leader="none"/>
        </w:tabs>
        <w:spacing w:line="240" w:lineRule="auto" w:before="1" w:after="0"/>
        <w:ind w:left="819" w:right="0" w:hanging="140"/>
        <w:jc w:val="left"/>
        <w:rPr>
          <w:sz w:val="24"/>
        </w:rPr>
      </w:pPr>
      <w:r>
        <w:rPr>
          <w:sz w:val="24"/>
        </w:rPr>
        <w:t>corespondenta legată de furnizori</w:t>
      </w:r>
      <w:r>
        <w:rPr>
          <w:spacing w:val="-2"/>
          <w:sz w:val="24"/>
        </w:rPr>
        <w:t> </w:t>
      </w:r>
      <w:r>
        <w:rPr>
          <w:sz w:val="24"/>
        </w:rPr>
        <w:t>;</w:t>
      </w:r>
    </w:p>
    <w:p>
      <w:pPr>
        <w:pStyle w:val="ListParagraph"/>
        <w:numPr>
          <w:ilvl w:val="0"/>
          <w:numId w:val="26"/>
        </w:numPr>
        <w:tabs>
          <w:tab w:pos="880" w:val="left" w:leader="none"/>
        </w:tabs>
        <w:spacing w:line="240" w:lineRule="auto" w:before="0" w:after="0"/>
        <w:ind w:left="879" w:right="0" w:hanging="140"/>
        <w:jc w:val="left"/>
        <w:rPr>
          <w:sz w:val="24"/>
        </w:rPr>
      </w:pPr>
      <w:r>
        <w:rPr>
          <w:sz w:val="24"/>
        </w:rPr>
        <w:t>evidenta plătilor si cheltuielilor efective, în analitic, pe programe nationale de sănătate proprii</w:t>
      </w:r>
      <w:r>
        <w:rPr>
          <w:spacing w:val="-9"/>
          <w:sz w:val="24"/>
        </w:rPr>
        <w:t> </w:t>
      </w:r>
      <w:r>
        <w:rPr>
          <w:sz w:val="24"/>
        </w:rPr>
        <w:t>;</w:t>
      </w:r>
    </w:p>
    <w:p>
      <w:pPr>
        <w:pStyle w:val="ListParagraph"/>
        <w:numPr>
          <w:ilvl w:val="0"/>
          <w:numId w:val="26"/>
        </w:numPr>
        <w:tabs>
          <w:tab w:pos="823" w:val="left" w:leader="none"/>
        </w:tabs>
        <w:spacing w:line="240" w:lineRule="auto" w:before="0" w:after="0"/>
        <w:ind w:left="680" w:right="1143" w:firstLine="0"/>
        <w:jc w:val="left"/>
        <w:rPr>
          <w:sz w:val="24"/>
        </w:rPr>
      </w:pPr>
      <w:r>
        <w:rPr>
          <w:sz w:val="24"/>
        </w:rPr>
        <w:t>evidenta plătilor si a cheltuielilor efective, în analitic, pe cadrul comun al cheltuielilor, din surse de venituri proprii</w:t>
      </w:r>
      <w:r>
        <w:rPr>
          <w:spacing w:val="-1"/>
          <w:sz w:val="24"/>
        </w:rPr>
        <w:t> </w:t>
      </w:r>
      <w:r>
        <w:rPr>
          <w:sz w:val="24"/>
        </w:rPr>
        <w:t>;</w:t>
      </w:r>
    </w:p>
    <w:p>
      <w:pPr>
        <w:pStyle w:val="ListParagraph"/>
        <w:numPr>
          <w:ilvl w:val="0"/>
          <w:numId w:val="26"/>
        </w:numPr>
        <w:tabs>
          <w:tab w:pos="827" w:val="left" w:leader="none"/>
        </w:tabs>
        <w:spacing w:line="240" w:lineRule="auto" w:before="0" w:after="0"/>
        <w:ind w:left="680" w:right="1142" w:firstLine="0"/>
        <w:jc w:val="left"/>
        <w:rPr>
          <w:sz w:val="24"/>
        </w:rPr>
      </w:pPr>
      <w:r>
        <w:rPr>
          <w:sz w:val="24"/>
        </w:rPr>
        <w:t>notele contabile pe baza documentelor justificative care stau la baza înregistrărilor în contabilitate, s-a verificat legalitatea , realitatea, economicitatea si oportunitatea acestora</w:t>
      </w:r>
      <w:r>
        <w:rPr>
          <w:spacing w:val="-4"/>
          <w:sz w:val="24"/>
        </w:rPr>
        <w:t> </w:t>
      </w:r>
      <w:r>
        <w:rPr>
          <w:sz w:val="24"/>
        </w:rPr>
        <w:t>;</w:t>
      </w:r>
    </w:p>
    <w:p>
      <w:pPr>
        <w:pStyle w:val="ListParagraph"/>
        <w:numPr>
          <w:ilvl w:val="0"/>
          <w:numId w:val="26"/>
        </w:numPr>
        <w:tabs>
          <w:tab w:pos="820" w:val="left" w:leader="none"/>
        </w:tabs>
        <w:spacing w:line="240" w:lineRule="auto" w:before="0" w:after="0"/>
        <w:ind w:left="680" w:right="1134" w:firstLine="0"/>
        <w:jc w:val="both"/>
        <w:rPr>
          <w:sz w:val="24"/>
        </w:rPr>
      </w:pPr>
      <w:r>
        <w:rPr>
          <w:sz w:val="24"/>
        </w:rPr>
        <w:t>pe baza fiselor de evidenta analitică, s-a intocmit contul de debitori din utilităti în policlinica Vitan. si s-a urmărit încasarea debitelor la termene, a întocmit si corespondenta legată de comunicarea restantelor</w:t>
      </w:r>
      <w:r>
        <w:rPr>
          <w:spacing w:val="-1"/>
          <w:sz w:val="24"/>
        </w:rPr>
        <w:t> </w:t>
      </w:r>
      <w:r>
        <w:rPr>
          <w:sz w:val="24"/>
        </w:rPr>
        <w:t>;</w:t>
      </w:r>
    </w:p>
    <w:p>
      <w:pPr>
        <w:pStyle w:val="BodyText"/>
        <w:ind w:right="1134"/>
        <w:jc w:val="both"/>
      </w:pPr>
      <w:r>
        <w:rPr/>
        <w:t>-evidenta drepturilor constatate si a veniturilor încasate, pe categorii de venituri si pe fiecare debitor în parte, din contributiile instituite pentru combaterea consumului excesiv de produse din tutun si băuturi alcoolice, care se deduc din accizele datorate de persoanele juridice care produc si importă produse din tutun si alcool ;</w:t>
      </w:r>
    </w:p>
    <w:p>
      <w:pPr>
        <w:pStyle w:val="BodyText"/>
        <w:ind w:right="1136"/>
        <w:jc w:val="both"/>
      </w:pPr>
      <w:r>
        <w:rPr/>
        <w:t>-situatii lunare si trimestriale pe baza datelor din evidenta contabilă sintetică si analitică, care se raportează la Ministerul Sănătătii , în număr de 120 situatii ;</w:t>
      </w:r>
    </w:p>
    <w:p>
      <w:pPr>
        <w:pStyle w:val="ListParagraph"/>
        <w:numPr>
          <w:ilvl w:val="0"/>
          <w:numId w:val="26"/>
        </w:numPr>
        <w:tabs>
          <w:tab w:pos="820" w:val="left" w:leader="none"/>
        </w:tabs>
        <w:spacing w:line="240" w:lineRule="auto" w:before="0" w:after="0"/>
        <w:ind w:left="819" w:right="0" w:hanging="140"/>
        <w:jc w:val="both"/>
        <w:rPr>
          <w:sz w:val="24"/>
        </w:rPr>
      </w:pPr>
      <w:r>
        <w:rPr>
          <w:sz w:val="24"/>
        </w:rPr>
        <w:t>corespondenta legată de urmărirea încasărilor la nivelul drepturilor constatate</w:t>
      </w:r>
      <w:r>
        <w:rPr>
          <w:spacing w:val="-4"/>
          <w:sz w:val="24"/>
        </w:rPr>
        <w:t> </w:t>
      </w:r>
      <w:r>
        <w:rPr>
          <w:sz w:val="24"/>
        </w:rPr>
        <w:t>;</w:t>
      </w:r>
    </w:p>
    <w:p>
      <w:pPr>
        <w:pStyle w:val="ListParagraph"/>
        <w:numPr>
          <w:ilvl w:val="0"/>
          <w:numId w:val="26"/>
        </w:numPr>
        <w:tabs>
          <w:tab w:pos="820" w:val="left" w:leader="none"/>
        </w:tabs>
        <w:spacing w:line="240" w:lineRule="auto" w:before="1" w:after="0"/>
        <w:ind w:left="819" w:right="0" w:hanging="140"/>
        <w:jc w:val="both"/>
        <w:rPr>
          <w:sz w:val="24"/>
        </w:rPr>
      </w:pPr>
      <w:r>
        <w:rPr>
          <w:sz w:val="24"/>
        </w:rPr>
        <w:t>evidenta sintetică a tuturor conturilor , balanta sintetică</w:t>
      </w:r>
      <w:r>
        <w:rPr>
          <w:spacing w:val="-6"/>
          <w:sz w:val="24"/>
        </w:rPr>
        <w:t> </w:t>
      </w:r>
      <w:r>
        <w:rPr>
          <w:sz w:val="24"/>
        </w:rPr>
        <w:t>lunară,</w:t>
      </w:r>
    </w:p>
    <w:p>
      <w:pPr>
        <w:pStyle w:val="ListParagraph"/>
        <w:numPr>
          <w:ilvl w:val="0"/>
          <w:numId w:val="26"/>
        </w:numPr>
        <w:tabs>
          <w:tab w:pos="875" w:val="left" w:leader="none"/>
        </w:tabs>
        <w:spacing w:line="240" w:lineRule="auto" w:before="0" w:after="0"/>
        <w:ind w:left="680" w:right="1136" w:firstLine="0"/>
        <w:jc w:val="both"/>
        <w:rPr>
          <w:sz w:val="24"/>
        </w:rPr>
      </w:pPr>
      <w:r>
        <w:rPr>
          <w:sz w:val="24"/>
        </w:rPr>
        <w:t>s-a verificat concordanta balantelor analitice cu rulajele </w:t>
      </w:r>
      <w:r>
        <w:rPr>
          <w:spacing w:val="2"/>
          <w:sz w:val="24"/>
        </w:rPr>
        <w:t>si </w:t>
      </w:r>
      <w:r>
        <w:rPr>
          <w:sz w:val="24"/>
        </w:rPr>
        <w:t>soldurile conturilor sintetice si cu documentele de bancă sau trezorerie, după caz</w:t>
      </w:r>
      <w:r>
        <w:rPr>
          <w:spacing w:val="-2"/>
          <w:sz w:val="24"/>
        </w:rPr>
        <w:t> </w:t>
      </w:r>
      <w:r>
        <w:rPr>
          <w:sz w:val="24"/>
        </w:rPr>
        <w:t>;</w:t>
      </w:r>
    </w:p>
    <w:p>
      <w:pPr>
        <w:pStyle w:val="ListParagraph"/>
        <w:numPr>
          <w:ilvl w:val="0"/>
          <w:numId w:val="26"/>
        </w:numPr>
        <w:tabs>
          <w:tab w:pos="832" w:val="left" w:leader="none"/>
        </w:tabs>
        <w:spacing w:line="240" w:lineRule="auto" w:before="0" w:after="0"/>
        <w:ind w:left="680" w:right="1134" w:firstLine="0"/>
        <w:jc w:val="both"/>
        <w:rPr>
          <w:sz w:val="24"/>
        </w:rPr>
      </w:pPr>
      <w:r>
        <w:rPr>
          <w:sz w:val="24"/>
        </w:rPr>
        <w:t>evidenta plătilor din alocatii bugetare si a cheltuielilor efective pe subcapitole, articole si alineate, conform cadrului comun al clasificatiei bugetare aprobate ;</w:t>
      </w:r>
    </w:p>
    <w:p>
      <w:pPr>
        <w:pStyle w:val="ListParagraph"/>
        <w:numPr>
          <w:ilvl w:val="0"/>
          <w:numId w:val="26"/>
        </w:numPr>
        <w:tabs>
          <w:tab w:pos="871" w:val="left" w:leader="none"/>
        </w:tabs>
        <w:spacing w:line="240" w:lineRule="auto" w:before="0" w:after="0"/>
        <w:ind w:left="680" w:right="1139" w:firstLine="0"/>
        <w:jc w:val="both"/>
        <w:rPr>
          <w:sz w:val="24"/>
        </w:rPr>
      </w:pPr>
      <w:r>
        <w:rPr>
          <w:sz w:val="24"/>
        </w:rPr>
        <w:t>jurnalul « notelor contabile » si s-a verificat concordanta cu rulajele lunare  ale  balantelor analitice si cea</w:t>
      </w:r>
      <w:r>
        <w:rPr>
          <w:spacing w:val="-3"/>
          <w:sz w:val="24"/>
        </w:rPr>
        <w:t> </w:t>
      </w:r>
      <w:r>
        <w:rPr>
          <w:sz w:val="24"/>
        </w:rPr>
        <w:t>sintetică.</w:t>
      </w:r>
    </w:p>
    <w:p>
      <w:pPr>
        <w:pStyle w:val="ListParagraph"/>
        <w:numPr>
          <w:ilvl w:val="0"/>
          <w:numId w:val="26"/>
        </w:numPr>
        <w:tabs>
          <w:tab w:pos="887" w:val="left" w:leader="none"/>
        </w:tabs>
        <w:spacing w:line="240" w:lineRule="auto" w:before="0" w:after="0"/>
        <w:ind w:left="886" w:right="0" w:hanging="147"/>
        <w:jc w:val="both"/>
        <w:rPr>
          <w:sz w:val="24"/>
        </w:rPr>
      </w:pPr>
      <w:r>
        <w:rPr>
          <w:sz w:val="24"/>
        </w:rPr>
        <w:t>evidenta analitică a conturilor din afară bilantului 8060</w:t>
      </w:r>
      <w:r>
        <w:rPr>
          <w:spacing w:val="18"/>
          <w:sz w:val="24"/>
        </w:rPr>
        <w:t> </w:t>
      </w:r>
      <w:r>
        <w:rPr>
          <w:i/>
          <w:sz w:val="24"/>
        </w:rPr>
        <w:t>,,creantele deschise de repartizat</w:t>
      </w:r>
      <w:r>
        <w:rPr>
          <w:sz w:val="24"/>
        </w:rPr>
        <w:t>,, si 8066</w:t>
      </w:r>
    </w:p>
    <w:p>
      <w:pPr>
        <w:spacing w:before="0"/>
        <w:ind w:left="680" w:right="0" w:firstLine="0"/>
        <w:jc w:val="both"/>
        <w:rPr>
          <w:i/>
          <w:sz w:val="24"/>
        </w:rPr>
      </w:pPr>
      <w:r>
        <w:rPr>
          <w:sz w:val="24"/>
        </w:rPr>
        <w:t>,,</w:t>
      </w:r>
      <w:r>
        <w:rPr>
          <w:i/>
          <w:sz w:val="24"/>
        </w:rPr>
        <w:t>angajamente bugetare,,</w:t>
      </w:r>
    </w:p>
    <w:p>
      <w:pPr>
        <w:pStyle w:val="ListParagraph"/>
        <w:numPr>
          <w:ilvl w:val="0"/>
          <w:numId w:val="26"/>
        </w:numPr>
        <w:tabs>
          <w:tab w:pos="825" w:val="left" w:leader="none"/>
        </w:tabs>
        <w:spacing w:line="240" w:lineRule="auto" w:before="0" w:after="0"/>
        <w:ind w:left="680" w:right="1133" w:firstLine="0"/>
        <w:jc w:val="both"/>
        <w:rPr>
          <w:sz w:val="24"/>
        </w:rPr>
      </w:pPr>
      <w:r>
        <w:rPr>
          <w:sz w:val="24"/>
        </w:rPr>
        <w:t>s-a întocmit, verificat si centralizat situatia soldurilor de disponibil din bănci la fiecare trimestru </w:t>
      </w:r>
      <w:r>
        <w:rPr>
          <w:spacing w:val="2"/>
          <w:sz w:val="24"/>
        </w:rPr>
        <w:t>si </w:t>
      </w:r>
      <w:r>
        <w:rPr>
          <w:sz w:val="24"/>
        </w:rPr>
        <w:t>la finele anului, pentru unitătile sanitare din subordine, o data cu depunerea situatiilor</w:t>
      </w:r>
      <w:r>
        <w:rPr>
          <w:spacing w:val="-10"/>
          <w:sz w:val="24"/>
        </w:rPr>
        <w:t> </w:t>
      </w:r>
      <w:r>
        <w:rPr>
          <w:sz w:val="24"/>
        </w:rPr>
        <w:t>financiare.</w:t>
      </w:r>
    </w:p>
    <w:p>
      <w:pPr>
        <w:pStyle w:val="ListParagraph"/>
        <w:numPr>
          <w:ilvl w:val="0"/>
          <w:numId w:val="26"/>
        </w:numPr>
        <w:tabs>
          <w:tab w:pos="820" w:val="left" w:leader="none"/>
        </w:tabs>
        <w:spacing w:line="240" w:lineRule="auto" w:before="0" w:after="0"/>
        <w:ind w:left="819" w:right="0" w:hanging="140"/>
        <w:jc w:val="both"/>
        <w:rPr>
          <w:sz w:val="24"/>
        </w:rPr>
      </w:pPr>
      <w:r>
        <w:rPr>
          <w:sz w:val="24"/>
        </w:rPr>
        <w:t>s-a verificat si controlat bonurile de consum de materiale pentru conturile pe care le</w:t>
      </w:r>
      <w:r>
        <w:rPr>
          <w:spacing w:val="-7"/>
          <w:sz w:val="24"/>
        </w:rPr>
        <w:t> </w:t>
      </w:r>
      <w:r>
        <w:rPr>
          <w:sz w:val="24"/>
        </w:rPr>
        <w:t>conduce.</w:t>
      </w:r>
    </w:p>
    <w:p>
      <w:pPr>
        <w:pStyle w:val="ListParagraph"/>
        <w:numPr>
          <w:ilvl w:val="0"/>
          <w:numId w:val="26"/>
        </w:numPr>
        <w:tabs>
          <w:tab w:pos="820" w:val="left" w:leader="none"/>
        </w:tabs>
        <w:spacing w:line="240" w:lineRule="auto" w:before="0" w:after="0"/>
        <w:ind w:left="819" w:right="0" w:hanging="140"/>
        <w:jc w:val="both"/>
        <w:rPr>
          <w:sz w:val="24"/>
        </w:rPr>
      </w:pPr>
      <w:r>
        <w:rPr>
          <w:sz w:val="24"/>
        </w:rPr>
        <w:t>s-a asigurat confruntarea, prin punctaj lunar, cu datele din fisele de magazie.</w:t>
      </w:r>
    </w:p>
    <w:p>
      <w:pPr>
        <w:pStyle w:val="ListParagraph"/>
        <w:numPr>
          <w:ilvl w:val="0"/>
          <w:numId w:val="26"/>
        </w:numPr>
        <w:tabs>
          <w:tab w:pos="851" w:val="left" w:leader="none"/>
        </w:tabs>
        <w:spacing w:line="240" w:lineRule="auto" w:before="0" w:after="0"/>
        <w:ind w:left="680" w:right="1133" w:firstLine="0"/>
        <w:jc w:val="both"/>
        <w:rPr>
          <w:sz w:val="24"/>
        </w:rPr>
      </w:pPr>
      <w:r>
        <w:rPr>
          <w:sz w:val="24"/>
        </w:rPr>
        <w:t>s-a analizat continutul soldurilor si al rulajelor conturilor de mai sus, sesizând materialele care prezintă miscarea lentă sau cu consumul</w:t>
      </w:r>
      <w:r>
        <w:rPr>
          <w:spacing w:val="-2"/>
          <w:sz w:val="24"/>
        </w:rPr>
        <w:t> </w:t>
      </w:r>
      <w:r>
        <w:rPr>
          <w:sz w:val="24"/>
        </w:rPr>
        <w:t>normat.</w:t>
      </w:r>
    </w:p>
    <w:p>
      <w:pPr>
        <w:pStyle w:val="ListParagraph"/>
        <w:numPr>
          <w:ilvl w:val="0"/>
          <w:numId w:val="26"/>
        </w:numPr>
        <w:tabs>
          <w:tab w:pos="825" w:val="left" w:leader="none"/>
        </w:tabs>
        <w:spacing w:line="240" w:lineRule="auto" w:before="0" w:after="0"/>
        <w:ind w:left="680" w:right="1141" w:firstLine="0"/>
        <w:jc w:val="both"/>
        <w:rPr>
          <w:sz w:val="24"/>
        </w:rPr>
      </w:pPr>
      <w:r>
        <w:rPr>
          <w:sz w:val="24"/>
        </w:rPr>
        <w:t>s-a inventariat , cel putin o dată pe lună , prin sondaj, materiale din magazie, sesizând dacă acestea se gestionează în conformitate cu prevederile</w:t>
      </w:r>
      <w:r>
        <w:rPr>
          <w:spacing w:val="-5"/>
          <w:sz w:val="24"/>
        </w:rPr>
        <w:t> </w:t>
      </w:r>
      <w:r>
        <w:rPr>
          <w:sz w:val="24"/>
        </w:rPr>
        <w:t>legale</w:t>
      </w:r>
    </w:p>
    <w:p>
      <w:pPr>
        <w:pStyle w:val="ListParagraph"/>
        <w:numPr>
          <w:ilvl w:val="0"/>
          <w:numId w:val="26"/>
        </w:numPr>
        <w:tabs>
          <w:tab w:pos="856" w:val="left" w:leader="none"/>
        </w:tabs>
        <w:spacing w:line="240" w:lineRule="auto" w:before="1" w:after="0"/>
        <w:ind w:left="680" w:right="1137" w:firstLine="0"/>
        <w:jc w:val="both"/>
        <w:rPr>
          <w:sz w:val="24"/>
        </w:rPr>
      </w:pPr>
      <w:r>
        <w:rPr>
          <w:sz w:val="24"/>
        </w:rPr>
        <w:t>s-a solicitat Ministerului Sănătătii, la termenele stabilite, deschideri de credite bugetare pentru  luna următoare, pe titluri de cheltuieli si programe de</w:t>
      </w:r>
      <w:r>
        <w:rPr>
          <w:spacing w:val="-5"/>
          <w:sz w:val="24"/>
        </w:rPr>
        <w:t> </w:t>
      </w:r>
      <w:r>
        <w:rPr>
          <w:sz w:val="24"/>
        </w:rPr>
        <w:t>sănătate.</w:t>
      </w:r>
    </w:p>
    <w:p>
      <w:pPr>
        <w:spacing w:after="0" w:line="240" w:lineRule="auto"/>
        <w:jc w:val="both"/>
        <w:rPr>
          <w:sz w:val="24"/>
        </w:rPr>
        <w:sectPr>
          <w:pgSz w:w="11910" w:h="16840"/>
          <w:pgMar w:header="0" w:footer="658" w:top="1360" w:bottom="920" w:left="400" w:right="0"/>
        </w:sectPr>
      </w:pPr>
    </w:p>
    <w:p>
      <w:pPr>
        <w:pStyle w:val="ListParagraph"/>
        <w:numPr>
          <w:ilvl w:val="0"/>
          <w:numId w:val="26"/>
        </w:numPr>
        <w:tabs>
          <w:tab w:pos="859" w:val="left" w:leader="none"/>
        </w:tabs>
        <w:spacing w:line="240" w:lineRule="auto" w:before="60" w:after="0"/>
        <w:ind w:left="680" w:right="1135" w:firstLine="0"/>
        <w:jc w:val="both"/>
        <w:rPr>
          <w:sz w:val="24"/>
        </w:rPr>
      </w:pPr>
      <w:r>
        <w:rPr>
          <w:sz w:val="24"/>
        </w:rPr>
        <w:t>registrul numerelor de inventar pe fiecare categorie de mijloc fix, atribuind număr de inventar individual, fiecărui mijloc fix, completând cu date din documentele justificative toate rubricile acestuia.</w:t>
      </w:r>
    </w:p>
    <w:p>
      <w:pPr>
        <w:pStyle w:val="ListParagraph"/>
        <w:numPr>
          <w:ilvl w:val="0"/>
          <w:numId w:val="26"/>
        </w:numPr>
        <w:tabs>
          <w:tab w:pos="839" w:val="left" w:leader="none"/>
        </w:tabs>
        <w:spacing w:line="240" w:lineRule="auto" w:before="1" w:after="0"/>
        <w:ind w:left="680" w:right="1136" w:firstLine="0"/>
        <w:jc w:val="both"/>
        <w:rPr>
          <w:sz w:val="24"/>
        </w:rPr>
      </w:pPr>
      <w:r>
        <w:rPr>
          <w:sz w:val="24"/>
        </w:rPr>
        <w:t>balanta anuală pentru conturile de mijloace fixe, astfel încât să existe certitudinea înregistrării si evidentierii tuturor bunurilor din</w:t>
      </w:r>
      <w:r>
        <w:rPr>
          <w:spacing w:val="-3"/>
          <w:sz w:val="24"/>
        </w:rPr>
        <w:t> </w:t>
      </w:r>
      <w:r>
        <w:rPr>
          <w:sz w:val="24"/>
        </w:rPr>
        <w:t>patrimoniu.</w:t>
      </w:r>
    </w:p>
    <w:p>
      <w:pPr>
        <w:pStyle w:val="ListParagraph"/>
        <w:numPr>
          <w:ilvl w:val="0"/>
          <w:numId w:val="26"/>
        </w:numPr>
        <w:tabs>
          <w:tab w:pos="820" w:val="left" w:leader="none"/>
        </w:tabs>
        <w:spacing w:line="240" w:lineRule="auto" w:before="0" w:after="0"/>
        <w:ind w:left="819" w:right="0" w:hanging="140"/>
        <w:jc w:val="both"/>
        <w:rPr>
          <w:sz w:val="24"/>
        </w:rPr>
      </w:pPr>
      <w:r>
        <w:rPr>
          <w:sz w:val="24"/>
        </w:rPr>
        <w:t>înregistrarea în evidenl contabilă a amortizării mijloacelor fixe</w:t>
      </w:r>
      <w:r>
        <w:rPr>
          <w:spacing w:val="-2"/>
          <w:sz w:val="24"/>
        </w:rPr>
        <w:t> </w:t>
      </w:r>
      <w:r>
        <w:rPr>
          <w:sz w:val="24"/>
        </w:rPr>
        <w:t>;</w:t>
      </w:r>
    </w:p>
    <w:p>
      <w:pPr>
        <w:pStyle w:val="ListParagraph"/>
        <w:numPr>
          <w:ilvl w:val="0"/>
          <w:numId w:val="26"/>
        </w:numPr>
        <w:tabs>
          <w:tab w:pos="856" w:val="left" w:leader="none"/>
        </w:tabs>
        <w:spacing w:line="240" w:lineRule="auto" w:before="0" w:after="0"/>
        <w:ind w:left="680" w:right="1138" w:firstLine="0"/>
        <w:jc w:val="both"/>
        <w:rPr>
          <w:sz w:val="24"/>
        </w:rPr>
      </w:pPr>
      <w:r>
        <w:rPr>
          <w:sz w:val="24"/>
        </w:rPr>
        <w:t>calculul si înregistrarea în evidenta contabilă a reevaluărilor mijloacelor fixe conf. prevederilor legale</w:t>
      </w:r>
    </w:p>
    <w:p>
      <w:pPr>
        <w:pStyle w:val="BodyText"/>
        <w:ind w:right="1134"/>
        <w:jc w:val="both"/>
      </w:pPr>
      <w:r>
        <w:rPr/>
        <w:t>Prin activitatea serviciului contabilitate , au fost puse la dispozitia ordonatorului de credite informatii cu privire la executia bugetului de venituri si cheltuieli, rezultatul executiei bugetare, patrimoniul aflat în administrare, costul programelor</w:t>
      </w:r>
      <w:r>
        <w:rPr>
          <w:spacing w:val="-2"/>
        </w:rPr>
        <w:t> </w:t>
      </w:r>
      <w:r>
        <w:rPr/>
        <w:t>aprobate.</w:t>
      </w:r>
    </w:p>
    <w:p>
      <w:pPr>
        <w:pStyle w:val="BodyText"/>
        <w:ind w:right="1133" w:firstLine="60"/>
        <w:jc w:val="both"/>
      </w:pPr>
      <w:r>
        <w:rPr/>
        <w:t>De asemenea au fost furnizate informatii din evidenta proprie ordonatorului de credite, cât si  forului superior, Ministerul Sănătătii, privitoare la situatiile financiare periodice, bilant, cât si informatii necesare pentru întocmirea contului general de executie, a bugetului de stat, </w:t>
      </w:r>
      <w:r>
        <w:rPr>
          <w:spacing w:val="2"/>
        </w:rPr>
        <w:t>si </w:t>
      </w:r>
      <w:r>
        <w:rPr/>
        <w:t>cel al fondurilor</w:t>
      </w:r>
      <w:r>
        <w:rPr>
          <w:spacing w:val="-1"/>
        </w:rPr>
        <w:t> </w:t>
      </w:r>
      <w:r>
        <w:rPr/>
        <w:t>speciale.</w:t>
      </w:r>
    </w:p>
    <w:p>
      <w:pPr>
        <w:pStyle w:val="BodyText"/>
        <w:spacing w:before="1"/>
        <w:jc w:val="both"/>
      </w:pPr>
      <w:r>
        <w:rPr/>
        <w:t>Alte activitati :</w:t>
      </w:r>
    </w:p>
    <w:p>
      <w:pPr>
        <w:pStyle w:val="ListParagraph"/>
        <w:numPr>
          <w:ilvl w:val="0"/>
          <w:numId w:val="26"/>
        </w:numPr>
        <w:tabs>
          <w:tab w:pos="820" w:val="left" w:leader="none"/>
        </w:tabs>
        <w:spacing w:line="240" w:lineRule="auto" w:before="0" w:after="0"/>
        <w:ind w:left="819" w:right="0" w:hanging="140"/>
        <w:jc w:val="both"/>
        <w:rPr>
          <w:sz w:val="24"/>
        </w:rPr>
      </w:pPr>
      <w:r>
        <w:rPr>
          <w:sz w:val="24"/>
        </w:rPr>
        <w:t>au fost elaborate noi proceduri privind activitătile din cadrul Biroului</w:t>
      </w:r>
      <w:r>
        <w:rPr>
          <w:spacing w:val="57"/>
          <w:sz w:val="24"/>
        </w:rPr>
        <w:t> </w:t>
      </w:r>
      <w:r>
        <w:rPr>
          <w:sz w:val="24"/>
        </w:rPr>
        <w:t>Contabilitate</w:t>
      </w:r>
    </w:p>
    <w:p>
      <w:pPr>
        <w:pStyle w:val="ListParagraph"/>
        <w:numPr>
          <w:ilvl w:val="0"/>
          <w:numId w:val="26"/>
        </w:numPr>
        <w:tabs>
          <w:tab w:pos="820" w:val="left" w:leader="none"/>
        </w:tabs>
        <w:spacing w:line="240" w:lineRule="auto" w:before="0" w:after="0"/>
        <w:ind w:left="819" w:right="0" w:hanging="140"/>
        <w:jc w:val="both"/>
        <w:rPr>
          <w:sz w:val="24"/>
        </w:rPr>
      </w:pPr>
      <w:r>
        <w:rPr>
          <w:sz w:val="24"/>
        </w:rPr>
        <w:t>au fost actualizate fisele de post ale întregului personal</w:t>
      </w:r>
    </w:p>
    <w:p>
      <w:pPr>
        <w:pStyle w:val="BodyText"/>
        <w:ind w:right="1134"/>
        <w:jc w:val="both"/>
      </w:pPr>
      <w:r>
        <w:rPr/>
        <w:t>Programul informatic cu ajutorul căruia se elaborau documentele privind activitatea contabilitătii , implementat, a fost înlocuit cu un program care asigură controlul înregistrărilor, listarea raportărilor sau situatiilor cerute.</w:t>
      </w:r>
    </w:p>
    <w:p>
      <w:pPr>
        <w:pStyle w:val="ListParagraph"/>
        <w:numPr>
          <w:ilvl w:val="0"/>
          <w:numId w:val="26"/>
        </w:numPr>
        <w:tabs>
          <w:tab w:pos="830" w:val="left" w:leader="none"/>
        </w:tabs>
        <w:spacing w:line="240" w:lineRule="auto" w:before="0" w:after="0"/>
        <w:ind w:left="680" w:right="1132" w:firstLine="0"/>
        <w:jc w:val="both"/>
        <w:rPr>
          <w:sz w:val="24"/>
        </w:rPr>
      </w:pPr>
      <w:r>
        <w:rPr>
          <w:sz w:val="24"/>
        </w:rPr>
        <w:t>au fost reluate lucrările privind scoaterea din functiune a mijloacelor fixe cu durată de functionare expirată, urmând ca documentul continând propunerile de casare să fie înaintat la directia specializată din cadrul Ministerului</w:t>
      </w:r>
      <w:r>
        <w:rPr>
          <w:spacing w:val="-1"/>
          <w:sz w:val="24"/>
        </w:rPr>
        <w:t> </w:t>
      </w:r>
      <w:r>
        <w:rPr>
          <w:sz w:val="24"/>
        </w:rPr>
        <w:t>Sănătătii.</w:t>
      </w:r>
    </w:p>
    <w:p>
      <w:pPr>
        <w:pStyle w:val="ListParagraph"/>
        <w:numPr>
          <w:ilvl w:val="0"/>
          <w:numId w:val="26"/>
        </w:numPr>
        <w:tabs>
          <w:tab w:pos="820" w:val="left" w:leader="none"/>
        </w:tabs>
        <w:spacing w:line="240" w:lineRule="auto" w:before="0" w:after="0"/>
        <w:ind w:left="819" w:right="0" w:hanging="140"/>
        <w:jc w:val="both"/>
        <w:rPr>
          <w:sz w:val="24"/>
        </w:rPr>
      </w:pPr>
      <w:r>
        <w:rPr>
          <w:sz w:val="24"/>
        </w:rPr>
        <w:t>au fost amenajate spatii speciale pentru păstrarea/arhivarea în conditii optime a</w:t>
      </w:r>
      <w:r>
        <w:rPr>
          <w:spacing w:val="-6"/>
          <w:sz w:val="24"/>
        </w:rPr>
        <w:t> </w:t>
      </w:r>
      <w:r>
        <w:rPr>
          <w:sz w:val="24"/>
        </w:rPr>
        <w:t>documentelor.</w:t>
      </w:r>
    </w:p>
    <w:p>
      <w:pPr>
        <w:pStyle w:val="BodyText"/>
        <w:ind w:left="0"/>
        <w:rPr>
          <w:sz w:val="26"/>
        </w:rPr>
      </w:pPr>
    </w:p>
    <w:p>
      <w:pPr>
        <w:pStyle w:val="BodyText"/>
        <w:ind w:left="0"/>
        <w:rPr>
          <w:sz w:val="22"/>
        </w:rPr>
      </w:pPr>
    </w:p>
    <w:p>
      <w:pPr>
        <w:pStyle w:val="Heading1"/>
        <w:ind w:left="680"/>
        <w:jc w:val="both"/>
        <w:rPr>
          <w:u w:val="none"/>
        </w:rPr>
      </w:pPr>
      <w:r>
        <w:rPr>
          <w:u w:val="thick"/>
        </w:rPr>
        <w:t>SERVICIUL CONTROL IN SANATATE PUBLICA</w:t>
      </w:r>
    </w:p>
    <w:p>
      <w:pPr>
        <w:pStyle w:val="BodyText"/>
        <w:spacing w:before="3"/>
        <w:ind w:left="0"/>
        <w:rPr>
          <w:b/>
          <w:sz w:val="16"/>
        </w:rPr>
      </w:pPr>
    </w:p>
    <w:p>
      <w:pPr>
        <w:pStyle w:val="BodyText"/>
        <w:spacing w:before="90"/>
        <w:ind w:right="1134"/>
        <w:jc w:val="both"/>
      </w:pPr>
      <w:r>
        <w:rPr/>
        <w:t>În conformitate cu Legea nr. 95/2006 privind reforma în domeniul sănătăţii, cu Ord. MS nr. 1078/2010 privind aprobarea regulamentului de organizare şi funcţionare şi a structurii organizatorice ale Direcţiilor de Sănătate Publică judeţene şi a Municipiului Bucureşti, Serviciul Control în Sănătate Publică a desfăşurat activităţi specifice în domeniul sănătăţii publice de verificare a respectării prevederilor legislaţiei naţionale şi comunitare în domeniul sănătăţii publice, a conformităţii cu prevederile normelor igienico-sanitare, a respectării legislaţiei naţionale privind starea de sănătate a personalului, în obiective cu impact asupra sănătă</w:t>
      </w:r>
      <w:r>
        <w:rPr>
          <w:rFonts w:ascii="Tahoma" w:hAnsi="Tahoma"/>
        </w:rPr>
        <w:t>ț</w:t>
      </w:r>
      <w:r>
        <w:rPr/>
        <w:t>ii</w:t>
      </w:r>
      <w:r>
        <w:rPr>
          <w:spacing w:val="-8"/>
        </w:rPr>
        <w:t> </w:t>
      </w:r>
      <w:r>
        <w:rPr/>
        <w:t>publice.</w:t>
      </w:r>
    </w:p>
    <w:p>
      <w:pPr>
        <w:pStyle w:val="BodyText"/>
        <w:ind w:right="1137"/>
        <w:jc w:val="both"/>
      </w:pPr>
      <w:r>
        <w:rPr/>
        <w:t>Activitatea desfăşurată a constat în verificarea condiţiilor igienico-sanitare în toate tipurile de unităţi din Municipiul Bucureşti, pe baza ghidurilor de inspecţie şi a procedurilor, elaborate în conformitate cu prevederile legislative în vigoare.</w:t>
      </w:r>
    </w:p>
    <w:p>
      <w:pPr>
        <w:spacing w:before="0"/>
        <w:ind w:left="680" w:right="1134" w:firstLine="62"/>
        <w:jc w:val="both"/>
        <w:rPr>
          <w:sz w:val="24"/>
        </w:rPr>
      </w:pPr>
      <w:r>
        <w:rPr>
          <w:sz w:val="24"/>
        </w:rPr>
        <w:t>Inspectorii sanitari au efectuat 6290 </w:t>
      </w:r>
      <w:r>
        <w:rPr>
          <w:b/>
          <w:sz w:val="24"/>
        </w:rPr>
        <w:t>controale igienico-sanitare tematice planificate </w:t>
      </w:r>
      <w:r>
        <w:rPr>
          <w:sz w:val="24"/>
        </w:rPr>
        <w:t>(conform Planului de activitate), controale tematice neplanificate (la solicitarea Ministerului Sănătăţii sau altor autorităţi), </w:t>
      </w:r>
      <w:r>
        <w:rPr>
          <w:b/>
          <w:sz w:val="24"/>
        </w:rPr>
        <w:t>controale în urma sesizărilor primite </w:t>
      </w:r>
      <w:r>
        <w:rPr>
          <w:sz w:val="24"/>
        </w:rPr>
        <w:t>de la persoane fizice sau juridice şi 146 </w:t>
      </w:r>
      <w:r>
        <w:rPr>
          <w:b/>
          <w:sz w:val="24"/>
        </w:rPr>
        <w:t>recontroale </w:t>
      </w:r>
      <w:r>
        <w:rPr>
          <w:sz w:val="24"/>
        </w:rPr>
        <w:t>în vederea verificării respectării recomandărilor şi prescripţiilor făcute la controalele anterioare.</w:t>
      </w:r>
    </w:p>
    <w:p>
      <w:pPr>
        <w:pStyle w:val="BodyText"/>
        <w:ind w:right="1142"/>
        <w:jc w:val="both"/>
      </w:pPr>
      <w:r>
        <w:rPr/>
        <w:t>Au fost analizate şi soluţionate 827 sesizări primite de la persoane fizice sau juridice, privind mediul de viaţă şi muncă, sesizări care au fost analizate </w:t>
      </w:r>
      <w:r>
        <w:rPr>
          <w:rFonts w:ascii="Tahoma" w:hAnsi="Tahoma"/>
        </w:rPr>
        <w:t>ș</w:t>
      </w:r>
      <w:r>
        <w:rPr/>
        <w:t>i solu</w:t>
      </w:r>
      <w:r>
        <w:rPr>
          <w:rFonts w:ascii="Tahoma" w:hAnsi="Tahoma"/>
        </w:rPr>
        <w:t>ț</w:t>
      </w:r>
      <w:r>
        <w:rPr/>
        <w:t>ionate conform competen</w:t>
      </w:r>
      <w:r>
        <w:rPr>
          <w:rFonts w:ascii="Tahoma" w:hAnsi="Tahoma"/>
        </w:rPr>
        <w:t>ț</w:t>
      </w:r>
      <w:r>
        <w:rPr/>
        <w:t>elor.</w:t>
      </w:r>
    </w:p>
    <w:p>
      <w:pPr>
        <w:pStyle w:val="BodyText"/>
        <w:ind w:right="1134"/>
        <w:jc w:val="both"/>
      </w:pPr>
      <w:r>
        <w:rPr/>
        <w:t>Au fost prelevate 238 probe din care: 96 probe din unităţile sanitare (teste salubritate, aeromicrofloră, apa sterilă) 67 probe ape de îmbaiere, 14 probe alimentare, 10 probe produse nealimentare, o probă alimente tratate cu radia</w:t>
      </w:r>
      <w:r>
        <w:rPr>
          <w:rFonts w:ascii="Tahoma" w:hAnsi="Tahoma"/>
        </w:rPr>
        <w:t>ț</w:t>
      </w:r>
      <w:r>
        <w:rPr/>
        <w:t>ii ionizante, 60 teste salubritate în unită</w:t>
      </w:r>
      <w:r>
        <w:rPr>
          <w:rFonts w:ascii="Tahoma" w:hAnsi="Tahoma"/>
        </w:rPr>
        <w:t>ț</w:t>
      </w:r>
      <w:r>
        <w:rPr/>
        <w:t>i de alimenta</w:t>
      </w:r>
      <w:r>
        <w:rPr>
          <w:rFonts w:ascii="Tahoma" w:hAnsi="Tahoma"/>
        </w:rPr>
        <w:t>ț</w:t>
      </w:r>
      <w:r>
        <w:rPr/>
        <w:t>ie</w:t>
      </w:r>
      <w:r>
        <w:rPr>
          <w:spacing w:val="-1"/>
        </w:rPr>
        <w:t> </w:t>
      </w:r>
      <w:r>
        <w:rPr/>
        <w:t>publică.</w:t>
      </w:r>
    </w:p>
    <w:p>
      <w:pPr>
        <w:spacing w:after="0"/>
        <w:jc w:val="both"/>
        <w:sectPr>
          <w:pgSz w:w="11910" w:h="16840"/>
          <w:pgMar w:header="0" w:footer="658" w:top="1360" w:bottom="920" w:left="400" w:right="0"/>
        </w:sectPr>
      </w:pPr>
    </w:p>
    <w:p>
      <w:pPr>
        <w:pStyle w:val="BodyText"/>
        <w:spacing w:before="60"/>
        <w:ind w:right="1140"/>
      </w:pPr>
      <w:r>
        <w:rPr/>
        <w:t>Au fost primite/ iniţiate, analizate şi rezolvate 20 notificări de alertă. în cadrul Sistemului Rapid de Alertă pentru Alimente şi Furaje (SRAAF).</w:t>
      </w:r>
    </w:p>
    <w:p>
      <w:pPr>
        <w:pStyle w:val="BodyText"/>
        <w:spacing w:before="1"/>
        <w:ind w:right="1140"/>
      </w:pPr>
      <w:r>
        <w:rPr/>
        <w:t>Pentru neconformităţile la normele de igienă în vigoare constatate, au fost aplicate 829 sancţiuni contravenţionale conform HGR 857/2011, HGR 1197/2002 , HGR 568/2002 şi OG 2/2001 din care: 667 amenzi în valoare de 1028800 lei, 162 avertismente şi 19 Decizii de Suspendare din Activitate. Deciziile de Suspendare din Activitate pentru cele 19 unităţi au fost emise după cum urmează:</w:t>
      </w:r>
    </w:p>
    <w:p>
      <w:pPr>
        <w:pStyle w:val="ListParagraph"/>
        <w:numPr>
          <w:ilvl w:val="0"/>
          <w:numId w:val="26"/>
        </w:numPr>
        <w:tabs>
          <w:tab w:pos="820" w:val="left" w:leader="none"/>
          <w:tab w:pos="4756" w:val="left" w:leader="none"/>
        </w:tabs>
        <w:spacing w:line="240" w:lineRule="auto" w:before="0" w:after="0"/>
        <w:ind w:left="819" w:right="0" w:hanging="140"/>
        <w:jc w:val="left"/>
        <w:rPr>
          <w:sz w:val="24"/>
        </w:rPr>
      </w:pPr>
      <w:r>
        <w:rPr>
          <w:sz w:val="24"/>
        </w:rPr>
        <w:t>alimentaţie publică</w:t>
      </w:r>
      <w:r>
        <w:rPr>
          <w:spacing w:val="55"/>
          <w:sz w:val="24"/>
        </w:rPr>
        <w:t> </w:t>
      </w:r>
      <w:r>
        <w:rPr>
          <w:sz w:val="24"/>
        </w:rPr>
        <w:t>şi</w:t>
      </w:r>
      <w:r>
        <w:rPr>
          <w:spacing w:val="-2"/>
          <w:sz w:val="24"/>
        </w:rPr>
        <w:t> </w:t>
      </w:r>
      <w:r>
        <w:rPr>
          <w:sz w:val="24"/>
        </w:rPr>
        <w:t>colectivă</w:t>
        <w:tab/>
        <w:t>5 unităţi</w:t>
      </w:r>
    </w:p>
    <w:p>
      <w:pPr>
        <w:pStyle w:val="ListParagraph"/>
        <w:numPr>
          <w:ilvl w:val="0"/>
          <w:numId w:val="26"/>
        </w:numPr>
        <w:tabs>
          <w:tab w:pos="820" w:val="left" w:leader="none"/>
          <w:tab w:pos="4699" w:val="left" w:leader="none"/>
        </w:tabs>
        <w:spacing w:line="240" w:lineRule="auto" w:before="0" w:after="0"/>
        <w:ind w:left="819" w:right="0" w:hanging="140"/>
        <w:jc w:val="left"/>
        <w:rPr>
          <w:sz w:val="24"/>
        </w:rPr>
      </w:pPr>
      <w:r>
        <w:rPr>
          <w:sz w:val="24"/>
        </w:rPr>
        <w:t>unităţi</w:t>
      </w:r>
      <w:r>
        <w:rPr>
          <w:spacing w:val="-2"/>
          <w:sz w:val="24"/>
        </w:rPr>
        <w:t> </w:t>
      </w:r>
      <w:r>
        <w:rPr>
          <w:sz w:val="24"/>
        </w:rPr>
        <w:t>sanitare</w:t>
        <w:tab/>
        <w:t>10 unităţi</w:t>
      </w:r>
    </w:p>
    <w:p>
      <w:pPr>
        <w:pStyle w:val="ListParagraph"/>
        <w:numPr>
          <w:ilvl w:val="0"/>
          <w:numId w:val="26"/>
        </w:numPr>
        <w:tabs>
          <w:tab w:pos="820" w:val="left" w:leader="none"/>
          <w:tab w:pos="4640" w:val="left" w:leader="none"/>
        </w:tabs>
        <w:spacing w:line="240" w:lineRule="auto" w:before="0" w:after="0"/>
        <w:ind w:left="819" w:right="0" w:hanging="140"/>
        <w:jc w:val="left"/>
        <w:rPr>
          <w:sz w:val="24"/>
        </w:rPr>
      </w:pPr>
      <w:r>
        <w:rPr>
          <w:sz w:val="24"/>
        </w:rPr>
        <w:t>învăţământ</w:t>
        <w:tab/>
        <w:t>1</w:t>
      </w:r>
      <w:r>
        <w:rPr>
          <w:spacing w:val="-1"/>
          <w:sz w:val="24"/>
        </w:rPr>
        <w:t> </w:t>
      </w:r>
      <w:r>
        <w:rPr>
          <w:sz w:val="24"/>
        </w:rPr>
        <w:t>unităţi</w:t>
      </w:r>
    </w:p>
    <w:p>
      <w:pPr>
        <w:pStyle w:val="ListParagraph"/>
        <w:numPr>
          <w:ilvl w:val="0"/>
          <w:numId w:val="26"/>
        </w:numPr>
        <w:tabs>
          <w:tab w:pos="820" w:val="left" w:leader="none"/>
          <w:tab w:pos="4828" w:val="left" w:leader="none"/>
        </w:tabs>
        <w:spacing w:line="240" w:lineRule="auto" w:before="1" w:after="0"/>
        <w:ind w:left="819" w:right="0" w:hanging="140"/>
        <w:jc w:val="left"/>
        <w:rPr>
          <w:sz w:val="24"/>
        </w:rPr>
      </w:pPr>
      <w:r>
        <w:rPr>
          <w:sz w:val="24"/>
        </w:rPr>
        <w:t>prestări</w:t>
      </w:r>
      <w:r>
        <w:rPr>
          <w:spacing w:val="-3"/>
          <w:sz w:val="24"/>
        </w:rPr>
        <w:t> </w:t>
      </w:r>
      <w:r>
        <w:rPr>
          <w:sz w:val="24"/>
        </w:rPr>
        <w:t>servicii</w:t>
        <w:tab/>
        <w:t>3 unită</w:t>
      </w:r>
      <w:r>
        <w:rPr>
          <w:rFonts w:ascii="Tahoma" w:hAnsi="Tahoma"/>
          <w:sz w:val="24"/>
        </w:rPr>
        <w:t>ț</w:t>
      </w:r>
      <w:r>
        <w:rPr>
          <w:sz w:val="24"/>
        </w:rPr>
        <w:t>i</w:t>
      </w:r>
    </w:p>
    <w:p>
      <w:pPr>
        <w:pStyle w:val="BodyText"/>
        <w:ind w:right="1140"/>
      </w:pPr>
      <w:r>
        <w:rPr/>
        <w:t>În cadrul acţiunilor de inspecţie s-a dispus scoaterea din consum a următoarelor cantităţi de produse care nu au corespuns normelor în vigoare, constituind risc pentru sănătatea popula</w:t>
      </w:r>
      <w:r>
        <w:rPr>
          <w:rFonts w:ascii="Tahoma" w:hAnsi="Tahoma"/>
        </w:rPr>
        <w:t>ț</w:t>
      </w:r>
      <w:r>
        <w:rPr/>
        <w:t>iei:</w:t>
      </w:r>
    </w:p>
    <w:p>
      <w:pPr>
        <w:pStyle w:val="ListParagraph"/>
        <w:numPr>
          <w:ilvl w:val="0"/>
          <w:numId w:val="26"/>
        </w:numPr>
        <w:tabs>
          <w:tab w:pos="820" w:val="left" w:leader="none"/>
        </w:tabs>
        <w:spacing w:line="274" w:lineRule="exact" w:before="0" w:after="0"/>
        <w:ind w:left="819" w:right="0" w:hanging="140"/>
        <w:jc w:val="left"/>
        <w:rPr>
          <w:sz w:val="24"/>
        </w:rPr>
      </w:pPr>
      <w:r>
        <w:rPr>
          <w:sz w:val="24"/>
        </w:rPr>
        <w:t>7467,50 kg şi 4720,48 litri produse</w:t>
      </w:r>
      <w:r>
        <w:rPr>
          <w:spacing w:val="-5"/>
          <w:sz w:val="24"/>
        </w:rPr>
        <w:t> </w:t>
      </w:r>
      <w:r>
        <w:rPr>
          <w:sz w:val="24"/>
        </w:rPr>
        <w:t>alimentare;</w:t>
      </w:r>
    </w:p>
    <w:p>
      <w:pPr>
        <w:pStyle w:val="ListParagraph"/>
        <w:numPr>
          <w:ilvl w:val="0"/>
          <w:numId w:val="26"/>
        </w:numPr>
        <w:tabs>
          <w:tab w:pos="820" w:val="left" w:leader="none"/>
        </w:tabs>
        <w:spacing w:line="240" w:lineRule="auto" w:before="0" w:after="0"/>
        <w:ind w:left="819" w:right="0" w:hanging="140"/>
        <w:jc w:val="left"/>
        <w:rPr>
          <w:sz w:val="24"/>
        </w:rPr>
      </w:pPr>
      <w:r>
        <w:rPr>
          <w:sz w:val="24"/>
        </w:rPr>
        <w:t>1394 bucăţi, 37,6 litri şi 0,75 kg produse</w:t>
      </w:r>
      <w:r>
        <w:rPr>
          <w:spacing w:val="-3"/>
          <w:sz w:val="24"/>
        </w:rPr>
        <w:t> </w:t>
      </w:r>
      <w:r>
        <w:rPr>
          <w:sz w:val="24"/>
        </w:rPr>
        <w:t>cosmetice;</w:t>
      </w:r>
    </w:p>
    <w:p>
      <w:pPr>
        <w:pStyle w:val="ListParagraph"/>
        <w:numPr>
          <w:ilvl w:val="0"/>
          <w:numId w:val="26"/>
        </w:numPr>
        <w:tabs>
          <w:tab w:pos="820" w:val="left" w:leader="none"/>
        </w:tabs>
        <w:spacing w:line="240" w:lineRule="auto" w:before="1" w:after="0"/>
        <w:ind w:left="819" w:right="0" w:hanging="140"/>
        <w:jc w:val="left"/>
        <w:rPr>
          <w:sz w:val="24"/>
        </w:rPr>
      </w:pPr>
      <w:r>
        <w:rPr>
          <w:sz w:val="24"/>
        </w:rPr>
        <w:t>6669,64 litri, 612 kg şi 102455 bucă</w:t>
      </w:r>
      <w:r>
        <w:rPr>
          <w:rFonts w:ascii="Tahoma" w:hAnsi="Tahoma"/>
          <w:sz w:val="24"/>
        </w:rPr>
        <w:t>ț</w:t>
      </w:r>
      <w:r>
        <w:rPr>
          <w:sz w:val="24"/>
        </w:rPr>
        <w:t>i produse</w:t>
      </w:r>
      <w:r>
        <w:rPr>
          <w:spacing w:val="-3"/>
          <w:sz w:val="24"/>
        </w:rPr>
        <w:t> </w:t>
      </w:r>
      <w:r>
        <w:rPr>
          <w:sz w:val="24"/>
        </w:rPr>
        <w:t>biocide;</w:t>
      </w:r>
    </w:p>
    <w:p>
      <w:pPr>
        <w:pStyle w:val="ListParagraph"/>
        <w:numPr>
          <w:ilvl w:val="0"/>
          <w:numId w:val="26"/>
        </w:numPr>
        <w:tabs>
          <w:tab w:pos="880" w:val="left" w:leader="none"/>
        </w:tabs>
        <w:spacing w:line="240" w:lineRule="auto" w:before="0" w:after="0"/>
        <w:ind w:left="879" w:right="0" w:hanging="140"/>
        <w:jc w:val="left"/>
        <w:rPr>
          <w:sz w:val="24"/>
        </w:rPr>
      </w:pPr>
      <w:r>
        <w:rPr>
          <w:sz w:val="24"/>
        </w:rPr>
        <w:t>61,7 kg şi 2506 bucăţi materiale care vin în contact direct cu</w:t>
      </w:r>
      <w:r>
        <w:rPr>
          <w:spacing w:val="-8"/>
          <w:sz w:val="24"/>
        </w:rPr>
        <w:t> </w:t>
      </w:r>
      <w:r>
        <w:rPr>
          <w:sz w:val="24"/>
        </w:rPr>
        <w:t>alimentul.</w:t>
      </w:r>
    </w:p>
    <w:p>
      <w:pPr>
        <w:pStyle w:val="BodyText"/>
        <w:spacing w:before="1"/>
        <w:ind w:left="0"/>
      </w:pPr>
    </w:p>
    <w:p>
      <w:pPr>
        <w:spacing w:before="0"/>
        <w:ind w:left="680" w:right="1710" w:firstLine="0"/>
        <w:jc w:val="both"/>
        <w:rPr>
          <w:b/>
          <w:sz w:val="24"/>
        </w:rPr>
      </w:pPr>
      <w:r>
        <w:rPr>
          <w:sz w:val="24"/>
        </w:rPr>
        <w:t>Conform Planului national de ac</w:t>
      </w:r>
      <w:r>
        <w:rPr>
          <w:rFonts w:ascii="Tahoma" w:hAnsi="Tahoma"/>
          <w:sz w:val="24"/>
        </w:rPr>
        <w:t>t</w:t>
      </w:r>
      <w:r>
        <w:rPr>
          <w:sz w:val="24"/>
        </w:rPr>
        <w:t>iuni tematice au fost efectuate următoarele </w:t>
      </w:r>
      <w:r>
        <w:rPr>
          <w:b/>
          <w:sz w:val="24"/>
        </w:rPr>
        <w:t>actiuni tematice: Ianuarie</w:t>
      </w:r>
    </w:p>
    <w:p>
      <w:pPr>
        <w:pStyle w:val="BodyText"/>
        <w:spacing w:line="290" w:lineRule="exact"/>
        <w:jc w:val="both"/>
      </w:pPr>
      <w:r>
        <w:rPr>
          <w:u w:val="single"/>
        </w:rPr>
        <w:t>Acţiune tematică de control privind activită</w:t>
      </w:r>
      <w:r>
        <w:rPr>
          <w:rFonts w:ascii="Tahoma" w:hAnsi="Tahoma"/>
          <w:u w:val="single"/>
        </w:rPr>
        <w:t>ț</w:t>
      </w:r>
      <w:r>
        <w:rPr>
          <w:u w:val="single"/>
        </w:rPr>
        <w:t>ile de îngrijiri la domiciliu.</w:t>
      </w:r>
    </w:p>
    <w:p>
      <w:pPr>
        <w:pStyle w:val="BodyText"/>
        <w:ind w:right="1139"/>
        <w:jc w:val="both"/>
      </w:pPr>
      <w:r>
        <w:rPr/>
        <w:t>Au fost verificate 36 unităţi furnizoare de îngrijiri medicale la domiciliu din Municipiul Bucureşti. Pentru deficientele constatate au fost aplicate 11 sancţiuni contravenţionale, conform HGR 857/2011, în valoare de 8300</w:t>
      </w:r>
      <w:r>
        <w:rPr>
          <w:spacing w:val="-3"/>
        </w:rPr>
        <w:t> </w:t>
      </w:r>
      <w:r>
        <w:rPr/>
        <w:t>lei.</w:t>
      </w:r>
    </w:p>
    <w:p>
      <w:pPr>
        <w:pStyle w:val="BodyText"/>
        <w:spacing w:before="1"/>
        <w:ind w:right="1135"/>
        <w:jc w:val="both"/>
      </w:pPr>
      <w:r>
        <w:rPr>
          <w:u w:val="single"/>
        </w:rPr>
        <w:t>Ac</w:t>
      </w:r>
      <w:r>
        <w:rPr>
          <w:rFonts w:ascii="Tahoma" w:hAnsi="Tahoma"/>
          <w:u w:val="single"/>
        </w:rPr>
        <w:t>ț</w:t>
      </w:r>
      <w:r>
        <w:rPr>
          <w:u w:val="single"/>
        </w:rPr>
        <w:t>iune tematică privind controlul suplimentelor alimentare </w:t>
      </w:r>
      <w:r>
        <w:rPr>
          <w:rFonts w:ascii="Tahoma" w:hAnsi="Tahoma"/>
          <w:u w:val="single"/>
        </w:rPr>
        <w:t>ș</w:t>
      </w:r>
      <w:r>
        <w:rPr>
          <w:u w:val="single"/>
        </w:rPr>
        <w:t>i alimentelor la care s-au adăugat</w:t>
      </w:r>
      <w:r>
        <w:rPr/>
        <w:t> </w:t>
      </w:r>
      <w:r>
        <w:rPr>
          <w:u w:val="single"/>
        </w:rPr>
        <w:t>vitamine, minerle </w:t>
      </w:r>
      <w:r>
        <w:rPr>
          <w:rFonts w:ascii="Tahoma" w:hAnsi="Tahoma"/>
          <w:u w:val="single"/>
        </w:rPr>
        <w:t>ș</w:t>
      </w:r>
      <w:r>
        <w:rPr>
          <w:u w:val="single"/>
        </w:rPr>
        <w:t>i alte substan</w:t>
      </w:r>
      <w:r>
        <w:rPr>
          <w:rFonts w:ascii="Tahoma" w:hAnsi="Tahoma"/>
          <w:u w:val="single"/>
        </w:rPr>
        <w:t>ț</w:t>
      </w:r>
      <w:r>
        <w:rPr>
          <w:u w:val="single"/>
        </w:rPr>
        <w:t>e, cu prelevare probe, în sălile de fitness </w:t>
      </w:r>
      <w:r>
        <w:rPr>
          <w:rFonts w:ascii="Tahoma" w:hAnsi="Tahoma"/>
          <w:u w:val="single"/>
        </w:rPr>
        <w:t>ș</w:t>
      </w:r>
      <w:r>
        <w:rPr>
          <w:u w:val="single"/>
        </w:rPr>
        <w:t>i alte unită</w:t>
      </w:r>
      <w:r>
        <w:rPr>
          <w:rFonts w:ascii="Tahoma" w:hAnsi="Tahoma"/>
          <w:u w:val="single"/>
        </w:rPr>
        <w:t>ț</w:t>
      </w:r>
      <w:r>
        <w:rPr>
          <w:u w:val="single"/>
        </w:rPr>
        <w:t>i asemnătoare</w:t>
      </w:r>
      <w:r>
        <w:rPr/>
        <w:t> </w:t>
      </w:r>
      <w:r>
        <w:rPr>
          <w:u w:val="single"/>
        </w:rPr>
        <w:t>cu scop recreativ</w:t>
      </w:r>
    </w:p>
    <w:p>
      <w:pPr>
        <w:pStyle w:val="BodyText"/>
        <w:spacing w:before="1"/>
        <w:ind w:right="1133"/>
        <w:jc w:val="both"/>
      </w:pPr>
      <w:r>
        <w:rPr/>
        <w:t>Au fost controlate 34 de unităţi şi 49 produse (44 suplimente alimentare şi 5 alimente la care s-au adăugat vitamine, minerale şi alte substanţe), la toate fiind verificate modul de etichetare, utilizarea menţiunilor nutriţionale şi de sănătate, inscripţionarea informaţiilor obligatorii, forma şi doza vitaminelor şi mineralelor adăugate .</w:t>
      </w:r>
    </w:p>
    <w:p>
      <w:pPr>
        <w:pStyle w:val="BodyText"/>
        <w:ind w:right="1134"/>
        <w:jc w:val="both"/>
      </w:pPr>
      <w:r>
        <w:rPr/>
        <w:t>Au fost aplicate 8 sancţiuni contravenţionale: 4 amenzi în valoare totală de 8.000 lei şi 4 avertismente.</w:t>
      </w:r>
    </w:p>
    <w:p>
      <w:pPr>
        <w:pStyle w:val="BodyText"/>
        <w:spacing w:line="237" w:lineRule="auto" w:before="2"/>
        <w:ind w:right="1133"/>
        <w:jc w:val="both"/>
      </w:pPr>
      <w:r>
        <w:rPr/>
        <w:t>Au fost oprite de la comercializare 1,96 kg şi 72,7 l suplimente alimentare şi alimente la care s-au adăugat vitamine, minerale şi alte substanţe.</w:t>
      </w:r>
    </w:p>
    <w:p>
      <w:pPr>
        <w:pStyle w:val="BodyText"/>
        <w:spacing w:before="1"/>
        <w:ind w:right="1136"/>
        <w:jc w:val="both"/>
      </w:pPr>
      <w:r>
        <w:rPr/>
        <w:t>A fost recoltata 1 proba supliment alimentar în vederea determinării conţinutului de metale grele (Pb, Cd, Hg), care a fost trimisă spre analiză la laboratorul DSP jud. Cluj rezultatul fiind corespunzător.</w:t>
      </w:r>
    </w:p>
    <w:p>
      <w:pPr>
        <w:pStyle w:val="Heading1"/>
        <w:ind w:left="680"/>
        <w:rPr>
          <w:u w:val="none"/>
        </w:rPr>
      </w:pPr>
      <w:r>
        <w:rPr>
          <w:u w:val="none"/>
        </w:rPr>
        <w:t>Februarie</w:t>
      </w:r>
    </w:p>
    <w:p>
      <w:pPr>
        <w:pStyle w:val="BodyText"/>
        <w:spacing w:before="2"/>
        <w:ind w:right="1140"/>
      </w:pPr>
      <w:r>
        <w:rPr>
          <w:u w:val="single"/>
        </w:rPr>
        <w:t>Acţiune tematică de control pentru verificarea unită</w:t>
      </w:r>
      <w:r>
        <w:rPr>
          <w:rFonts w:ascii="Tahoma" w:hAnsi="Tahoma"/>
          <w:u w:val="single"/>
        </w:rPr>
        <w:t>ț</w:t>
      </w:r>
      <w:r>
        <w:rPr>
          <w:u w:val="single"/>
        </w:rPr>
        <w:t>ilor de înfrumuse</w:t>
      </w:r>
      <w:r>
        <w:rPr>
          <w:rFonts w:ascii="Tahoma" w:hAnsi="Tahoma"/>
          <w:u w:val="single"/>
        </w:rPr>
        <w:t>ț</w:t>
      </w:r>
      <w:r>
        <w:rPr>
          <w:u w:val="single"/>
        </w:rPr>
        <w:t>are </w:t>
      </w:r>
      <w:r>
        <w:rPr>
          <w:rFonts w:ascii="Tahoma" w:hAnsi="Tahoma"/>
          <w:u w:val="single"/>
        </w:rPr>
        <w:t>ș</w:t>
      </w:r>
      <w:r>
        <w:rPr>
          <w:u w:val="single"/>
        </w:rPr>
        <w:t>i a produselor cosmetice</w:t>
      </w:r>
      <w:r>
        <w:rPr/>
        <w:t> </w:t>
      </w:r>
      <w:r>
        <w:rPr>
          <w:u w:val="single"/>
        </w:rPr>
        <w:t>profesionale</w:t>
      </w:r>
    </w:p>
    <w:p>
      <w:pPr>
        <w:pStyle w:val="BodyText"/>
        <w:ind w:right="1487"/>
      </w:pPr>
      <w:r>
        <w:rPr/>
        <w:t>Au fost verificate 93 saloane de înfrumuseţare, 3 cabinete de piercing şi tatuaj, respectiv 116 produse cosmetice</w:t>
      </w:r>
      <w:r>
        <w:rPr>
          <w:spacing w:val="-3"/>
        </w:rPr>
        <w:t> </w:t>
      </w:r>
      <w:r>
        <w:rPr/>
        <w:t>profesionale.</w:t>
      </w:r>
    </w:p>
    <w:p>
      <w:pPr>
        <w:pStyle w:val="BodyText"/>
        <w:ind w:right="1138"/>
        <w:jc w:val="both"/>
      </w:pPr>
      <w:r>
        <w:rPr/>
        <w:t>Pentru neconformităţile cu normele de igienă constatate au fost aplicate 24 sancţiuni contravenţionale din care 12 avertismente conform HGR 857/2011 coroborat cu OG 2/2001 şi 12 amenzi contravenţionale în valoare de 13600 lei conform HGR 857/2011.</w:t>
      </w:r>
    </w:p>
    <w:p>
      <w:pPr>
        <w:pStyle w:val="BodyText"/>
        <w:ind w:right="1142"/>
        <w:jc w:val="both"/>
      </w:pPr>
      <w:r>
        <w:rPr/>
        <w:t>Au fost oprite de la utilizare 42 buc. produse cosmetice etichetate necorespunzător şi/sau nenotificate şi interzise de la utilizare 7 buc produse cu termen de valabilitate depăşit</w:t>
      </w:r>
      <w:r>
        <w:rPr>
          <w:spacing w:val="-12"/>
        </w:rPr>
        <w:t> </w:t>
      </w:r>
      <w:r>
        <w:rPr/>
        <w:t>.</w:t>
      </w:r>
    </w:p>
    <w:p>
      <w:pPr>
        <w:pStyle w:val="BodyText"/>
        <w:ind w:right="1143" w:firstLine="60"/>
        <w:jc w:val="both"/>
      </w:pPr>
      <w:r>
        <w:rPr/>
        <w:t>De asemenea au fost oprite de la utilizare 196 litri produse dezinfectante pentru tegumente ( 195 litri produse etichetate necorespunzător şi 1 litru produs cu termen de valabilitate</w:t>
      </w:r>
      <w:r>
        <w:rPr>
          <w:spacing w:val="-14"/>
        </w:rPr>
        <w:t> </w:t>
      </w:r>
      <w:r>
        <w:rPr/>
        <w:t>depăşit).</w:t>
      </w:r>
    </w:p>
    <w:p>
      <w:pPr>
        <w:spacing w:after="0"/>
        <w:jc w:val="both"/>
        <w:sectPr>
          <w:pgSz w:w="11910" w:h="16840"/>
          <w:pgMar w:header="0" w:footer="658" w:top="1360" w:bottom="920" w:left="400" w:right="0"/>
        </w:sectPr>
      </w:pPr>
    </w:p>
    <w:p>
      <w:pPr>
        <w:pStyle w:val="BodyText"/>
        <w:spacing w:before="81"/>
        <w:ind w:right="1134" w:firstLine="60"/>
        <w:jc w:val="both"/>
      </w:pPr>
      <w:r>
        <w:rPr>
          <w:u w:val="single"/>
        </w:rPr>
        <w:t>Acţiune tematică de control în unită</w:t>
      </w:r>
      <w:r>
        <w:rPr>
          <w:rFonts w:ascii="Tahoma" w:hAnsi="Tahoma"/>
          <w:u w:val="single"/>
        </w:rPr>
        <w:t>ț</w:t>
      </w:r>
      <w:r>
        <w:rPr>
          <w:u w:val="single"/>
        </w:rPr>
        <w:t>ile de învă</w:t>
      </w:r>
      <w:r>
        <w:rPr>
          <w:rFonts w:ascii="Tahoma" w:hAnsi="Tahoma"/>
          <w:u w:val="single"/>
        </w:rPr>
        <w:t>ț</w:t>
      </w:r>
      <w:r>
        <w:rPr>
          <w:u w:val="single"/>
        </w:rPr>
        <w:t>ământ, inclusiv cre</w:t>
      </w:r>
      <w:r>
        <w:rPr>
          <w:rFonts w:ascii="Tahoma" w:hAnsi="Tahoma"/>
          <w:u w:val="single"/>
        </w:rPr>
        <w:t>ș</w:t>
      </w:r>
      <w:r>
        <w:rPr>
          <w:u w:val="single"/>
        </w:rPr>
        <w:t>e </w:t>
      </w:r>
      <w:r>
        <w:rPr>
          <w:rFonts w:ascii="Tahoma" w:hAnsi="Tahoma"/>
          <w:u w:val="single"/>
        </w:rPr>
        <w:t>ș</w:t>
      </w:r>
      <w:r>
        <w:rPr>
          <w:u w:val="single"/>
        </w:rPr>
        <w:t>i </w:t>
      </w:r>
      <w:r>
        <w:rPr>
          <w:rFonts w:ascii="Tahoma" w:hAnsi="Tahoma"/>
          <w:u w:val="single"/>
        </w:rPr>
        <w:t>ș</w:t>
      </w:r>
      <w:r>
        <w:rPr>
          <w:u w:val="single"/>
        </w:rPr>
        <w:t>coli speciale, privind</w:t>
      </w:r>
      <w:r>
        <w:rPr/>
        <w:t> </w:t>
      </w:r>
      <w:r>
        <w:rPr>
          <w:u w:val="single"/>
        </w:rPr>
        <w:t>asigurarea microclimatului corespunzător </w:t>
      </w:r>
      <w:r>
        <w:rPr>
          <w:rFonts w:ascii="Tahoma" w:hAnsi="Tahoma"/>
          <w:u w:val="single"/>
        </w:rPr>
        <w:t>ș</w:t>
      </w:r>
      <w:r>
        <w:rPr>
          <w:u w:val="single"/>
        </w:rPr>
        <w:t>i verificarea respectării legisla</w:t>
      </w:r>
      <w:r>
        <w:rPr>
          <w:rFonts w:ascii="Tahoma" w:hAnsi="Tahoma"/>
          <w:u w:val="single"/>
        </w:rPr>
        <w:t>ț</w:t>
      </w:r>
      <w:r>
        <w:rPr>
          <w:u w:val="single"/>
        </w:rPr>
        <w:t>iei privind distribuirea</w:t>
      </w:r>
      <w:r>
        <w:rPr/>
        <w:t> </w:t>
      </w:r>
      <w:r>
        <w:rPr>
          <w:u w:val="single"/>
        </w:rPr>
        <w:t>produselor din Programul Guvernamental ”laptele </w:t>
      </w:r>
      <w:r>
        <w:rPr>
          <w:rFonts w:ascii="Tahoma" w:hAnsi="Tahoma"/>
          <w:u w:val="single"/>
        </w:rPr>
        <w:t>ș</w:t>
      </w:r>
      <w:r>
        <w:rPr>
          <w:u w:val="single"/>
        </w:rPr>
        <w:t>i cornul”</w:t>
      </w:r>
      <w:r>
        <w:rPr/>
        <w:t> </w:t>
      </w:r>
      <w:r>
        <w:rPr>
          <w:u w:val="single"/>
        </w:rPr>
        <w:t>.</w:t>
      </w:r>
    </w:p>
    <w:p>
      <w:pPr>
        <w:pStyle w:val="BodyText"/>
        <w:ind w:right="1131"/>
        <w:jc w:val="both"/>
      </w:pPr>
      <w:r>
        <w:rPr/>
        <w:t>Au fost verificate 346 unită</w:t>
      </w:r>
      <w:r>
        <w:rPr>
          <w:rFonts w:ascii="Tahoma" w:hAnsi="Tahoma"/>
        </w:rPr>
        <w:t>ț</w:t>
      </w:r>
      <w:r>
        <w:rPr/>
        <w:t>i de învă</w:t>
      </w:r>
      <w:r>
        <w:rPr>
          <w:rFonts w:ascii="Tahoma" w:hAnsi="Tahoma"/>
        </w:rPr>
        <w:t>ț</w:t>
      </w:r>
      <w:r>
        <w:rPr/>
        <w:t>ământ de stat </w:t>
      </w:r>
      <w:r>
        <w:rPr>
          <w:rFonts w:ascii="Tahoma" w:hAnsi="Tahoma"/>
        </w:rPr>
        <w:t>ș</w:t>
      </w:r>
      <w:r>
        <w:rPr/>
        <w:t>i particulare. Pentru deficien</w:t>
      </w:r>
      <w:r>
        <w:rPr>
          <w:rFonts w:ascii="Tahoma" w:hAnsi="Tahoma"/>
        </w:rPr>
        <w:t>ț</w:t>
      </w:r>
      <w:r>
        <w:rPr/>
        <w:t>ele constatate la normele de igină </w:t>
      </w:r>
      <w:r>
        <w:rPr>
          <w:rFonts w:ascii="Tahoma" w:hAnsi="Tahoma"/>
        </w:rPr>
        <w:t>ș</w:t>
      </w:r>
      <w:r>
        <w:rPr/>
        <w:t>i sănătate publică au fost aplicate 26 sanc</w:t>
      </w:r>
      <w:r>
        <w:rPr>
          <w:rFonts w:ascii="Tahoma" w:hAnsi="Tahoma"/>
        </w:rPr>
        <w:t>ț</w:t>
      </w:r>
      <w:r>
        <w:rPr/>
        <w:t>iuni contraven</w:t>
      </w:r>
      <w:r>
        <w:rPr>
          <w:rFonts w:ascii="Tahoma" w:hAnsi="Tahoma"/>
        </w:rPr>
        <w:t>ț</w:t>
      </w:r>
      <w:r>
        <w:rPr/>
        <w:t>ionale conform HG 857/2011, din care 17 avertismente </w:t>
      </w:r>
      <w:r>
        <w:rPr>
          <w:rFonts w:ascii="Tahoma" w:hAnsi="Tahoma"/>
        </w:rPr>
        <w:t>ș</w:t>
      </w:r>
      <w:r>
        <w:rPr/>
        <w:t>i 9 amenzi în valoare de 18.000 lei.</w:t>
      </w:r>
    </w:p>
    <w:p>
      <w:pPr>
        <w:pStyle w:val="Heading1"/>
        <w:spacing w:line="275" w:lineRule="exact"/>
        <w:ind w:left="680"/>
        <w:rPr>
          <w:u w:val="none"/>
        </w:rPr>
      </w:pPr>
      <w:r>
        <w:rPr>
          <w:u w:val="none"/>
        </w:rPr>
        <w:t>Aprilie</w:t>
      </w:r>
    </w:p>
    <w:p>
      <w:pPr>
        <w:pStyle w:val="BodyText"/>
        <w:spacing w:before="1"/>
        <w:ind w:right="2785"/>
      </w:pPr>
      <w:r>
        <w:rPr>
          <w:u w:val="single"/>
        </w:rPr>
        <w:t>Acţiune tematică pentru verificarea aditivilor alimentari destina</w:t>
      </w:r>
      <w:r>
        <w:rPr>
          <w:rFonts w:ascii="Tahoma" w:hAnsi="Tahoma"/>
          <w:u w:val="single"/>
        </w:rPr>
        <w:t>ț</w:t>
      </w:r>
      <w:r>
        <w:rPr>
          <w:u w:val="single"/>
        </w:rPr>
        <w:t>i consumului uman</w:t>
      </w:r>
      <w:r>
        <w:rPr/>
        <w:t> Au fost verificate 11 unită</w:t>
      </w:r>
      <w:r>
        <w:rPr>
          <w:rFonts w:ascii="Tahoma" w:hAnsi="Tahoma"/>
        </w:rPr>
        <w:t>ț</w:t>
      </w:r>
      <w:r>
        <w:rPr/>
        <w:t>i, din care: 1 producător de produse lactate, 10 retaileri.</w:t>
      </w:r>
    </w:p>
    <w:p>
      <w:pPr>
        <w:pStyle w:val="BodyText"/>
      </w:pPr>
      <w:r>
        <w:rPr/>
        <w:t>Au fost prelevate două produse lactate fermentate încadrate în categoria 01.4 conform anexei II D a Regulamentului (CE) nr.1333/2008 privind aditivii alimentari, pentru prezen</w:t>
      </w:r>
      <w:r>
        <w:rPr>
          <w:rFonts w:ascii="Tahoma" w:hAnsi="Tahoma"/>
        </w:rPr>
        <w:t>ț</w:t>
      </w:r>
      <w:r>
        <w:rPr/>
        <w:t>a fosfa</w:t>
      </w:r>
      <w:r>
        <w:rPr>
          <w:rFonts w:ascii="Tahoma" w:hAnsi="Tahoma"/>
        </w:rPr>
        <w:t>ț</w:t>
      </w:r>
      <w:r>
        <w:rPr/>
        <w:t>ilor (E 338 –</w:t>
      </w:r>
    </w:p>
    <w:p>
      <w:pPr>
        <w:pStyle w:val="BodyText"/>
        <w:ind w:right="1140"/>
      </w:pPr>
      <w:r>
        <w:rPr/>
        <w:t>452) evaluarea cantită</w:t>
      </w:r>
      <w:r>
        <w:rPr>
          <w:rFonts w:ascii="Tahoma" w:hAnsi="Tahoma"/>
        </w:rPr>
        <w:t>ț</w:t>
      </w:r>
      <w:r>
        <w:rPr/>
        <w:t>ii acestora în produs </w:t>
      </w:r>
      <w:r>
        <w:rPr>
          <w:rFonts w:ascii="Tahoma" w:hAnsi="Tahoma"/>
        </w:rPr>
        <w:t>ș</w:t>
      </w:r>
      <w:r>
        <w:rPr/>
        <w:t>i identificarea prezen</w:t>
      </w:r>
      <w:r>
        <w:rPr>
          <w:rFonts w:ascii="Tahoma" w:hAnsi="Tahoma"/>
        </w:rPr>
        <w:t>ț</w:t>
      </w:r>
      <w:r>
        <w:rPr/>
        <w:t>ei coloran</w:t>
      </w:r>
      <w:r>
        <w:rPr>
          <w:rFonts w:ascii="Tahoma" w:hAnsi="Tahoma"/>
        </w:rPr>
        <w:t>ț</w:t>
      </w:r>
      <w:r>
        <w:rPr/>
        <w:t>ilor din compozi</w:t>
      </w:r>
      <w:r>
        <w:rPr>
          <w:rFonts w:ascii="Tahoma" w:hAnsi="Tahoma"/>
        </w:rPr>
        <w:t>ț</w:t>
      </w:r>
      <w:r>
        <w:rPr/>
        <w:t>ie. Probele prelevate au fost trimise la Laboratorul de Chimie </w:t>
      </w:r>
      <w:r>
        <w:rPr>
          <w:rFonts w:ascii="Tahoma" w:hAnsi="Tahoma"/>
        </w:rPr>
        <w:t>ș</w:t>
      </w:r>
      <w:r>
        <w:rPr/>
        <w:t>i Toxicologie al Direc</w:t>
      </w:r>
      <w:r>
        <w:rPr>
          <w:rFonts w:ascii="Tahoma" w:hAnsi="Tahoma"/>
        </w:rPr>
        <w:t>ț</w:t>
      </w:r>
      <w:r>
        <w:rPr/>
        <w:t>iei de Sănătate Publică a Jude</w:t>
      </w:r>
      <w:r>
        <w:rPr>
          <w:rFonts w:ascii="Tahoma" w:hAnsi="Tahoma"/>
        </w:rPr>
        <w:t>ț</w:t>
      </w:r>
      <w:r>
        <w:rPr/>
        <w:t>ului Bihor, rezultatele fiind corespunzătoare.</w:t>
      </w:r>
    </w:p>
    <w:p>
      <w:pPr>
        <w:pStyle w:val="BodyText"/>
        <w:spacing w:before="1"/>
        <w:ind w:right="1138"/>
        <w:jc w:val="both"/>
      </w:pPr>
      <w:r>
        <w:rPr/>
        <w:t>Nu au fost constatate neconformită</w:t>
      </w:r>
      <w:r>
        <w:rPr>
          <w:rFonts w:ascii="Tahoma" w:hAnsi="Tahoma"/>
        </w:rPr>
        <w:t>ț</w:t>
      </w:r>
      <w:r>
        <w:rPr/>
        <w:t>i la normele legale de igienă </w:t>
      </w:r>
      <w:r>
        <w:rPr>
          <w:rFonts w:ascii="Tahoma" w:hAnsi="Tahoma"/>
        </w:rPr>
        <w:t>ș</w:t>
      </w:r>
      <w:r>
        <w:rPr/>
        <w:t>i sănătate publică referitoare la aspectele controlate.</w:t>
      </w:r>
    </w:p>
    <w:p>
      <w:pPr>
        <w:pStyle w:val="BodyText"/>
        <w:spacing w:line="290" w:lineRule="exact"/>
        <w:jc w:val="both"/>
      </w:pPr>
      <w:r>
        <w:rPr>
          <w:u w:val="single"/>
        </w:rPr>
        <w:t>Acţiune tematică de control pentru verificarea unită</w:t>
      </w:r>
      <w:r>
        <w:rPr>
          <w:rFonts w:ascii="Tahoma" w:hAnsi="Tahoma"/>
          <w:u w:val="single"/>
        </w:rPr>
        <w:t>ț</w:t>
      </w:r>
      <w:r>
        <w:rPr>
          <w:u w:val="single"/>
        </w:rPr>
        <w:t>ilor acreditate în domeniul transplantului</w:t>
      </w:r>
    </w:p>
    <w:p>
      <w:pPr>
        <w:pStyle w:val="BodyText"/>
        <w:ind w:right="1137"/>
        <w:jc w:val="both"/>
      </w:pPr>
      <w:r>
        <w:rPr/>
        <w:t>Au fost verificate 16 unităţi sanitare/secţii, publice şi private. Pentru deficien</w:t>
      </w:r>
      <w:r>
        <w:rPr>
          <w:rFonts w:ascii="Tahoma" w:hAnsi="Tahoma"/>
        </w:rPr>
        <w:t>ț</w:t>
      </w:r>
      <w:r>
        <w:rPr/>
        <w:t>ele constatate au fost aplicate 6 sancţiuni din care 2 avertismente şi 4 amenzi contravenţionale în valoare de 2200 lei.</w:t>
      </w:r>
    </w:p>
    <w:p>
      <w:pPr>
        <w:pStyle w:val="BodyText"/>
        <w:spacing w:before="1"/>
        <w:jc w:val="both"/>
      </w:pPr>
      <w:r>
        <w:rPr>
          <w:u w:val="single"/>
        </w:rPr>
        <w:t>Ac</w:t>
      </w:r>
      <w:r>
        <w:rPr>
          <w:rFonts w:ascii="Tahoma" w:hAnsi="Tahoma"/>
          <w:u w:val="single"/>
        </w:rPr>
        <w:t>ț</w:t>
      </w:r>
      <w:r>
        <w:rPr>
          <w:u w:val="single"/>
        </w:rPr>
        <w:t>iune tematică de control pentru verificarea articolelor tratate</w:t>
      </w:r>
    </w:p>
    <w:p>
      <w:pPr>
        <w:pStyle w:val="BodyText"/>
        <w:ind w:right="1144"/>
        <w:jc w:val="both"/>
      </w:pPr>
      <w:r>
        <w:rPr/>
        <w:t>Au fost controlate 39 de unităţi care comercializează sau distribuie îmbrăcăminte şi/sau articole textile purtate sau uzate din care 3 importatori/distribuitori şi 36 de unităţi de comercializare.</w:t>
      </w:r>
    </w:p>
    <w:p>
      <w:pPr>
        <w:pStyle w:val="BodyText"/>
        <w:ind w:right="1138"/>
        <w:jc w:val="both"/>
      </w:pPr>
      <w:r>
        <w:rPr/>
        <w:t>Pentru neconformită</w:t>
      </w:r>
      <w:r>
        <w:rPr>
          <w:rFonts w:ascii="Tahoma" w:hAnsi="Tahoma"/>
        </w:rPr>
        <w:t>ț</w:t>
      </w:r>
      <w:r>
        <w:rPr/>
        <w:t>ile privind starea de igienă şi neefectuarea controlului medical periodic, au fost aplicate 4 amenzi contravenţionale în valoare de 3400 lei şi un avertisment, conform HGR 857/2011.</w:t>
      </w:r>
    </w:p>
    <w:p>
      <w:pPr>
        <w:pStyle w:val="BodyText"/>
        <w:ind w:right="1140"/>
      </w:pPr>
      <w:r>
        <w:rPr>
          <w:u w:val="single"/>
        </w:rPr>
        <w:t>Acţiune de control în unităţi de producţie şi desfacere a preparatelor specifice sărbătorilor de Paşte</w:t>
      </w:r>
      <w:r>
        <w:rPr/>
        <w:t> Au fost inspectate 237 unităţi, iar în urma neconformităţilor constatate au fost aplicate 99 de sancţiuni (42 avertismente şi 57 amenzi contravenţionale în valoare totală de 87.200 lei).</w:t>
      </w:r>
    </w:p>
    <w:p>
      <w:pPr>
        <w:pStyle w:val="BodyText"/>
        <w:ind w:right="1962"/>
      </w:pPr>
      <w:r>
        <w:rPr/>
        <w:t>Au fost oprite de la utilizare 809 buc.</w:t>
      </w:r>
      <w:r>
        <w:rPr>
          <w:rFonts w:ascii="Tahoma" w:hAnsi="Tahoma"/>
        </w:rPr>
        <w:t>ș</w:t>
      </w:r>
      <w:r>
        <w:rPr/>
        <w:t>i 36.5,3 kg materiale în contact direct cu alimentul neconforme cu prevederile HG</w:t>
      </w:r>
      <w:r>
        <w:rPr>
          <w:spacing w:val="-2"/>
        </w:rPr>
        <w:t> </w:t>
      </w:r>
      <w:r>
        <w:rPr/>
        <w:t>1197/2002.</w:t>
      </w:r>
    </w:p>
    <w:p>
      <w:pPr>
        <w:pStyle w:val="BodyText"/>
      </w:pPr>
      <w:r>
        <w:rPr/>
        <w:t>Au fost scoase din consum 19,5 kg şi 8 l produse alimentare neconforme</w:t>
      </w:r>
    </w:p>
    <w:p>
      <w:pPr>
        <w:pStyle w:val="Heading1"/>
        <w:ind w:left="680"/>
        <w:rPr>
          <w:u w:val="none"/>
        </w:rPr>
      </w:pPr>
      <w:r>
        <w:rPr>
          <w:u w:val="none"/>
        </w:rPr>
        <w:t>Mai</w:t>
      </w:r>
    </w:p>
    <w:p>
      <w:pPr>
        <w:pStyle w:val="BodyText"/>
        <w:spacing w:before="1"/>
        <w:ind w:right="1140"/>
      </w:pPr>
      <w:r>
        <w:rPr>
          <w:u w:val="single"/>
        </w:rPr>
        <w:t>Acţiune tematică de control privind verificarea respectării legisla</w:t>
      </w:r>
      <w:r>
        <w:rPr>
          <w:rFonts w:ascii="Tahoma" w:hAnsi="Tahoma"/>
          <w:u w:val="single"/>
        </w:rPr>
        <w:t>ț</w:t>
      </w:r>
      <w:r>
        <w:rPr>
          <w:u w:val="single"/>
        </w:rPr>
        <w:t>iei în vigoare privind apele</w:t>
      </w:r>
      <w:r>
        <w:rPr/>
        <w:t> </w:t>
      </w:r>
      <w:r>
        <w:rPr>
          <w:u w:val="single"/>
        </w:rPr>
        <w:t>minerale naturale îmbuteliate </w:t>
      </w:r>
      <w:r>
        <w:rPr>
          <w:rFonts w:ascii="Tahoma" w:hAnsi="Tahoma"/>
          <w:u w:val="single"/>
        </w:rPr>
        <w:t>ș</w:t>
      </w:r>
      <w:r>
        <w:rPr>
          <w:u w:val="single"/>
        </w:rPr>
        <w:t>i a apelor potabile îmbuteliate (apă de masă îmbuteliată)</w:t>
      </w:r>
    </w:p>
    <w:p>
      <w:pPr>
        <w:pStyle w:val="BodyText"/>
        <w:tabs>
          <w:tab w:pos="3805" w:val="left" w:leader="none"/>
        </w:tabs>
        <w:ind w:right="1140"/>
      </w:pPr>
      <w:r>
        <w:rPr/>
        <w:t>Au  fost  inspectate</w:t>
      </w:r>
      <w:r>
        <w:rPr>
          <w:spacing w:val="25"/>
        </w:rPr>
        <w:t> </w:t>
      </w:r>
      <w:r>
        <w:rPr/>
        <w:t>22</w:t>
      </w:r>
      <w:r>
        <w:rPr>
          <w:spacing w:val="49"/>
        </w:rPr>
        <w:t> </w:t>
      </w:r>
      <w:r>
        <w:rPr/>
        <w:t>unităţi</w:t>
        <w:tab/>
        <w:t>(1 producător, 2 distribuitori, 19 retaileri ) pentru apele potabile îmbuteliate şi 19 unităţi (3 distribuitori şi 16 retaileri) pentru apele minerale</w:t>
      </w:r>
      <w:r>
        <w:rPr>
          <w:spacing w:val="-10"/>
        </w:rPr>
        <w:t> </w:t>
      </w:r>
      <w:r>
        <w:rPr/>
        <w:t>îmbuteliate.</w:t>
      </w:r>
    </w:p>
    <w:p>
      <w:pPr>
        <w:pStyle w:val="BodyText"/>
        <w:ind w:right="2234"/>
      </w:pPr>
      <w:r>
        <w:rPr/>
        <w:t>Au fost prelevate 2 probe de apă rezultatul determinărilor efectuate fiind corespunzător. Au fost aplicate 5 avertismente conform HGR nr. 857/2011 coroborat cu O.G.2/2001.</w:t>
      </w:r>
    </w:p>
    <w:p>
      <w:pPr>
        <w:pStyle w:val="BodyText"/>
      </w:pPr>
      <w:r>
        <w:rPr>
          <w:u w:val="single"/>
        </w:rPr>
        <w:t>Acţiune tematică de control privind verificarea saloanelor de bronzare artificială</w:t>
      </w:r>
    </w:p>
    <w:p>
      <w:pPr>
        <w:pStyle w:val="BodyText"/>
        <w:ind w:right="1133"/>
        <w:jc w:val="both"/>
      </w:pPr>
      <w:r>
        <w:rPr/>
        <w:t>Au fost verificate 21 saloane/centre de bronzare. În urma verificărilor efectuate şi a neconformităţilor constatate a fost interzisă utilizarea a 8 aparate de bronzat, s-au aplicat 7 sancţiuni contravenţionale din care: 6 avertismente şi 1 amendă în valoare de 500</w:t>
      </w:r>
      <w:r>
        <w:rPr>
          <w:spacing w:val="-5"/>
        </w:rPr>
        <w:t> </w:t>
      </w:r>
      <w:r>
        <w:rPr/>
        <w:t>lei.</w:t>
      </w:r>
    </w:p>
    <w:p>
      <w:pPr>
        <w:pStyle w:val="BodyText"/>
        <w:ind w:right="1131" w:firstLine="60"/>
        <w:jc w:val="both"/>
      </w:pPr>
      <w:r>
        <w:rPr>
          <w:u w:val="single"/>
        </w:rPr>
        <w:t>Acţiune tematică în unită</w:t>
      </w:r>
      <w:r>
        <w:rPr>
          <w:rFonts w:ascii="Tahoma" w:hAnsi="Tahoma"/>
          <w:u w:val="single"/>
        </w:rPr>
        <w:t>ț</w:t>
      </w:r>
      <w:r>
        <w:rPr>
          <w:u w:val="single"/>
        </w:rPr>
        <w:t>ile sanitare cu paturi de stat </w:t>
      </w:r>
      <w:r>
        <w:rPr>
          <w:rFonts w:ascii="Tahoma" w:hAnsi="Tahoma"/>
          <w:u w:val="single"/>
        </w:rPr>
        <w:t>ș</w:t>
      </w:r>
      <w:r>
        <w:rPr>
          <w:u w:val="single"/>
        </w:rPr>
        <w:t>i private (include controlul UPU/CPU </w:t>
      </w:r>
      <w:r>
        <w:rPr>
          <w:rFonts w:ascii="Tahoma" w:hAnsi="Tahoma"/>
          <w:u w:val="single"/>
        </w:rPr>
        <w:t>ș</w:t>
      </w:r>
      <w:r>
        <w:rPr>
          <w:u w:val="single"/>
        </w:rPr>
        <w:t>i</w:t>
      </w:r>
      <w:r>
        <w:rPr/>
        <w:t> </w:t>
      </w:r>
      <w:r>
        <w:rPr>
          <w:u w:val="single"/>
        </w:rPr>
        <w:t>UTS)</w:t>
      </w:r>
    </w:p>
    <w:p>
      <w:pPr>
        <w:pStyle w:val="BodyText"/>
        <w:ind w:right="1136"/>
        <w:jc w:val="both"/>
      </w:pPr>
      <w:r>
        <w:rPr/>
        <w:t>Au fost verificate 21 unităţi sanitare cu paturi publice şi private din Municipiul Bucureşti, din care 10 cu UPU/CPU; 23 UTS. </w:t>
      </w:r>
      <w:r>
        <w:rPr>
          <w:spacing w:val="-3"/>
        </w:rPr>
        <w:t>În </w:t>
      </w:r>
      <w:r>
        <w:rPr/>
        <w:t>unităţile sanitare au fost aplicate 41 sancţiuni contravenţionale din  care 6 avertismente conform OG 2/2001 şi 35 amenzi conform HG 857/2011, în valoare totală</w:t>
      </w:r>
      <w:r>
        <w:rPr>
          <w:spacing w:val="27"/>
        </w:rPr>
        <w:t> </w:t>
      </w:r>
      <w:r>
        <w:rPr/>
        <w:t>de</w:t>
      </w:r>
    </w:p>
    <w:p>
      <w:pPr>
        <w:pStyle w:val="BodyText"/>
        <w:ind w:right="1139"/>
        <w:jc w:val="both"/>
      </w:pPr>
      <w:r>
        <w:rPr/>
        <w:t>28.200 lei şi s-a emis o decizie de suspendare a activităţii unui cabinet din ambulatoriul unei unităţi sanitare cu paturi.</w:t>
      </w:r>
    </w:p>
    <w:p>
      <w:pPr>
        <w:spacing w:after="0"/>
        <w:jc w:val="both"/>
        <w:sectPr>
          <w:pgSz w:w="11910" w:h="16840"/>
          <w:pgMar w:header="0" w:footer="658" w:top="1340" w:bottom="920" w:left="400" w:right="0"/>
        </w:sectPr>
      </w:pPr>
    </w:p>
    <w:p>
      <w:pPr>
        <w:pStyle w:val="BodyText"/>
        <w:spacing w:before="60"/>
        <w:ind w:right="1135"/>
        <w:jc w:val="both"/>
      </w:pPr>
      <w:r>
        <w:rPr/>
        <w:t>Au mai fost aplicate 5 sancţiuni contravenţionale din care, 1 avertisment unei societăţi de colectare, transport, eliminare finală deşeuri periculoase, 1 avertisment unei societăţi de dezinsecţie/deratizare, 1 amendă supraveghetor personal firmă curăţenie din spital, în valoare de 500 lei şi 2 amenzi la 2 societăţi de catering, în valoare de 2.000 lei.</w:t>
      </w:r>
    </w:p>
    <w:p>
      <w:pPr>
        <w:pStyle w:val="Heading1"/>
        <w:spacing w:before="1"/>
        <w:ind w:left="680"/>
        <w:rPr>
          <w:u w:val="none"/>
        </w:rPr>
      </w:pPr>
      <w:r>
        <w:rPr>
          <w:u w:val="none"/>
        </w:rPr>
        <w:t>Iunie</w:t>
      </w:r>
    </w:p>
    <w:p>
      <w:pPr>
        <w:pStyle w:val="BodyText"/>
        <w:spacing w:line="291" w:lineRule="exact" w:before="1"/>
      </w:pPr>
      <w:r>
        <w:rPr>
          <w:u w:val="single"/>
        </w:rPr>
        <w:t>Acţiune tematică de control privind asisten</w:t>
      </w:r>
      <w:r>
        <w:rPr>
          <w:rFonts w:ascii="Tahoma" w:hAnsi="Tahoma"/>
          <w:u w:val="single"/>
        </w:rPr>
        <w:t>ț</w:t>
      </w:r>
      <w:r>
        <w:rPr>
          <w:u w:val="single"/>
        </w:rPr>
        <w:t>a medicală de urgenţă prespitalicească</w:t>
      </w:r>
    </w:p>
    <w:p>
      <w:pPr>
        <w:pStyle w:val="BodyText"/>
        <w:ind w:right="1135"/>
        <w:jc w:val="both"/>
      </w:pPr>
      <w:r>
        <w:rPr/>
        <w:t>Au fost verificate 17 unităţi de asistenţă medicală prespitalicească, pentru deficien</w:t>
      </w:r>
      <w:r>
        <w:rPr>
          <w:rFonts w:ascii="Tahoma" w:hAnsi="Tahoma"/>
        </w:rPr>
        <w:t>ț</w:t>
      </w:r>
      <w:r>
        <w:rPr/>
        <w:t>ele constatate au fost aplicate 14 sancţiuni din care 4 avertismente, 9 amenzi contravenţionale în valoare de 17.400 lei şi a fost emisă o Decizie de Suspendare de Activitate.</w:t>
      </w:r>
    </w:p>
    <w:p>
      <w:pPr>
        <w:pStyle w:val="BodyText"/>
        <w:jc w:val="both"/>
      </w:pPr>
      <w:r>
        <w:rPr>
          <w:u w:val="single"/>
        </w:rPr>
        <w:t>Acţiune tematică de control pentru verificarea produselor biocide (producători şi importatori</w:t>
      </w:r>
      <w:r>
        <w:rPr/>
        <w:t>)</w:t>
      </w:r>
    </w:p>
    <w:p>
      <w:pPr>
        <w:pStyle w:val="BodyText"/>
        <w:ind w:right="1132"/>
        <w:jc w:val="both"/>
      </w:pPr>
      <w:r>
        <w:rPr/>
        <w:t>Au fost efectuate 41 de controale igienico-sanitare din care 3 la producători, 5 la deţinători de avize (importatori/distribuitori) 33 la utilizatori. Au fost verificate 52 produse biocide.</w:t>
      </w:r>
    </w:p>
    <w:p>
      <w:pPr>
        <w:pStyle w:val="BodyText"/>
        <w:ind w:right="1141"/>
        <w:jc w:val="both"/>
      </w:pPr>
      <w:r>
        <w:rPr/>
        <w:t>Pentru neconformităţile constatate au fost aplicate 2 sancţiuni contravenţionale din care 1 avertisment şi o amendă conform HGR 857/2011 în valoare de 1000 lei.</w:t>
      </w:r>
    </w:p>
    <w:p>
      <w:pPr>
        <w:pStyle w:val="BodyText"/>
        <w:jc w:val="both"/>
      </w:pPr>
      <w:r>
        <w:rPr>
          <w:u w:val="single"/>
        </w:rPr>
        <w:t>Acţiune tematică de control pentru verificarea conformităţii apelor de îmbăiere</w:t>
      </w:r>
    </w:p>
    <w:p>
      <w:pPr>
        <w:pStyle w:val="BodyText"/>
        <w:ind w:right="1133"/>
        <w:jc w:val="both"/>
      </w:pPr>
      <w:r>
        <w:rPr/>
        <w:t>Au fost efectuate controale în 51 unităţi (bazine de înot, piscine, ştranduri). Acţiunea s-a desfă</w:t>
      </w:r>
      <w:r>
        <w:rPr>
          <w:rFonts w:ascii="Tahoma" w:hAnsi="Tahoma"/>
        </w:rPr>
        <w:t>ș</w:t>
      </w:r>
      <w:r>
        <w:rPr/>
        <w:t>urat pe toată perioada sezonului estival.</w:t>
      </w:r>
    </w:p>
    <w:p>
      <w:pPr>
        <w:pStyle w:val="BodyText"/>
        <w:ind w:right="1135"/>
        <w:jc w:val="both"/>
      </w:pPr>
      <w:r>
        <w:rPr/>
        <w:t>Au fost prelevate 82 probe de apă de îmbaiere din 51 unităţi (bazine de înot, piscine), care au fost analizate în laboratorul DSP MB. Rezultatele analizelor de laborator au evidenţiat 41 probe necorespunzătoare din punct de vedere fizico-chimic şi microbiologic, s-au făcut recomandări privind spălarea </w:t>
      </w:r>
      <w:r>
        <w:rPr>
          <w:rFonts w:ascii="Tahoma" w:hAnsi="Tahoma"/>
        </w:rPr>
        <w:t>ș</w:t>
      </w:r>
      <w:r>
        <w:rPr/>
        <w:t>i dezinfec</w:t>
      </w:r>
      <w:r>
        <w:rPr>
          <w:rFonts w:ascii="Tahoma" w:hAnsi="Tahoma"/>
        </w:rPr>
        <w:t>ț</w:t>
      </w:r>
      <w:r>
        <w:rPr/>
        <w:t>ia bazinelor, precum </w:t>
      </w:r>
      <w:r>
        <w:rPr>
          <w:rFonts w:ascii="Tahoma" w:hAnsi="Tahoma"/>
        </w:rPr>
        <w:t>ș</w:t>
      </w:r>
      <w:r>
        <w:rPr/>
        <w:t>i dezinfec</w:t>
      </w:r>
      <w:r>
        <w:rPr>
          <w:rFonts w:ascii="Tahoma" w:hAnsi="Tahoma"/>
        </w:rPr>
        <w:t>ț</w:t>
      </w:r>
      <w:r>
        <w:rPr/>
        <w:t>ia apei de îmbăiere, aspecte reverificate la expirarea termenelor acordate.</w:t>
      </w:r>
    </w:p>
    <w:p>
      <w:pPr>
        <w:pStyle w:val="BodyText"/>
        <w:ind w:right="1134"/>
        <w:jc w:val="both"/>
      </w:pPr>
      <w:r>
        <w:rPr/>
        <w:t>Pentru deficien</w:t>
      </w:r>
      <w:r>
        <w:rPr>
          <w:rFonts w:ascii="Tahoma" w:hAnsi="Tahoma"/>
        </w:rPr>
        <w:t>ț</w:t>
      </w:r>
      <w:r>
        <w:rPr/>
        <w:t>ele constatate în cadrul controalelor au fost aplicate 14 sancţiuni contravenţionale (8 amenzi în valoare de 9.000 lei conform HG 857/2011 şi 6 avertismente).</w:t>
      </w:r>
    </w:p>
    <w:p>
      <w:pPr>
        <w:pStyle w:val="BodyText"/>
        <w:jc w:val="both"/>
      </w:pPr>
      <w:r>
        <w:rPr>
          <w:u w:val="single"/>
        </w:rPr>
        <w:t>Ac</w:t>
      </w:r>
      <w:r>
        <w:rPr>
          <w:rFonts w:ascii="Tahoma" w:hAnsi="Tahoma"/>
          <w:u w:val="single"/>
        </w:rPr>
        <w:t>ț</w:t>
      </w:r>
      <w:r>
        <w:rPr>
          <w:u w:val="single"/>
        </w:rPr>
        <w:t>iune tematică de control în unită</w:t>
      </w:r>
      <w:r>
        <w:rPr>
          <w:rFonts w:ascii="Tahoma" w:hAnsi="Tahoma"/>
          <w:u w:val="single"/>
        </w:rPr>
        <w:t>ț</w:t>
      </w:r>
      <w:r>
        <w:rPr>
          <w:u w:val="single"/>
        </w:rPr>
        <w:t>ile de turism</w:t>
      </w:r>
    </w:p>
    <w:p>
      <w:pPr>
        <w:pStyle w:val="BodyText"/>
        <w:spacing w:before="2"/>
        <w:ind w:right="1134"/>
        <w:jc w:val="both"/>
      </w:pPr>
      <w:r>
        <w:rPr/>
        <w:t>Au fost efectuate un număr de 224 controale (unită</w:t>
      </w:r>
      <w:r>
        <w:rPr>
          <w:rFonts w:ascii="Tahoma" w:hAnsi="Tahoma"/>
        </w:rPr>
        <w:t>ț</w:t>
      </w:r>
      <w:r>
        <w:rPr/>
        <w:t>i de cazare hotelieră, pensiuni turistice, campinguri). Pentru neconformită</w:t>
      </w:r>
      <w:r>
        <w:rPr>
          <w:rFonts w:ascii="Tahoma" w:hAnsi="Tahoma"/>
        </w:rPr>
        <w:t>ț</w:t>
      </w:r>
      <w:r>
        <w:rPr/>
        <w:t>ile cu normele în vigoare au fost aplicate 62 sanc</w:t>
      </w:r>
      <w:r>
        <w:rPr>
          <w:rFonts w:ascii="Tahoma" w:hAnsi="Tahoma"/>
        </w:rPr>
        <w:t>ț</w:t>
      </w:r>
      <w:r>
        <w:rPr/>
        <w:t>iuni din care 16 amenzi contraven</w:t>
      </w:r>
      <w:r>
        <w:rPr>
          <w:rFonts w:ascii="Tahoma" w:hAnsi="Tahoma"/>
        </w:rPr>
        <w:t>ț</w:t>
      </w:r>
      <w:r>
        <w:rPr/>
        <w:t>ionale în valoare de 21.100 lei si 46 avertismente. Acţiunea s-a desfă</w:t>
      </w:r>
      <w:r>
        <w:rPr>
          <w:rFonts w:ascii="Tahoma" w:hAnsi="Tahoma"/>
        </w:rPr>
        <w:t>ș</w:t>
      </w:r>
      <w:r>
        <w:rPr/>
        <w:t>urat pe toată perioada sezonului estival.</w:t>
      </w:r>
    </w:p>
    <w:p>
      <w:pPr>
        <w:pStyle w:val="Heading1"/>
        <w:spacing w:line="275" w:lineRule="exact"/>
        <w:ind w:left="680"/>
        <w:rPr>
          <w:u w:val="none"/>
        </w:rPr>
      </w:pPr>
      <w:r>
        <w:rPr>
          <w:u w:val="none"/>
        </w:rPr>
        <w:t>Iulie</w:t>
      </w:r>
    </w:p>
    <w:p>
      <w:pPr>
        <w:pStyle w:val="BodyText"/>
        <w:ind w:right="1139"/>
        <w:jc w:val="both"/>
      </w:pPr>
      <w:r>
        <w:rPr>
          <w:u w:val="single"/>
        </w:rPr>
        <w:t>Acţiune tematică de control privind respectarea legislaţiei în vigoare în domeniul materialelor în</w:t>
      </w:r>
      <w:r>
        <w:rPr/>
        <w:t> </w:t>
      </w:r>
      <w:r>
        <w:rPr>
          <w:u w:val="single"/>
        </w:rPr>
        <w:t>contact cu alimentul (producători </w:t>
      </w:r>
      <w:r>
        <w:rPr>
          <w:rFonts w:ascii="Tahoma" w:hAnsi="Tahoma"/>
          <w:u w:val="single"/>
        </w:rPr>
        <w:t>ș</w:t>
      </w:r>
      <w:r>
        <w:rPr>
          <w:u w:val="single"/>
        </w:rPr>
        <w:t>i importatori/ distribuitori </w:t>
      </w:r>
      <w:r>
        <w:rPr>
          <w:rFonts w:ascii="Tahoma" w:hAnsi="Tahoma"/>
          <w:u w:val="single"/>
        </w:rPr>
        <w:t>ș</w:t>
      </w:r>
      <w:r>
        <w:rPr>
          <w:u w:val="single"/>
        </w:rPr>
        <w:t>i utilizatori)</w:t>
      </w:r>
    </w:p>
    <w:p>
      <w:pPr>
        <w:pStyle w:val="BodyText"/>
        <w:jc w:val="both"/>
      </w:pPr>
      <w:r>
        <w:rPr/>
        <w:t>Au fost verificate 69 unităţi: 3 producători, 2 importatori, 5 distribuitori şi 59 utilizatori.</w:t>
      </w:r>
    </w:p>
    <w:p>
      <w:pPr>
        <w:pStyle w:val="BodyText"/>
        <w:ind w:right="1140"/>
        <w:jc w:val="both"/>
      </w:pPr>
      <w:r>
        <w:rPr/>
        <w:t>În cadrul acţiunii au fost aplicate 10 sancţiuni contravenţionale dintre care 5 avertismente şi 5 amenzi conform HGR 1197/2002 în valoare de 10000</w:t>
      </w:r>
      <w:r>
        <w:rPr>
          <w:spacing w:val="-4"/>
        </w:rPr>
        <w:t> </w:t>
      </w:r>
      <w:r>
        <w:rPr/>
        <w:t>lei.</w:t>
      </w:r>
    </w:p>
    <w:p>
      <w:pPr>
        <w:pStyle w:val="BodyText"/>
        <w:spacing w:before="1"/>
        <w:ind w:right="1138"/>
        <w:jc w:val="both"/>
      </w:pPr>
      <w:r>
        <w:rPr/>
        <w:t>Au fost retrase de la comercializare 2508 buc materiale în contact direct cu alimentul fără documente care să ateste că sunt conforme cu HGR 1197/2002, Regulamentul UE 1935/2004 şi Regulamentul</w:t>
      </w:r>
      <w:r>
        <w:rPr>
          <w:spacing w:val="-1"/>
        </w:rPr>
        <w:t> </w:t>
      </w:r>
      <w:r>
        <w:rPr/>
        <w:t>10/2011.</w:t>
      </w:r>
    </w:p>
    <w:p>
      <w:pPr>
        <w:pStyle w:val="BodyText"/>
        <w:ind w:right="1143"/>
        <w:jc w:val="both"/>
      </w:pPr>
      <w:r>
        <w:rPr/>
        <w:t>Au fost prelevate 7 probe care au fost trimise spre analiză Institutului Naţional de Sănătate Publică Bucureşti. Rezultatele determinărilor efectuate au fost corespunzătoare.</w:t>
      </w:r>
    </w:p>
    <w:p>
      <w:pPr>
        <w:pStyle w:val="BodyText"/>
        <w:ind w:right="1133"/>
        <w:jc w:val="both"/>
      </w:pPr>
      <w:r>
        <w:rPr>
          <w:u w:val="single"/>
        </w:rPr>
        <w:t>Ac</w:t>
      </w:r>
      <w:r>
        <w:rPr>
          <w:rFonts w:ascii="Tahoma" w:hAnsi="Tahoma"/>
          <w:u w:val="single"/>
        </w:rPr>
        <w:t>ț</w:t>
      </w:r>
      <w:r>
        <w:rPr>
          <w:u w:val="single"/>
        </w:rPr>
        <w:t>iune tematică de control privind respectarea legisla</w:t>
      </w:r>
      <w:r>
        <w:rPr>
          <w:rFonts w:ascii="Tahoma" w:hAnsi="Tahoma"/>
          <w:u w:val="single"/>
        </w:rPr>
        <w:t>ț</w:t>
      </w:r>
      <w:r>
        <w:rPr>
          <w:u w:val="single"/>
        </w:rPr>
        <w:t>iei în vigoare în domeniul serviciilor</w:t>
      </w:r>
      <w:r>
        <w:rPr/>
        <w:t> </w:t>
      </w:r>
      <w:r>
        <w:rPr>
          <w:u w:val="single"/>
        </w:rPr>
        <w:t>funerare. Înhumarea, incinerarea, transportul, deshumarea </w:t>
      </w:r>
      <w:r>
        <w:rPr>
          <w:rFonts w:ascii="Tahoma" w:hAnsi="Tahoma"/>
          <w:u w:val="single"/>
        </w:rPr>
        <w:t>ș</w:t>
      </w:r>
      <w:r>
        <w:rPr>
          <w:u w:val="single"/>
        </w:rPr>
        <w:t>i reînhumarea cadavrelor umane,</w:t>
      </w:r>
      <w:r>
        <w:rPr/>
        <w:t> </w:t>
      </w:r>
      <w:r>
        <w:rPr>
          <w:u w:val="single"/>
        </w:rPr>
        <w:t>cimitirele, crematoriile umane</w:t>
      </w:r>
    </w:p>
    <w:p>
      <w:pPr>
        <w:pStyle w:val="BodyText"/>
        <w:ind w:right="1140"/>
      </w:pPr>
      <w:r>
        <w:rPr/>
        <w:t>Au fost inspectate 30 de unităţi (14 cimitire, 1 crematoriu uman şi 15 săli de ceremonii funerare). Pentru deficien</w:t>
      </w:r>
      <w:r>
        <w:rPr>
          <w:rFonts w:ascii="Tahoma" w:hAnsi="Tahoma"/>
        </w:rPr>
        <w:t>ț</w:t>
      </w:r>
      <w:r>
        <w:rPr/>
        <w:t>ele constatate au fost aplicate 8 sancţiuni , din care 4 avertismente şi 4 amenzi contravenţionale, în valoare totală de 7000 lei.</w:t>
      </w:r>
    </w:p>
    <w:p>
      <w:pPr>
        <w:pStyle w:val="Heading1"/>
        <w:spacing w:line="275" w:lineRule="exact"/>
        <w:ind w:left="680"/>
        <w:rPr>
          <w:u w:val="none"/>
        </w:rPr>
      </w:pPr>
      <w:r>
        <w:rPr>
          <w:u w:val="none"/>
        </w:rPr>
        <w:t>Septembrie</w:t>
      </w:r>
    </w:p>
    <w:p>
      <w:pPr>
        <w:pStyle w:val="BodyText"/>
        <w:ind w:right="1140"/>
      </w:pPr>
      <w:r>
        <w:rPr>
          <w:u w:val="single"/>
        </w:rPr>
        <w:t>Acţiune tematică de control privind verificarea cabinetelor de medicină de specialitate/familie şi</w:t>
      </w:r>
      <w:r>
        <w:rPr/>
        <w:t> </w:t>
      </w:r>
      <w:r>
        <w:rPr>
          <w:u w:val="single"/>
        </w:rPr>
        <w:t>cabinete de medicină dentară</w:t>
      </w:r>
    </w:p>
    <w:p>
      <w:pPr>
        <w:spacing w:after="0"/>
        <w:sectPr>
          <w:pgSz w:w="11910" w:h="16840"/>
          <w:pgMar w:header="0" w:footer="658" w:top="1360" w:bottom="920" w:left="400" w:right="0"/>
        </w:sectPr>
      </w:pPr>
    </w:p>
    <w:p>
      <w:pPr>
        <w:pStyle w:val="BodyText"/>
        <w:spacing w:before="60"/>
        <w:ind w:right="1142"/>
        <w:jc w:val="both"/>
      </w:pPr>
      <w:r>
        <w:rPr/>
        <w:t>Au fost verificate 68 unităţi din Municipiul Bucureşti, din care: 13 cabinete de medicină de familie, 24 cabinete de specialitate şi 31 cabinete medicina dentară.</w:t>
      </w:r>
    </w:p>
    <w:p>
      <w:pPr>
        <w:pStyle w:val="BodyText"/>
        <w:spacing w:before="1"/>
        <w:ind w:right="1134"/>
        <w:jc w:val="both"/>
      </w:pPr>
      <w:r>
        <w:rPr/>
        <w:t>Pentru neconformităţile constatate au fost aplicate 32 sancţiuni contravenţionale, din care 13 avertismente conform OG 2/2001, 19 amenzi conform HG 857/2011, în cuantum total de 12.700 lei şi 2 decizii de suspendare a activităţii.</w:t>
      </w:r>
    </w:p>
    <w:p>
      <w:pPr>
        <w:pStyle w:val="BodyText"/>
        <w:spacing w:line="291" w:lineRule="exact" w:before="1"/>
      </w:pPr>
      <w:r>
        <w:rPr>
          <w:u w:val="single"/>
        </w:rPr>
        <w:t>Acţiune tematică de control în unită</w:t>
      </w:r>
      <w:r>
        <w:rPr>
          <w:rFonts w:ascii="Tahoma" w:hAnsi="Tahoma"/>
          <w:u w:val="single"/>
        </w:rPr>
        <w:t>ț</w:t>
      </w:r>
      <w:r>
        <w:rPr>
          <w:u w:val="single"/>
        </w:rPr>
        <w:t>ile de învă</w:t>
      </w:r>
      <w:r>
        <w:rPr>
          <w:rFonts w:ascii="Tahoma" w:hAnsi="Tahoma"/>
          <w:u w:val="single"/>
        </w:rPr>
        <w:t>ț</w:t>
      </w:r>
      <w:r>
        <w:rPr>
          <w:u w:val="single"/>
        </w:rPr>
        <w:t>ământ preuniversitar </w:t>
      </w:r>
      <w:r>
        <w:rPr>
          <w:rFonts w:ascii="Tahoma" w:hAnsi="Tahoma"/>
          <w:u w:val="single"/>
        </w:rPr>
        <w:t>ș</w:t>
      </w:r>
      <w:r>
        <w:rPr>
          <w:u w:val="single"/>
        </w:rPr>
        <w:t>i în cabinetele medicale</w:t>
      </w:r>
    </w:p>
    <w:p>
      <w:pPr>
        <w:pStyle w:val="BodyText"/>
        <w:spacing w:line="291" w:lineRule="exact"/>
      </w:pPr>
      <w:r>
        <w:rPr>
          <w:spacing w:val="-60"/>
          <w:u w:val="single"/>
        </w:rPr>
        <w:t> </w:t>
      </w:r>
      <w:r>
        <w:rPr>
          <w:rFonts w:ascii="Tahoma" w:hAnsi="Tahoma"/>
          <w:u w:val="single"/>
        </w:rPr>
        <w:t>ș</w:t>
      </w:r>
      <w:r>
        <w:rPr>
          <w:u w:val="single"/>
        </w:rPr>
        <w:t>colare</w:t>
      </w:r>
    </w:p>
    <w:p>
      <w:pPr>
        <w:pStyle w:val="BodyText"/>
        <w:ind w:right="1142"/>
        <w:jc w:val="both"/>
      </w:pPr>
      <w:r>
        <w:rPr/>
        <w:t>Au fost inspectate un număr de 62 unităţi, din care: 42 unităţi de învăţământ preşcolar, 15 unităţi învăţământ şcolar şi 5 unităţi de învăţământ liceal.</w:t>
      </w:r>
    </w:p>
    <w:p>
      <w:pPr>
        <w:pStyle w:val="BodyText"/>
        <w:ind w:right="1135"/>
        <w:jc w:val="both"/>
      </w:pPr>
      <w:r>
        <w:rPr/>
        <w:t>Din totalul de 62 unităţi verificate, 3 unităţi nu  deţin autorizaţii sanitare de funcţionare;  s-au  aplicat 24 sancţiuni : 5 amenzi conform HGR. 857/2011 în valoare de 5800 lei, 19 avertismente conform</w:t>
      </w:r>
      <w:r>
        <w:rPr>
          <w:spacing w:val="59"/>
        </w:rPr>
        <w:t> </w:t>
      </w:r>
      <w:r>
        <w:rPr/>
        <w:t>OG2/2002.</w:t>
      </w:r>
    </w:p>
    <w:p>
      <w:pPr>
        <w:pStyle w:val="BodyText"/>
        <w:ind w:right="1138"/>
        <w:jc w:val="both"/>
      </w:pPr>
      <w:r>
        <w:rPr/>
        <w:t>Din unităţile de învăţământ verificate, 14 cabinete medicale şcolare nu deţin Autorizaţie Sanitară de Funcţionare; s-au aplicat 4 sancţiuni : 1 amendă conform  HGR. 857/2011 în valoare de 1000 lei, şi 3 avertismente conform</w:t>
      </w:r>
      <w:r>
        <w:rPr>
          <w:spacing w:val="1"/>
        </w:rPr>
        <w:t> </w:t>
      </w:r>
      <w:r>
        <w:rPr/>
        <w:t>OG2/2002.</w:t>
      </w:r>
    </w:p>
    <w:p>
      <w:pPr>
        <w:pStyle w:val="BodyText"/>
        <w:spacing w:before="1"/>
        <w:ind w:right="1142" w:firstLine="60"/>
        <w:jc w:val="both"/>
      </w:pPr>
      <w:r>
        <w:rPr>
          <w:u w:val="single"/>
        </w:rPr>
        <w:t>Acţiune tematică de control pentru verificarea produselor biocide (producători, importatori,</w:t>
      </w:r>
      <w:r>
        <w:rPr/>
        <w:t> </w:t>
      </w:r>
      <w:r>
        <w:rPr>
          <w:u w:val="single"/>
        </w:rPr>
        <w:t>utilizatori)</w:t>
      </w:r>
    </w:p>
    <w:p>
      <w:pPr>
        <w:pStyle w:val="BodyText"/>
        <w:ind w:right="1138"/>
        <w:jc w:val="both"/>
      </w:pPr>
      <w:r>
        <w:rPr/>
        <w:t>Au fost efectuate 36 controale din care 4 la producători, 25 la importatori şi 7 la distribuitori de produse biocide. Au fost verificate 114 produse biocide.</w:t>
      </w:r>
    </w:p>
    <w:p>
      <w:pPr>
        <w:pStyle w:val="BodyText"/>
        <w:ind w:right="1141"/>
        <w:jc w:val="both"/>
      </w:pPr>
      <w:r>
        <w:rPr/>
        <w:t>Pentru neconformităţile constatate au fost aplicate 9 sancţiuni contravenţionale din care 4 avertismente şi 5 amenzi conform HG 857/2011, în cuantum total de 36500 lei. Au fost oprite de la comercializare 7772 bucăţi (2125,6 l) produse biocide.</w:t>
      </w:r>
    </w:p>
    <w:p>
      <w:pPr>
        <w:pStyle w:val="Heading1"/>
        <w:ind w:left="680"/>
        <w:rPr>
          <w:u w:val="none"/>
        </w:rPr>
      </w:pPr>
      <w:r>
        <w:rPr>
          <w:u w:val="none"/>
        </w:rPr>
        <w:t>Octombrie</w:t>
      </w:r>
    </w:p>
    <w:p>
      <w:pPr>
        <w:pStyle w:val="BodyText"/>
        <w:ind w:right="1140"/>
      </w:pPr>
      <w:r>
        <w:rPr>
          <w:u w:val="single"/>
        </w:rPr>
        <w:t>Ac</w:t>
      </w:r>
      <w:r>
        <w:rPr>
          <w:rFonts w:ascii="Tahoma" w:hAnsi="Tahoma"/>
          <w:u w:val="single"/>
        </w:rPr>
        <w:t>ț</w:t>
      </w:r>
      <w:r>
        <w:rPr>
          <w:u w:val="single"/>
        </w:rPr>
        <w:t>iune tematică de control în unită</w:t>
      </w:r>
      <w:r>
        <w:rPr>
          <w:rFonts w:ascii="Tahoma" w:hAnsi="Tahoma"/>
          <w:u w:val="single"/>
        </w:rPr>
        <w:t>ț</w:t>
      </w:r>
      <w:r>
        <w:rPr>
          <w:u w:val="single"/>
        </w:rPr>
        <w:t>ile de învăţământ universitar </w:t>
      </w:r>
      <w:r>
        <w:rPr>
          <w:rFonts w:ascii="Tahoma" w:hAnsi="Tahoma"/>
          <w:u w:val="single"/>
        </w:rPr>
        <w:t>ș</w:t>
      </w:r>
      <w:r>
        <w:rPr>
          <w:u w:val="single"/>
        </w:rPr>
        <w:t>i în unită</w:t>
      </w:r>
      <w:r>
        <w:rPr>
          <w:rFonts w:ascii="Tahoma" w:hAnsi="Tahoma"/>
          <w:u w:val="single"/>
        </w:rPr>
        <w:t>ț</w:t>
      </w:r>
      <w:r>
        <w:rPr>
          <w:u w:val="single"/>
        </w:rPr>
        <w:t>ile de catering care</w:t>
      </w:r>
      <w:r>
        <w:rPr/>
        <w:t> </w:t>
      </w:r>
      <w:r>
        <w:rPr>
          <w:u w:val="single"/>
        </w:rPr>
        <w:t>asigură masa în unită</w:t>
      </w:r>
      <w:r>
        <w:rPr>
          <w:rFonts w:ascii="Tahoma" w:hAnsi="Tahoma"/>
          <w:u w:val="single"/>
        </w:rPr>
        <w:t>ț</w:t>
      </w:r>
      <w:r>
        <w:rPr>
          <w:u w:val="single"/>
        </w:rPr>
        <w:t>ile de învăţământ preuniversitar</w:t>
      </w:r>
    </w:p>
    <w:p>
      <w:pPr>
        <w:pStyle w:val="BodyText"/>
        <w:spacing w:line="292" w:lineRule="exact"/>
      </w:pPr>
      <w:r>
        <w:rPr/>
        <w:t>Au fost inspectate un număr total de 60 unită</w:t>
      </w:r>
      <w:r>
        <w:rPr>
          <w:rFonts w:ascii="Tahoma" w:hAnsi="Tahoma"/>
        </w:rPr>
        <w:t>ț</w:t>
      </w:r>
      <w:r>
        <w:rPr/>
        <w:t>i, dintre care 20 unită</w:t>
      </w:r>
      <w:r>
        <w:rPr>
          <w:rFonts w:ascii="Tahoma" w:hAnsi="Tahoma"/>
        </w:rPr>
        <w:t>ț</w:t>
      </w:r>
      <w:r>
        <w:rPr/>
        <w:t>i de învăţământ</w:t>
      </w:r>
      <w:r>
        <w:rPr>
          <w:spacing w:val="53"/>
        </w:rPr>
        <w:t> </w:t>
      </w:r>
      <w:r>
        <w:rPr/>
        <w:t>universitar şi</w:t>
      </w:r>
    </w:p>
    <w:p>
      <w:pPr>
        <w:pStyle w:val="BodyText"/>
        <w:tabs>
          <w:tab w:pos="1140" w:val="left" w:leader="none"/>
        </w:tabs>
        <w:spacing w:before="1"/>
        <w:ind w:right="1140"/>
      </w:pPr>
      <w:r>
        <w:rPr/>
        <w:t>40</w:t>
        <w:tab/>
        <w:t>cămine studen</w:t>
      </w:r>
      <w:r>
        <w:rPr>
          <w:rFonts w:ascii="Tahoma" w:hAnsi="Tahoma"/>
        </w:rPr>
        <w:t>ț</w:t>
      </w:r>
      <w:r>
        <w:rPr/>
        <w:t>e</w:t>
      </w:r>
      <w:r>
        <w:rPr>
          <w:rFonts w:ascii="Tahoma" w:hAnsi="Tahoma"/>
        </w:rPr>
        <w:t>ș</w:t>
      </w:r>
      <w:r>
        <w:rPr/>
        <w:t>ti. </w:t>
      </w:r>
      <w:r>
        <w:rPr>
          <w:spacing w:val="-3"/>
        </w:rPr>
        <w:t>În </w:t>
      </w:r>
      <w:r>
        <w:rPr/>
        <w:t>cadrul acestor unită</w:t>
      </w:r>
      <w:r>
        <w:rPr>
          <w:rFonts w:ascii="Tahoma" w:hAnsi="Tahoma"/>
        </w:rPr>
        <w:t>ț</w:t>
      </w:r>
      <w:r>
        <w:rPr/>
        <w:t>i de înă</w:t>
      </w:r>
      <w:r>
        <w:rPr>
          <w:rFonts w:ascii="Tahoma" w:hAnsi="Tahoma"/>
        </w:rPr>
        <w:t>ț</w:t>
      </w:r>
      <w:r>
        <w:rPr/>
        <w:t>ământ universitar au fost inspectate 16 cabinete medicale (medicină generală </w:t>
      </w:r>
      <w:r>
        <w:rPr>
          <w:rFonts w:ascii="Tahoma" w:hAnsi="Tahoma"/>
        </w:rPr>
        <w:t>ș</w:t>
      </w:r>
      <w:r>
        <w:rPr/>
        <w:t>i stomatologie) </w:t>
      </w:r>
      <w:r>
        <w:rPr>
          <w:rFonts w:ascii="Tahoma" w:hAnsi="Tahoma"/>
        </w:rPr>
        <w:t>ș</w:t>
      </w:r>
      <w:r>
        <w:rPr/>
        <w:t>i 7 cantine</w:t>
      </w:r>
      <w:r>
        <w:rPr>
          <w:spacing w:val="-3"/>
        </w:rPr>
        <w:t> </w:t>
      </w:r>
      <w:r>
        <w:rPr/>
        <w:t>studen</w:t>
      </w:r>
      <w:r>
        <w:rPr>
          <w:rFonts w:ascii="Tahoma" w:hAnsi="Tahoma"/>
        </w:rPr>
        <w:t>ț</w:t>
      </w:r>
      <w:r>
        <w:rPr/>
        <w:t>e</w:t>
      </w:r>
      <w:r>
        <w:rPr>
          <w:rFonts w:ascii="Tahoma" w:hAnsi="Tahoma"/>
        </w:rPr>
        <w:t>ș</w:t>
      </w:r>
      <w:r>
        <w:rPr/>
        <w:t>ti.</w:t>
      </w:r>
    </w:p>
    <w:p>
      <w:pPr>
        <w:pStyle w:val="BodyText"/>
        <w:ind w:right="1135"/>
        <w:jc w:val="both"/>
      </w:pPr>
      <w:r>
        <w:rPr/>
        <w:t>Au fost aplicate următoarele sancţiuni: 6 avertismente conform OG. 2/2001 </w:t>
      </w:r>
      <w:r>
        <w:rPr>
          <w:rFonts w:ascii="Tahoma" w:hAnsi="Tahoma"/>
        </w:rPr>
        <w:t>ș</w:t>
      </w:r>
      <w:r>
        <w:rPr/>
        <w:t>i 7 amenzi contravenţionale în valoare de 18000 lei conform HG 857/2011.</w:t>
      </w:r>
    </w:p>
    <w:p>
      <w:pPr>
        <w:pStyle w:val="BodyText"/>
        <w:ind w:right="1136"/>
        <w:jc w:val="both"/>
      </w:pPr>
      <w:r>
        <w:rPr/>
        <w:t>S-au verificat 10 unită</w:t>
      </w:r>
      <w:r>
        <w:rPr>
          <w:rFonts w:ascii="Tahoma" w:hAnsi="Tahoma"/>
        </w:rPr>
        <w:t>ț</w:t>
      </w:r>
      <w:r>
        <w:rPr/>
        <w:t>i de catering, care asigură alimenta</w:t>
      </w:r>
      <w:r>
        <w:rPr>
          <w:rFonts w:ascii="Tahoma" w:hAnsi="Tahoma"/>
        </w:rPr>
        <w:t>ț</w:t>
      </w:r>
      <w:r>
        <w:rPr/>
        <w:t>ia copiilor pre</w:t>
      </w:r>
      <w:r>
        <w:rPr>
          <w:rFonts w:ascii="Tahoma" w:hAnsi="Tahoma"/>
        </w:rPr>
        <w:t>ș</w:t>
      </w:r>
      <w:r>
        <w:rPr/>
        <w:t>colari şi </w:t>
      </w:r>
      <w:r>
        <w:rPr>
          <w:rFonts w:ascii="Tahoma" w:hAnsi="Tahoma"/>
        </w:rPr>
        <w:t>ș</w:t>
      </w:r>
      <w:r>
        <w:rPr/>
        <w:t>colari din unită</w:t>
      </w:r>
      <w:r>
        <w:rPr>
          <w:rFonts w:ascii="Tahoma" w:hAnsi="Tahoma"/>
        </w:rPr>
        <w:t>ț</w:t>
      </w:r>
      <w:r>
        <w:rPr/>
        <w:t>ile de învăţământ preuniversitar.</w:t>
      </w:r>
    </w:p>
    <w:p>
      <w:pPr>
        <w:pStyle w:val="BodyText"/>
        <w:ind w:right="1132"/>
        <w:jc w:val="both"/>
      </w:pPr>
      <w:r>
        <w:rPr/>
        <w:t>În urma acţiunii de control în unită</w:t>
      </w:r>
      <w:r>
        <w:rPr>
          <w:rFonts w:ascii="Tahoma" w:hAnsi="Tahoma"/>
        </w:rPr>
        <w:t>ț</w:t>
      </w:r>
      <w:r>
        <w:rPr/>
        <w:t>ile de catering au fost aplicate următoarele sancţiuni: 1 avertisment conform OG. 2/2001 </w:t>
      </w:r>
      <w:r>
        <w:rPr>
          <w:rFonts w:ascii="Tahoma" w:hAnsi="Tahoma"/>
        </w:rPr>
        <w:t>ș</w:t>
      </w:r>
      <w:r>
        <w:rPr/>
        <w:t>i 3 amenzi contravenţionale în valoare de 3000 lei conform HG 857/2011.</w:t>
      </w:r>
    </w:p>
    <w:p>
      <w:pPr>
        <w:pStyle w:val="BodyText"/>
        <w:ind w:right="1141"/>
        <w:jc w:val="both"/>
      </w:pPr>
      <w:r>
        <w:rPr>
          <w:u w:val="single"/>
        </w:rPr>
        <w:t>Acţiune tematică privind controlul alimentelor cu destinaţie nutriţională specială şi al menţiunilor</w:t>
      </w:r>
      <w:r>
        <w:rPr/>
        <w:t> </w:t>
      </w:r>
      <w:r>
        <w:rPr>
          <w:u w:val="single"/>
        </w:rPr>
        <w:t>nutriţionale şi menţiunile de sănătate cu prelevare de probe</w:t>
      </w:r>
    </w:p>
    <w:p>
      <w:pPr>
        <w:pStyle w:val="BodyText"/>
        <w:ind w:right="1138"/>
        <w:jc w:val="both"/>
      </w:pPr>
      <w:r>
        <w:rPr/>
        <w:t>În cadrul acestei acţiuni au fost controlate 23 unităţi (1 importator şi 22 unităţi desfacere), fiind verificate 43 de produse alimentare cu destinaţie nutriţională specială.</w:t>
      </w:r>
    </w:p>
    <w:p>
      <w:pPr>
        <w:pStyle w:val="BodyText"/>
        <w:spacing w:before="2"/>
        <w:ind w:right="1140"/>
        <w:jc w:val="both"/>
      </w:pPr>
      <w:r>
        <w:rPr/>
        <w:t>Pentru deficien</w:t>
      </w:r>
      <w:r>
        <w:rPr>
          <w:rFonts w:ascii="Tahoma" w:hAnsi="Tahoma"/>
        </w:rPr>
        <w:t>ț</w:t>
      </w:r>
      <w:r>
        <w:rPr/>
        <w:t>ele constatate au fost aplicate 8 sancţiuni, astfel: 2 amenzi contravenţionale în valoare de 2.300 lei şi 6 avertismente.</w:t>
      </w:r>
    </w:p>
    <w:p>
      <w:pPr>
        <w:pStyle w:val="BodyText"/>
        <w:ind w:right="1145"/>
        <w:jc w:val="both"/>
      </w:pPr>
      <w:r>
        <w:rPr/>
        <w:t>Au fost recoltate 10 probe ADNS, care au fost trimise spre analiză către laboratoarele DSP MB, CRSP Cluj şi CRSP Iaşi.</w:t>
      </w:r>
    </w:p>
    <w:p>
      <w:pPr>
        <w:pStyle w:val="Heading1"/>
        <w:spacing w:line="275" w:lineRule="exact"/>
        <w:ind w:left="680"/>
        <w:rPr>
          <w:u w:val="none"/>
        </w:rPr>
      </w:pPr>
      <w:r>
        <w:rPr>
          <w:u w:val="none"/>
        </w:rPr>
        <w:t>Noiembrie</w:t>
      </w:r>
    </w:p>
    <w:p>
      <w:pPr>
        <w:pStyle w:val="BodyText"/>
        <w:spacing w:line="291" w:lineRule="exact"/>
      </w:pPr>
      <w:r>
        <w:rPr>
          <w:u w:val="single"/>
        </w:rPr>
        <w:t>Ac</w:t>
      </w:r>
      <w:r>
        <w:rPr>
          <w:rFonts w:ascii="Tahoma" w:hAnsi="Tahoma"/>
          <w:u w:val="single"/>
        </w:rPr>
        <w:t>ț</w:t>
      </w:r>
      <w:r>
        <w:rPr>
          <w:u w:val="single"/>
        </w:rPr>
        <w:t>iune tematică de control privind alimentele tratate cu radiaţii ionizante, cu prelevare probe</w:t>
      </w:r>
    </w:p>
    <w:p>
      <w:pPr>
        <w:pStyle w:val="BodyText"/>
        <w:ind w:right="1137"/>
        <w:jc w:val="both"/>
      </w:pPr>
      <w:r>
        <w:rPr/>
        <w:t>Au fost controlate 45 unităţi (1 distribuitor şi 44 unităţi desfacere), fiind verificate 92 produse, dar pe niciuna dintre etichete nu era inscripţionată menţiunea “produs iradiat” sau “produs tratat cu radiaţii</w:t>
      </w:r>
      <w:r>
        <w:rPr>
          <w:spacing w:val="-1"/>
        </w:rPr>
        <w:t> </w:t>
      </w:r>
      <w:r>
        <w:rPr/>
        <w:t>ionizante”.</w:t>
      </w:r>
    </w:p>
    <w:p>
      <w:pPr>
        <w:spacing w:after="0"/>
        <w:jc w:val="both"/>
        <w:sectPr>
          <w:pgSz w:w="11910" w:h="16840"/>
          <w:pgMar w:header="0" w:footer="658" w:top="1360" w:bottom="920" w:left="400" w:right="0"/>
        </w:sectPr>
      </w:pPr>
    </w:p>
    <w:p>
      <w:pPr>
        <w:pStyle w:val="BodyText"/>
        <w:spacing w:before="60"/>
        <w:ind w:right="1140" w:firstLine="60"/>
      </w:pPr>
      <w:r>
        <w:rPr/>
        <w:t>A fost prelevată o probă de condimente care a fost trimisă spre analiză către laboratorul Institutului de Igienă şi Sănătate Publică Veterinară Bucureşti, rezultatul fiind corespunzător.</w:t>
      </w:r>
    </w:p>
    <w:p>
      <w:pPr>
        <w:pStyle w:val="BodyText"/>
        <w:spacing w:before="2"/>
        <w:ind w:right="1140"/>
      </w:pPr>
      <w:r>
        <w:rPr>
          <w:u w:val="single"/>
        </w:rPr>
        <w:t>Ac</w:t>
      </w:r>
      <w:r>
        <w:rPr>
          <w:rFonts w:ascii="Tahoma" w:hAnsi="Tahoma"/>
          <w:u w:val="single"/>
        </w:rPr>
        <w:t>ț</w:t>
      </w:r>
      <w:r>
        <w:rPr>
          <w:u w:val="single"/>
        </w:rPr>
        <w:t>iunea de control tematic privind verificarea respectării conformită</w:t>
      </w:r>
      <w:r>
        <w:rPr>
          <w:rFonts w:ascii="Tahoma" w:hAnsi="Tahoma"/>
          <w:u w:val="single"/>
        </w:rPr>
        <w:t>ț</w:t>
      </w:r>
      <w:r>
        <w:rPr>
          <w:u w:val="single"/>
        </w:rPr>
        <w:t>ii laboratoarelor de analize</w:t>
      </w:r>
      <w:r>
        <w:rPr/>
        <w:t> </w:t>
      </w:r>
      <w:r>
        <w:rPr>
          <w:u w:val="single"/>
        </w:rPr>
        <w:t>medicale la prevederile legale în vigoare.</w:t>
      </w:r>
    </w:p>
    <w:p>
      <w:pPr>
        <w:pStyle w:val="BodyText"/>
        <w:spacing w:line="290" w:lineRule="exact"/>
      </w:pPr>
      <w:r>
        <w:rPr/>
        <w:t>Au fost verificate 33 laboratoare </w:t>
      </w:r>
      <w:r>
        <w:rPr>
          <w:rFonts w:ascii="Tahoma" w:hAnsi="Tahoma"/>
        </w:rPr>
        <w:t>ș</w:t>
      </w:r>
      <w:r>
        <w:rPr/>
        <w:t>i 6 puncte externe de recoltare probe biologice.</w:t>
      </w:r>
    </w:p>
    <w:p>
      <w:pPr>
        <w:pStyle w:val="BodyText"/>
        <w:ind w:right="1487"/>
      </w:pPr>
      <w:r>
        <w:rPr/>
        <w:t>Pentru neconformită</w:t>
      </w:r>
      <w:r>
        <w:rPr>
          <w:rFonts w:ascii="Tahoma" w:hAnsi="Tahoma"/>
        </w:rPr>
        <w:t>ț</w:t>
      </w:r>
      <w:r>
        <w:rPr/>
        <w:t>ile constatate au fost aplicate 23 sanc</w:t>
      </w:r>
      <w:r>
        <w:rPr>
          <w:rFonts w:ascii="Tahoma" w:hAnsi="Tahoma"/>
        </w:rPr>
        <w:t>ț</w:t>
      </w:r>
      <w:r>
        <w:rPr/>
        <w:t>iuni contraven</w:t>
      </w:r>
      <w:r>
        <w:rPr>
          <w:rFonts w:ascii="Tahoma" w:hAnsi="Tahoma"/>
        </w:rPr>
        <w:t>ț</w:t>
      </w:r>
      <w:r>
        <w:rPr/>
        <w:t>ionale conform OG 2/2001 şi HG 857/2011 din care, 4 avertismente </w:t>
      </w:r>
      <w:r>
        <w:rPr>
          <w:rFonts w:ascii="Tahoma" w:hAnsi="Tahoma"/>
        </w:rPr>
        <w:t>ș</w:t>
      </w:r>
      <w:r>
        <w:rPr/>
        <w:t>i 19 amenzi în cuantum de 13.400</w:t>
      </w:r>
      <w:r>
        <w:rPr>
          <w:spacing w:val="-1"/>
        </w:rPr>
        <w:t> </w:t>
      </w:r>
      <w:r>
        <w:rPr/>
        <w:t>lei.</w:t>
      </w:r>
    </w:p>
    <w:p>
      <w:pPr>
        <w:pStyle w:val="Heading1"/>
        <w:spacing w:before="1"/>
        <w:ind w:left="680"/>
        <w:rPr>
          <w:u w:val="none"/>
        </w:rPr>
      </w:pPr>
      <w:r>
        <w:rPr>
          <w:u w:val="none"/>
        </w:rPr>
        <w:t>Decembrie</w:t>
      </w:r>
    </w:p>
    <w:p>
      <w:pPr>
        <w:pStyle w:val="BodyText"/>
      </w:pPr>
      <w:r>
        <w:rPr>
          <w:u w:val="single"/>
        </w:rPr>
        <w:t>Acţiune tematică de control pentru verificarea pachetelor promoţionale cu produse cosmetice</w:t>
      </w:r>
    </w:p>
    <w:p>
      <w:pPr>
        <w:pStyle w:val="BodyText"/>
        <w:ind w:right="1140"/>
      </w:pPr>
      <w:r>
        <w:rPr/>
        <w:t>Au fost verificate 36 de pachete promoţionale, respectiv 80 de produse comercializate în unităţi de desfacere produse cosmetice, hipermarketuri şi supermarketuri.</w:t>
      </w:r>
    </w:p>
    <w:p>
      <w:pPr>
        <w:pStyle w:val="BodyText"/>
        <w:ind w:right="1139"/>
        <w:jc w:val="both"/>
      </w:pPr>
      <w:r>
        <w:rPr/>
        <w:t>Au fost identificate 5 pachete promoţionale care conţin 13 produse cosmetice pentru care nu au fost găsite notificările efectuate de importatori/distribuitori pe Portalul European de Notificare a Produselor Cosmetice, deşi aceştia au tradus etichetă în limba română, ceea ce contravine prevederilor art. 13 alin (3) din Reg. CE nr. 1223/2009, urmând a fi verificată intrarea în legalitate a acestora.</w:t>
      </w:r>
    </w:p>
    <w:p>
      <w:pPr>
        <w:pStyle w:val="BodyText"/>
        <w:ind w:right="1133"/>
        <w:jc w:val="both"/>
      </w:pPr>
      <w:r>
        <w:rPr>
          <w:u w:val="single"/>
        </w:rPr>
        <w:t>Ac</w:t>
      </w:r>
      <w:r>
        <w:rPr>
          <w:rFonts w:ascii="Tahoma" w:hAnsi="Tahoma"/>
          <w:u w:val="single"/>
        </w:rPr>
        <w:t>ț</w:t>
      </w:r>
      <w:r>
        <w:rPr>
          <w:u w:val="single"/>
        </w:rPr>
        <w:t>iune tematică de control în unită</w:t>
      </w:r>
      <w:r>
        <w:rPr>
          <w:rFonts w:ascii="Tahoma" w:hAnsi="Tahoma"/>
          <w:u w:val="single"/>
        </w:rPr>
        <w:t>ț</w:t>
      </w:r>
      <w:r>
        <w:rPr>
          <w:u w:val="single"/>
        </w:rPr>
        <w:t>i de produc</w:t>
      </w:r>
      <w:r>
        <w:rPr>
          <w:rFonts w:ascii="Tahoma" w:hAnsi="Tahoma"/>
          <w:u w:val="single"/>
        </w:rPr>
        <w:t>ț</w:t>
      </w:r>
      <w:r>
        <w:rPr>
          <w:u w:val="single"/>
        </w:rPr>
        <w:t>ie </w:t>
      </w:r>
      <w:r>
        <w:rPr>
          <w:rFonts w:ascii="Tahoma" w:hAnsi="Tahoma"/>
          <w:u w:val="single"/>
        </w:rPr>
        <w:t>ș</w:t>
      </w:r>
      <w:r>
        <w:rPr>
          <w:u w:val="single"/>
        </w:rPr>
        <w:t>i desfacere a preparatelor specifice sărbătorilor</w:t>
      </w:r>
      <w:r>
        <w:rPr/>
        <w:t> </w:t>
      </w:r>
      <w:r>
        <w:rPr>
          <w:u w:val="single"/>
        </w:rPr>
        <w:t>de iarnă precum </w:t>
      </w:r>
      <w:r>
        <w:rPr>
          <w:rFonts w:ascii="Tahoma" w:hAnsi="Tahoma"/>
          <w:u w:val="single"/>
        </w:rPr>
        <w:t>ș</w:t>
      </w:r>
      <w:r>
        <w:rPr>
          <w:u w:val="single"/>
        </w:rPr>
        <w:t>i în unită</w:t>
      </w:r>
      <w:r>
        <w:rPr>
          <w:rFonts w:ascii="Tahoma" w:hAnsi="Tahoma"/>
          <w:u w:val="single"/>
        </w:rPr>
        <w:t>ț</w:t>
      </w:r>
      <w:r>
        <w:rPr>
          <w:u w:val="single"/>
        </w:rPr>
        <w:t>i care organizează mese festive de Revelion</w:t>
      </w:r>
    </w:p>
    <w:p>
      <w:pPr>
        <w:pStyle w:val="BodyText"/>
        <w:spacing w:before="1"/>
        <w:ind w:right="1132"/>
        <w:jc w:val="both"/>
      </w:pPr>
      <w:r>
        <w:rPr/>
        <w:t>Au fost inspectate 192 unită</w:t>
      </w:r>
      <w:r>
        <w:rPr>
          <w:rFonts w:ascii="Tahoma" w:hAnsi="Tahoma"/>
        </w:rPr>
        <w:t>ț</w:t>
      </w:r>
      <w:r>
        <w:rPr/>
        <w:t>i microproduc</w:t>
      </w:r>
      <w:r>
        <w:rPr>
          <w:rFonts w:ascii="Tahoma" w:hAnsi="Tahoma"/>
        </w:rPr>
        <w:t>ț</w:t>
      </w:r>
      <w:r>
        <w:rPr/>
        <w:t>ie, 82 unită</w:t>
      </w:r>
      <w:r>
        <w:rPr>
          <w:rFonts w:ascii="Tahoma" w:hAnsi="Tahoma"/>
        </w:rPr>
        <w:t>ț</w:t>
      </w:r>
      <w:r>
        <w:rPr/>
        <w:t>i comerciale </w:t>
      </w:r>
      <w:r>
        <w:rPr>
          <w:rFonts w:ascii="Tahoma" w:hAnsi="Tahoma"/>
        </w:rPr>
        <w:t>ș</w:t>
      </w:r>
      <w:r>
        <w:rPr/>
        <w:t>i 36 unită</w:t>
      </w:r>
      <w:r>
        <w:rPr>
          <w:rFonts w:ascii="Tahoma" w:hAnsi="Tahoma"/>
        </w:rPr>
        <w:t>ț</w:t>
      </w:r>
      <w:r>
        <w:rPr/>
        <w:t>i de alimenta</w:t>
      </w:r>
      <w:r>
        <w:rPr>
          <w:rFonts w:ascii="Tahoma" w:hAnsi="Tahoma"/>
        </w:rPr>
        <w:t>ț</w:t>
      </w:r>
      <w:r>
        <w:rPr/>
        <w:t>ie publică. Pentru neconformită</w:t>
      </w:r>
      <w:r>
        <w:rPr>
          <w:rFonts w:ascii="Tahoma" w:hAnsi="Tahoma"/>
        </w:rPr>
        <w:t>ț</w:t>
      </w:r>
      <w:r>
        <w:rPr/>
        <w:t>ile constatate au fost aplicate 76 sanc</w:t>
      </w:r>
      <w:r>
        <w:rPr>
          <w:rFonts w:ascii="Tahoma" w:hAnsi="Tahoma"/>
        </w:rPr>
        <w:t>ț</w:t>
      </w:r>
      <w:r>
        <w:rPr/>
        <w:t>iuni contraven</w:t>
      </w:r>
      <w:r>
        <w:rPr>
          <w:rFonts w:ascii="Tahoma" w:hAnsi="Tahoma"/>
        </w:rPr>
        <w:t>ț</w:t>
      </w:r>
      <w:r>
        <w:rPr/>
        <w:t>ionale (45 avertismente </w:t>
      </w:r>
      <w:r>
        <w:rPr>
          <w:rFonts w:ascii="Tahoma" w:hAnsi="Tahoma"/>
        </w:rPr>
        <w:t>ș</w:t>
      </w:r>
      <w:r>
        <w:rPr/>
        <w:t>i 31 amenzi în valoare totală de 51.000 lei).</w:t>
      </w:r>
    </w:p>
    <w:p>
      <w:pPr>
        <w:pStyle w:val="BodyText"/>
        <w:ind w:right="1134"/>
        <w:jc w:val="both"/>
      </w:pPr>
      <w:r>
        <w:rPr/>
        <w:t>Au fost emise două decizii de suspendare a activită</w:t>
      </w:r>
      <w:r>
        <w:rPr>
          <w:rFonts w:ascii="Tahoma" w:hAnsi="Tahoma"/>
        </w:rPr>
        <w:t>ț</w:t>
      </w:r>
      <w:r>
        <w:rPr/>
        <w:t>ii </w:t>
      </w:r>
      <w:r>
        <w:rPr>
          <w:rFonts w:ascii="Tahoma" w:hAnsi="Tahoma"/>
        </w:rPr>
        <w:t>ș</w:t>
      </w:r>
      <w:r>
        <w:rPr/>
        <w:t>i scoase din consum/interzise utilizării  12,264 kg produse alimentare </w:t>
      </w:r>
      <w:r>
        <w:rPr>
          <w:rFonts w:ascii="Tahoma" w:hAnsi="Tahoma"/>
        </w:rPr>
        <w:t>ș</w:t>
      </w:r>
      <w:r>
        <w:rPr/>
        <w:t>i 4,8 kg + 200 buc materiale în contact direct cu</w:t>
      </w:r>
      <w:r>
        <w:rPr>
          <w:spacing w:val="-7"/>
        </w:rPr>
        <w:t> </w:t>
      </w:r>
      <w:r>
        <w:rPr/>
        <w:t>alimentul.</w:t>
      </w:r>
    </w:p>
    <w:p>
      <w:pPr>
        <w:pStyle w:val="Heading1"/>
        <w:spacing w:line="274" w:lineRule="exact"/>
        <w:ind w:left="680"/>
        <w:jc w:val="both"/>
        <w:rPr>
          <w:u w:val="none"/>
        </w:rPr>
      </w:pPr>
      <w:r>
        <w:rPr>
          <w:u w:val="none"/>
        </w:rPr>
        <w:t>Activitatea de inspecţie neplanificată dispusă de ministerul sănătăţii</w:t>
      </w:r>
    </w:p>
    <w:p>
      <w:pPr>
        <w:pStyle w:val="ListParagraph"/>
        <w:numPr>
          <w:ilvl w:val="0"/>
          <w:numId w:val="27"/>
        </w:numPr>
        <w:tabs>
          <w:tab w:pos="861" w:val="left" w:leader="none"/>
        </w:tabs>
        <w:spacing w:line="240" w:lineRule="auto" w:before="0" w:after="0"/>
        <w:ind w:left="680" w:right="1136" w:firstLine="0"/>
        <w:jc w:val="both"/>
        <w:rPr>
          <w:sz w:val="24"/>
        </w:rPr>
      </w:pPr>
      <w:r>
        <w:rPr>
          <w:sz w:val="24"/>
        </w:rPr>
        <w:t>Control efectuat conf.Ord. MS pentru verificarea condiţiilor igienico-sanitare şi a modului de raportare a infecţiilor nosocomiale într-o unitate sanitară cu paturi din judeţul</w:t>
      </w:r>
      <w:r>
        <w:rPr>
          <w:spacing w:val="-6"/>
          <w:sz w:val="24"/>
        </w:rPr>
        <w:t> </w:t>
      </w:r>
      <w:r>
        <w:rPr>
          <w:sz w:val="24"/>
        </w:rPr>
        <w:t>limitrof.</w:t>
      </w:r>
    </w:p>
    <w:p>
      <w:pPr>
        <w:pStyle w:val="ListParagraph"/>
        <w:numPr>
          <w:ilvl w:val="0"/>
          <w:numId w:val="27"/>
        </w:numPr>
        <w:tabs>
          <w:tab w:pos="861" w:val="left" w:leader="none"/>
        </w:tabs>
        <w:spacing w:line="240" w:lineRule="auto" w:before="0" w:after="0"/>
        <w:ind w:left="680" w:right="1136" w:firstLine="0"/>
        <w:jc w:val="both"/>
        <w:rPr>
          <w:sz w:val="24"/>
        </w:rPr>
      </w:pPr>
      <w:r>
        <w:rPr>
          <w:sz w:val="24"/>
        </w:rPr>
        <w:t>Acţiune de control de verificare a respectării legislaţiei privind gestionarea deşeurilor rezultate din activităţile medicale şi trasabilitatea acestora. Verificările au fost efectuate în 22 unităţi sanitare cu paturi, stabilite de Ministerul Sănătă</w:t>
      </w:r>
      <w:r>
        <w:rPr>
          <w:rFonts w:ascii="Tahoma" w:hAnsi="Tahoma"/>
          <w:sz w:val="24"/>
        </w:rPr>
        <w:t>ț</w:t>
      </w:r>
      <w:r>
        <w:rPr>
          <w:sz w:val="24"/>
        </w:rPr>
        <w:t>ii </w:t>
      </w:r>
      <w:r>
        <w:rPr>
          <w:rFonts w:ascii="Tahoma" w:hAnsi="Tahoma"/>
          <w:sz w:val="24"/>
        </w:rPr>
        <w:t>ș</w:t>
      </w:r>
      <w:r>
        <w:rPr>
          <w:sz w:val="24"/>
        </w:rPr>
        <w:t>i la operatorul economic din domeniu, de pe raza Municipiului</w:t>
      </w:r>
      <w:r>
        <w:rPr>
          <w:spacing w:val="-1"/>
          <w:sz w:val="24"/>
        </w:rPr>
        <w:t> </w:t>
      </w:r>
      <w:r>
        <w:rPr>
          <w:sz w:val="24"/>
        </w:rPr>
        <w:t>Bucureşti</w:t>
      </w:r>
    </w:p>
    <w:p>
      <w:pPr>
        <w:pStyle w:val="ListParagraph"/>
        <w:numPr>
          <w:ilvl w:val="0"/>
          <w:numId w:val="27"/>
        </w:numPr>
        <w:tabs>
          <w:tab w:pos="861" w:val="left" w:leader="none"/>
        </w:tabs>
        <w:spacing w:line="240" w:lineRule="auto" w:before="1" w:after="0"/>
        <w:ind w:left="680" w:right="1134" w:firstLine="0"/>
        <w:jc w:val="both"/>
        <w:rPr>
          <w:sz w:val="24"/>
        </w:rPr>
      </w:pPr>
      <w:r>
        <w:rPr>
          <w:sz w:val="24"/>
        </w:rPr>
        <w:t>Control efectuat in baza Ordinului. Ministrului Să pentru verificarea condiţiilor igienico-sanitare într-o unitate de înfrumuseţare din alt</w:t>
      </w:r>
      <w:r>
        <w:rPr>
          <w:spacing w:val="-4"/>
          <w:sz w:val="24"/>
        </w:rPr>
        <w:t> </w:t>
      </w:r>
      <w:r>
        <w:rPr>
          <w:sz w:val="24"/>
        </w:rPr>
        <w:t>judeţ.</w:t>
      </w:r>
    </w:p>
    <w:p>
      <w:pPr>
        <w:pStyle w:val="ListParagraph"/>
        <w:numPr>
          <w:ilvl w:val="0"/>
          <w:numId w:val="27"/>
        </w:numPr>
        <w:tabs>
          <w:tab w:pos="861" w:val="left" w:leader="none"/>
        </w:tabs>
        <w:spacing w:line="240" w:lineRule="auto" w:before="0" w:after="0"/>
        <w:ind w:left="680" w:right="1142" w:firstLine="0"/>
        <w:jc w:val="both"/>
        <w:rPr>
          <w:sz w:val="24"/>
        </w:rPr>
      </w:pPr>
      <w:r>
        <w:rPr>
          <w:sz w:val="24"/>
        </w:rPr>
        <w:t>Acţiuni de control urmare unor notificări de la Ministerul Sănătăţii privin neconformitatea produselor</w:t>
      </w:r>
      <w:r>
        <w:rPr>
          <w:spacing w:val="-1"/>
          <w:sz w:val="24"/>
        </w:rPr>
        <w:t> </w:t>
      </w:r>
      <w:r>
        <w:rPr>
          <w:sz w:val="24"/>
        </w:rPr>
        <w:t>biocide.</w:t>
      </w:r>
    </w:p>
    <w:p>
      <w:pPr>
        <w:pStyle w:val="ListParagraph"/>
        <w:numPr>
          <w:ilvl w:val="0"/>
          <w:numId w:val="27"/>
        </w:numPr>
        <w:tabs>
          <w:tab w:pos="861" w:val="left" w:leader="none"/>
        </w:tabs>
        <w:spacing w:line="240" w:lineRule="auto" w:before="0" w:after="0"/>
        <w:ind w:left="680" w:right="1143" w:firstLine="0"/>
        <w:jc w:val="both"/>
        <w:rPr>
          <w:sz w:val="24"/>
        </w:rPr>
      </w:pPr>
      <w:r>
        <w:rPr>
          <w:sz w:val="24"/>
        </w:rPr>
        <w:t>Acţiuni de control urmare unor notificări de la Ministerul Sănătăţii privin neconformitatea produselor</w:t>
      </w:r>
      <w:r>
        <w:rPr>
          <w:spacing w:val="-1"/>
          <w:sz w:val="24"/>
        </w:rPr>
        <w:t> </w:t>
      </w:r>
      <w:r>
        <w:rPr>
          <w:sz w:val="24"/>
        </w:rPr>
        <w:t>cosmetice</w:t>
      </w:r>
    </w:p>
    <w:p>
      <w:pPr>
        <w:pStyle w:val="ListParagraph"/>
        <w:numPr>
          <w:ilvl w:val="0"/>
          <w:numId w:val="27"/>
        </w:numPr>
        <w:tabs>
          <w:tab w:pos="861" w:val="left" w:leader="none"/>
        </w:tabs>
        <w:spacing w:line="240" w:lineRule="auto" w:before="0" w:after="0"/>
        <w:ind w:left="680" w:right="1139" w:firstLine="0"/>
        <w:jc w:val="both"/>
        <w:rPr>
          <w:sz w:val="24"/>
        </w:rPr>
      </w:pPr>
      <w:r>
        <w:rPr>
          <w:sz w:val="24"/>
        </w:rPr>
        <w:t>Acţiuni de control urmare unor notificări de la Ministerul Sănătăţii privin neconformitatea suplimentelor</w:t>
      </w:r>
      <w:r>
        <w:rPr>
          <w:spacing w:val="-2"/>
          <w:sz w:val="24"/>
        </w:rPr>
        <w:t> </w:t>
      </w:r>
      <w:r>
        <w:rPr>
          <w:sz w:val="24"/>
        </w:rPr>
        <w:t>alimentare.</w:t>
      </w:r>
    </w:p>
    <w:p>
      <w:pPr>
        <w:pStyle w:val="ListParagraph"/>
        <w:numPr>
          <w:ilvl w:val="0"/>
          <w:numId w:val="27"/>
        </w:numPr>
        <w:tabs>
          <w:tab w:pos="861" w:val="left" w:leader="none"/>
        </w:tabs>
        <w:spacing w:line="240" w:lineRule="auto" w:before="2" w:after="0"/>
        <w:ind w:left="680" w:right="1130" w:firstLine="0"/>
        <w:jc w:val="both"/>
        <w:rPr>
          <w:sz w:val="24"/>
        </w:rPr>
      </w:pPr>
      <w:r>
        <w:rPr>
          <w:sz w:val="24"/>
        </w:rPr>
        <w:t>Participarea la ac</w:t>
      </w:r>
      <w:r>
        <w:rPr>
          <w:rFonts w:ascii="Tahoma" w:hAnsi="Tahoma"/>
          <w:sz w:val="24"/>
        </w:rPr>
        <w:t>ț</w:t>
      </w:r>
      <w:r>
        <w:rPr>
          <w:sz w:val="24"/>
        </w:rPr>
        <w:t>iuni de inspec</w:t>
      </w:r>
      <w:r>
        <w:rPr>
          <w:rFonts w:ascii="Tahoma" w:hAnsi="Tahoma"/>
          <w:sz w:val="24"/>
        </w:rPr>
        <w:t>ț</w:t>
      </w:r>
      <w:r>
        <w:rPr>
          <w:sz w:val="24"/>
        </w:rPr>
        <w:t>ie a serviciilor de urgen</w:t>
      </w:r>
      <w:r>
        <w:rPr>
          <w:rFonts w:ascii="Tahoma" w:hAnsi="Tahoma"/>
          <w:sz w:val="24"/>
        </w:rPr>
        <w:t>ț</w:t>
      </w:r>
      <w:r>
        <w:rPr>
          <w:sz w:val="24"/>
        </w:rPr>
        <w:t>ă prespitalicească organizată de D.S.U. – M.A.I.</w:t>
      </w:r>
    </w:p>
    <w:p>
      <w:pPr>
        <w:pStyle w:val="ListParagraph"/>
        <w:numPr>
          <w:ilvl w:val="0"/>
          <w:numId w:val="27"/>
        </w:numPr>
        <w:tabs>
          <w:tab w:pos="861" w:val="left" w:leader="none"/>
        </w:tabs>
        <w:spacing w:line="240" w:lineRule="auto" w:before="0" w:after="0"/>
        <w:ind w:left="680" w:right="1133" w:firstLine="0"/>
        <w:jc w:val="both"/>
        <w:rPr>
          <w:sz w:val="24"/>
        </w:rPr>
      </w:pPr>
      <w:r>
        <w:rPr>
          <w:sz w:val="24"/>
        </w:rPr>
        <w:t>Ac</w:t>
      </w:r>
      <w:r>
        <w:rPr>
          <w:rFonts w:ascii="Tahoma" w:hAnsi="Tahoma"/>
          <w:sz w:val="24"/>
        </w:rPr>
        <w:t>ț</w:t>
      </w:r>
      <w:r>
        <w:rPr>
          <w:sz w:val="24"/>
        </w:rPr>
        <w:t>iune de control privind verificarea îndeplinirii instruc</w:t>
      </w:r>
      <w:r>
        <w:rPr>
          <w:rFonts w:ascii="Tahoma" w:hAnsi="Tahoma"/>
          <w:sz w:val="24"/>
        </w:rPr>
        <w:t>ț</w:t>
      </w:r>
      <w:r>
        <w:rPr>
          <w:sz w:val="24"/>
        </w:rPr>
        <w:t>iunilor Ministerului Sănătă</w:t>
      </w:r>
      <w:r>
        <w:rPr>
          <w:rFonts w:ascii="Tahoma" w:hAnsi="Tahoma"/>
          <w:sz w:val="24"/>
        </w:rPr>
        <w:t>ț</w:t>
      </w:r>
      <w:r>
        <w:rPr>
          <w:sz w:val="24"/>
        </w:rPr>
        <w:t>ii referitoare la imunizările obligatorii </w:t>
      </w:r>
      <w:r>
        <w:rPr>
          <w:rFonts w:ascii="Tahoma" w:hAnsi="Tahoma"/>
          <w:sz w:val="24"/>
        </w:rPr>
        <w:t>ș</w:t>
      </w:r>
      <w:r>
        <w:rPr>
          <w:sz w:val="24"/>
        </w:rPr>
        <w:t>i a implementării măsurilor de luptă în focarele de rujeolă de către medicii de</w:t>
      </w:r>
      <w:r>
        <w:rPr>
          <w:spacing w:val="-2"/>
          <w:sz w:val="24"/>
        </w:rPr>
        <w:t> </w:t>
      </w:r>
      <w:r>
        <w:rPr>
          <w:sz w:val="24"/>
        </w:rPr>
        <w:t>familie.</w:t>
      </w:r>
    </w:p>
    <w:p>
      <w:pPr>
        <w:pStyle w:val="ListParagraph"/>
        <w:numPr>
          <w:ilvl w:val="0"/>
          <w:numId w:val="27"/>
        </w:numPr>
        <w:tabs>
          <w:tab w:pos="861" w:val="left" w:leader="none"/>
        </w:tabs>
        <w:spacing w:line="291" w:lineRule="exact" w:before="0" w:after="0"/>
        <w:ind w:left="861" w:right="0" w:hanging="181"/>
        <w:jc w:val="both"/>
        <w:rPr>
          <w:sz w:val="24"/>
        </w:rPr>
      </w:pPr>
      <w:r>
        <w:rPr>
          <w:sz w:val="24"/>
        </w:rPr>
        <w:t>Ac</w:t>
      </w:r>
      <w:r>
        <w:rPr>
          <w:rFonts w:ascii="Tahoma" w:hAnsi="Tahoma"/>
          <w:sz w:val="24"/>
        </w:rPr>
        <w:t>ț</w:t>
      </w:r>
      <w:r>
        <w:rPr>
          <w:sz w:val="24"/>
        </w:rPr>
        <w:t>iune de recontrol în unită</w:t>
      </w:r>
      <w:r>
        <w:rPr>
          <w:rFonts w:ascii="Tahoma" w:hAnsi="Tahoma"/>
          <w:sz w:val="24"/>
        </w:rPr>
        <w:t>ț</w:t>
      </w:r>
      <w:r>
        <w:rPr>
          <w:sz w:val="24"/>
        </w:rPr>
        <w:t>ile sanitare cu</w:t>
      </w:r>
      <w:r>
        <w:rPr>
          <w:spacing w:val="-3"/>
          <w:sz w:val="24"/>
        </w:rPr>
        <w:t> </w:t>
      </w:r>
      <w:r>
        <w:rPr>
          <w:sz w:val="24"/>
        </w:rPr>
        <w:t>paturi.</w:t>
      </w:r>
    </w:p>
    <w:p>
      <w:pPr>
        <w:pStyle w:val="ListParagraph"/>
        <w:numPr>
          <w:ilvl w:val="0"/>
          <w:numId w:val="27"/>
        </w:numPr>
        <w:tabs>
          <w:tab w:pos="1130" w:val="left" w:leader="none"/>
        </w:tabs>
        <w:spacing w:line="240" w:lineRule="auto" w:before="0" w:after="0"/>
        <w:ind w:left="680" w:right="1136" w:firstLine="0"/>
        <w:jc w:val="both"/>
        <w:rPr>
          <w:sz w:val="24"/>
        </w:rPr>
      </w:pPr>
      <w:r>
        <w:rPr>
          <w:sz w:val="24"/>
        </w:rPr>
        <w:t>Ac</w:t>
      </w:r>
      <w:r>
        <w:rPr>
          <w:rFonts w:ascii="Tahoma" w:hAnsi="Tahoma"/>
          <w:sz w:val="24"/>
        </w:rPr>
        <w:t>ț</w:t>
      </w:r>
      <w:r>
        <w:rPr>
          <w:sz w:val="24"/>
        </w:rPr>
        <w:t>iune privind verificarea respectării prevederilor legale în zone/centre/unită</w:t>
      </w:r>
      <w:r>
        <w:rPr>
          <w:rFonts w:ascii="Tahoma" w:hAnsi="Tahoma"/>
          <w:sz w:val="24"/>
        </w:rPr>
        <w:t>ț</w:t>
      </w:r>
      <w:r>
        <w:rPr>
          <w:sz w:val="24"/>
        </w:rPr>
        <w:t>i unde se efectuează proceduri de îngrijire </w:t>
      </w:r>
      <w:r>
        <w:rPr>
          <w:rFonts w:ascii="Tahoma" w:hAnsi="Tahoma"/>
          <w:sz w:val="24"/>
        </w:rPr>
        <w:t>ș</w:t>
      </w:r>
      <w:r>
        <w:rPr>
          <w:sz w:val="24"/>
        </w:rPr>
        <w:t>i înfrumuse</w:t>
      </w:r>
      <w:r>
        <w:rPr>
          <w:rFonts w:ascii="Tahoma" w:hAnsi="Tahoma"/>
          <w:sz w:val="24"/>
        </w:rPr>
        <w:t>ț</w:t>
      </w:r>
      <w:r>
        <w:rPr>
          <w:sz w:val="24"/>
        </w:rPr>
        <w:t>are a unghiilor de la mâini din centre comerciale tip Mall.</w:t>
      </w:r>
    </w:p>
    <w:p>
      <w:pPr>
        <w:spacing w:after="0" w:line="240" w:lineRule="auto"/>
        <w:jc w:val="both"/>
        <w:rPr>
          <w:sz w:val="24"/>
        </w:rPr>
        <w:sectPr>
          <w:pgSz w:w="11910" w:h="16840"/>
          <w:pgMar w:header="0" w:footer="658" w:top="1360" w:bottom="920" w:left="400" w:right="0"/>
        </w:sectPr>
      </w:pPr>
    </w:p>
    <w:p>
      <w:pPr>
        <w:pStyle w:val="ListParagraph"/>
        <w:numPr>
          <w:ilvl w:val="0"/>
          <w:numId w:val="27"/>
        </w:numPr>
        <w:tabs>
          <w:tab w:pos="981" w:val="left" w:leader="none"/>
        </w:tabs>
        <w:spacing w:line="240" w:lineRule="auto" w:before="81" w:after="0"/>
        <w:ind w:left="680" w:right="1138" w:firstLine="0"/>
        <w:jc w:val="both"/>
        <w:rPr>
          <w:sz w:val="24"/>
        </w:rPr>
      </w:pPr>
      <w:r>
        <w:rPr>
          <w:sz w:val="24"/>
        </w:rPr>
        <w:t>Ac</w:t>
      </w:r>
      <w:r>
        <w:rPr>
          <w:rFonts w:ascii="Tahoma" w:hAnsi="Tahoma"/>
          <w:sz w:val="24"/>
        </w:rPr>
        <w:t>ț</w:t>
      </w:r>
      <w:r>
        <w:rPr>
          <w:sz w:val="24"/>
        </w:rPr>
        <w:t>iune de control în unită</w:t>
      </w:r>
      <w:r>
        <w:rPr>
          <w:rFonts w:ascii="Tahoma" w:hAnsi="Tahoma"/>
          <w:sz w:val="24"/>
        </w:rPr>
        <w:t>ț</w:t>
      </w:r>
      <w:r>
        <w:rPr>
          <w:sz w:val="24"/>
        </w:rPr>
        <w:t>ile de învătământ în incinta cărora se comercializează produse alimentare </w:t>
      </w:r>
      <w:r>
        <w:rPr>
          <w:rFonts w:ascii="Tahoma" w:hAnsi="Tahoma"/>
          <w:sz w:val="24"/>
        </w:rPr>
        <w:t>ș</w:t>
      </w:r>
      <w:r>
        <w:rPr>
          <w:sz w:val="24"/>
        </w:rPr>
        <w:t>i băuturi răcoritoare inclusiv prin aparate automate, de verificare a respectării Legii 123/2008 </w:t>
      </w:r>
      <w:r>
        <w:rPr>
          <w:rFonts w:ascii="Tahoma" w:hAnsi="Tahoma"/>
          <w:sz w:val="24"/>
        </w:rPr>
        <w:t>ș</w:t>
      </w:r>
      <w:r>
        <w:rPr>
          <w:sz w:val="24"/>
        </w:rPr>
        <w:t>i Ord MS</w:t>
      </w:r>
      <w:r>
        <w:rPr>
          <w:spacing w:val="-2"/>
          <w:sz w:val="24"/>
        </w:rPr>
        <w:t> </w:t>
      </w:r>
      <w:r>
        <w:rPr>
          <w:sz w:val="24"/>
        </w:rPr>
        <w:t>1563/2008.</w:t>
      </w:r>
    </w:p>
    <w:p>
      <w:pPr>
        <w:pStyle w:val="ListParagraph"/>
        <w:numPr>
          <w:ilvl w:val="0"/>
          <w:numId w:val="27"/>
        </w:numPr>
        <w:tabs>
          <w:tab w:pos="981" w:val="left" w:leader="none"/>
        </w:tabs>
        <w:spacing w:line="240" w:lineRule="auto" w:before="0" w:after="0"/>
        <w:ind w:left="680" w:right="1141" w:firstLine="0"/>
        <w:jc w:val="both"/>
        <w:rPr>
          <w:sz w:val="24"/>
        </w:rPr>
      </w:pPr>
      <w:r>
        <w:rPr>
          <w:sz w:val="24"/>
        </w:rPr>
        <w:t>Control efectuat împreună cu reprezentanţi ai Institutul Naţional de Sănătate Publică. Au fost verificate condiţiilor igienico-sanitare şi modul de supraveghere şi control al infecţiilor asociate asistenţei medicale la secţia AŢI din cadrul unei unităţi sanitare cu</w:t>
      </w:r>
      <w:r>
        <w:rPr>
          <w:spacing w:val="-11"/>
          <w:sz w:val="24"/>
        </w:rPr>
        <w:t> </w:t>
      </w:r>
      <w:r>
        <w:rPr>
          <w:sz w:val="24"/>
        </w:rPr>
        <w:t>paturi.</w:t>
      </w:r>
    </w:p>
    <w:p>
      <w:pPr>
        <w:pStyle w:val="ListParagraph"/>
        <w:numPr>
          <w:ilvl w:val="0"/>
          <w:numId w:val="27"/>
        </w:numPr>
        <w:tabs>
          <w:tab w:pos="981" w:val="left" w:leader="none"/>
        </w:tabs>
        <w:spacing w:line="240" w:lineRule="auto" w:before="0" w:after="0"/>
        <w:ind w:left="981" w:right="0" w:hanging="301"/>
        <w:jc w:val="both"/>
        <w:rPr>
          <w:sz w:val="24"/>
        </w:rPr>
      </w:pPr>
      <w:r>
        <w:rPr>
          <w:sz w:val="24"/>
        </w:rPr>
        <w:t>Verificari în echipă comună, a unor unităţi sanitare, împreună cu reprezentanţii D.S.U.-</w:t>
      </w:r>
      <w:r>
        <w:rPr>
          <w:spacing w:val="-10"/>
          <w:sz w:val="24"/>
        </w:rPr>
        <w:t> </w:t>
      </w:r>
      <w:r>
        <w:rPr>
          <w:sz w:val="24"/>
        </w:rPr>
        <w:t>M.A.I.</w:t>
      </w:r>
    </w:p>
    <w:p>
      <w:pPr>
        <w:pStyle w:val="Heading1"/>
        <w:ind w:left="680"/>
        <w:jc w:val="both"/>
        <w:rPr>
          <w:u w:val="none"/>
        </w:rPr>
      </w:pPr>
      <w:r>
        <w:rPr>
          <w:u w:val="none"/>
        </w:rPr>
        <w:t>Alte activitati de inspecţie neplanificată</w:t>
      </w:r>
    </w:p>
    <w:p>
      <w:pPr>
        <w:pStyle w:val="ListParagraph"/>
        <w:numPr>
          <w:ilvl w:val="0"/>
          <w:numId w:val="28"/>
        </w:numPr>
        <w:tabs>
          <w:tab w:pos="863" w:val="left" w:leader="none"/>
        </w:tabs>
        <w:spacing w:line="240" w:lineRule="auto" w:before="0" w:after="0"/>
        <w:ind w:left="680" w:right="1142" w:firstLine="0"/>
        <w:jc w:val="both"/>
        <w:rPr>
          <w:sz w:val="24"/>
        </w:rPr>
      </w:pPr>
      <w:r>
        <w:rPr>
          <w:spacing w:val="-3"/>
          <w:sz w:val="24"/>
        </w:rPr>
        <w:t>La </w:t>
      </w:r>
      <w:r>
        <w:rPr>
          <w:sz w:val="24"/>
        </w:rPr>
        <w:t>solicitarea Instituţiei Prefectului Municipiului Bucureşti, referitor la derularea Programului Operaţional Ajutorarea Persoanelor Defavorizate POAD, au fost efectuate verificări în punctele de distribuţie produse alimentare (</w:t>
      </w:r>
      <w:r>
        <w:rPr>
          <w:spacing w:val="-4"/>
          <w:sz w:val="24"/>
        </w:rPr>
        <w:t> </w:t>
      </w:r>
      <w:r>
        <w:rPr>
          <w:sz w:val="24"/>
        </w:rPr>
        <w:t>DGASPC).</w:t>
      </w:r>
    </w:p>
    <w:p>
      <w:pPr>
        <w:pStyle w:val="ListParagraph"/>
        <w:numPr>
          <w:ilvl w:val="0"/>
          <w:numId w:val="28"/>
        </w:numPr>
        <w:tabs>
          <w:tab w:pos="861" w:val="left" w:leader="none"/>
        </w:tabs>
        <w:spacing w:line="240" w:lineRule="auto" w:before="0" w:after="0"/>
        <w:ind w:left="680" w:right="1142" w:firstLine="0"/>
        <w:jc w:val="both"/>
        <w:rPr>
          <w:sz w:val="24"/>
        </w:rPr>
      </w:pPr>
      <w:r>
        <w:rPr>
          <w:sz w:val="24"/>
        </w:rPr>
        <w:t>Acţiuni de verificare în echipă comună cu reprezentanţii Compartimentului Supraveghere Epidemiologică şi Control Boli Transmisibile a unor cabinete de medicină de</w:t>
      </w:r>
      <w:r>
        <w:rPr>
          <w:spacing w:val="-12"/>
          <w:sz w:val="24"/>
        </w:rPr>
        <w:t> </w:t>
      </w:r>
      <w:r>
        <w:rPr>
          <w:sz w:val="24"/>
        </w:rPr>
        <w:t>familie.</w:t>
      </w:r>
    </w:p>
    <w:p>
      <w:pPr>
        <w:pStyle w:val="ListParagraph"/>
        <w:numPr>
          <w:ilvl w:val="0"/>
          <w:numId w:val="28"/>
        </w:numPr>
        <w:tabs>
          <w:tab w:pos="861" w:val="left" w:leader="none"/>
        </w:tabs>
        <w:spacing w:line="240" w:lineRule="auto" w:before="1" w:after="0"/>
        <w:ind w:left="680" w:right="1135" w:firstLine="0"/>
        <w:jc w:val="both"/>
        <w:rPr>
          <w:sz w:val="24"/>
        </w:rPr>
      </w:pPr>
      <w:r>
        <w:rPr>
          <w:sz w:val="24"/>
        </w:rPr>
        <w:t>Acţiune de verificare a condiţiilor igienico-sanitare din unităţi medico-sociale (cămine de bătrâni). 4.Ac</w:t>
      </w:r>
      <w:r>
        <w:rPr>
          <w:rFonts w:ascii="Tahoma" w:hAnsi="Tahoma"/>
          <w:sz w:val="24"/>
        </w:rPr>
        <w:t>ț</w:t>
      </w:r>
      <w:r>
        <w:rPr>
          <w:sz w:val="24"/>
        </w:rPr>
        <w:t>iune de monitorizare a condi</w:t>
      </w:r>
      <w:r>
        <w:rPr>
          <w:rFonts w:ascii="Tahoma" w:hAnsi="Tahoma"/>
          <w:sz w:val="24"/>
        </w:rPr>
        <w:t>ț</w:t>
      </w:r>
      <w:r>
        <w:rPr>
          <w:sz w:val="24"/>
        </w:rPr>
        <w:t>iilor igienico-sanitare în unită</w:t>
      </w:r>
      <w:r>
        <w:rPr>
          <w:rFonts w:ascii="Tahoma" w:hAnsi="Tahoma"/>
          <w:sz w:val="24"/>
        </w:rPr>
        <w:t>ț</w:t>
      </w:r>
      <w:r>
        <w:rPr>
          <w:sz w:val="24"/>
        </w:rPr>
        <w:t>ile de cazare de pe raza Municipiului Bucure</w:t>
      </w:r>
      <w:r>
        <w:rPr>
          <w:rFonts w:ascii="Tahoma" w:hAnsi="Tahoma"/>
          <w:sz w:val="24"/>
        </w:rPr>
        <w:t>ș</w:t>
      </w:r>
      <w:r>
        <w:rPr>
          <w:sz w:val="24"/>
        </w:rPr>
        <w:t>ti cu ocazia desfă</w:t>
      </w:r>
      <w:r>
        <w:rPr>
          <w:rFonts w:ascii="Tahoma" w:hAnsi="Tahoma"/>
          <w:sz w:val="24"/>
        </w:rPr>
        <w:t>ș</w:t>
      </w:r>
      <w:r>
        <w:rPr>
          <w:sz w:val="24"/>
        </w:rPr>
        <w:t>urării Adunarii Parlamentare</w:t>
      </w:r>
      <w:r>
        <w:rPr>
          <w:spacing w:val="-4"/>
          <w:sz w:val="24"/>
        </w:rPr>
        <w:t> </w:t>
      </w:r>
      <w:r>
        <w:rPr>
          <w:sz w:val="24"/>
        </w:rPr>
        <w:t>NATO.</w:t>
      </w:r>
    </w:p>
    <w:p>
      <w:pPr>
        <w:pStyle w:val="Heading1"/>
        <w:spacing w:line="275" w:lineRule="exact"/>
        <w:ind w:left="680"/>
        <w:jc w:val="both"/>
        <w:rPr>
          <w:u w:val="none"/>
        </w:rPr>
      </w:pPr>
      <w:r>
        <w:rPr>
          <w:u w:val="none"/>
        </w:rPr>
        <w:t>Acţiuni comune cu alte instituţii</w:t>
      </w:r>
    </w:p>
    <w:p>
      <w:pPr>
        <w:pStyle w:val="BodyText"/>
        <w:ind w:right="1145"/>
        <w:jc w:val="both"/>
      </w:pPr>
      <w:r>
        <w:rPr/>
        <w:t>Au fost organizate acţiuni comune cu alte organisme de control la solicitarea Instituţiei Prefectului Municipiului Bucureşti sau la solicitarea altor instituţii, </w:t>
      </w:r>
      <w:r>
        <w:rPr>
          <w:rFonts w:ascii="Tahoma" w:hAnsi="Tahoma"/>
        </w:rPr>
        <w:t>ș</w:t>
      </w:r>
      <w:r>
        <w:rPr/>
        <w:t>i anume:</w:t>
      </w:r>
    </w:p>
    <w:p>
      <w:pPr>
        <w:pStyle w:val="ListParagraph"/>
        <w:numPr>
          <w:ilvl w:val="0"/>
          <w:numId w:val="29"/>
        </w:numPr>
        <w:tabs>
          <w:tab w:pos="861" w:val="left" w:leader="none"/>
        </w:tabs>
        <w:spacing w:line="240" w:lineRule="auto" w:before="1" w:after="0"/>
        <w:ind w:left="680" w:right="1135" w:firstLine="0"/>
        <w:jc w:val="both"/>
        <w:rPr>
          <w:sz w:val="24"/>
        </w:rPr>
      </w:pPr>
      <w:r>
        <w:rPr>
          <w:sz w:val="24"/>
        </w:rPr>
        <w:t>Ac</w:t>
      </w:r>
      <w:r>
        <w:rPr>
          <w:rFonts w:ascii="Tahoma" w:hAnsi="Tahoma"/>
          <w:sz w:val="24"/>
        </w:rPr>
        <w:t>ț</w:t>
      </w:r>
      <w:r>
        <w:rPr>
          <w:sz w:val="24"/>
        </w:rPr>
        <w:t>iune de verificare a respectării legisla</w:t>
      </w:r>
      <w:r>
        <w:rPr>
          <w:rFonts w:ascii="Tahoma" w:hAnsi="Tahoma"/>
          <w:sz w:val="24"/>
        </w:rPr>
        <w:t>ț</w:t>
      </w:r>
      <w:r>
        <w:rPr>
          <w:sz w:val="24"/>
        </w:rPr>
        <w:t>iei în vigoare de către agen</w:t>
      </w:r>
      <w:r>
        <w:rPr>
          <w:rFonts w:ascii="Tahoma" w:hAnsi="Tahoma"/>
          <w:sz w:val="24"/>
        </w:rPr>
        <w:t>ț</w:t>
      </w:r>
      <w:r>
        <w:rPr>
          <w:sz w:val="24"/>
        </w:rPr>
        <w:t>ii economici în Pia</w:t>
      </w:r>
      <w:r>
        <w:rPr>
          <w:rFonts w:ascii="Tahoma" w:hAnsi="Tahoma"/>
          <w:sz w:val="24"/>
        </w:rPr>
        <w:t>ț</w:t>
      </w:r>
      <w:r>
        <w:rPr>
          <w:sz w:val="24"/>
        </w:rPr>
        <w:t>a Obor împreună cu Direcţia Generală de Poliţie a Municipiul</w:t>
      </w:r>
      <w:r>
        <w:rPr>
          <w:spacing w:val="-8"/>
          <w:sz w:val="24"/>
        </w:rPr>
        <w:t> </w:t>
      </w:r>
      <w:r>
        <w:rPr>
          <w:sz w:val="24"/>
        </w:rPr>
        <w:t>Bucureşti.</w:t>
      </w:r>
    </w:p>
    <w:p>
      <w:pPr>
        <w:pStyle w:val="ListParagraph"/>
        <w:numPr>
          <w:ilvl w:val="0"/>
          <w:numId w:val="29"/>
        </w:numPr>
        <w:tabs>
          <w:tab w:pos="861" w:val="left" w:leader="none"/>
        </w:tabs>
        <w:spacing w:line="240" w:lineRule="auto" w:before="0" w:after="0"/>
        <w:ind w:left="680" w:right="1136" w:firstLine="0"/>
        <w:jc w:val="both"/>
        <w:rPr>
          <w:sz w:val="24"/>
        </w:rPr>
      </w:pPr>
      <w:r>
        <w:rPr>
          <w:sz w:val="24"/>
        </w:rPr>
        <w:t>Acţiunea comună de monitorizare a calităţii aerului coordonată de către Autoritatea de Protecţie a Mediului Bucureşti - a vizat monitorizarea calităţii aerului din Comuna Chiajna ca urmare a numeroaselor sesizări formulate de cetăţeni privind disconfortul olfactiv resimţit în partea de NV a Municipiului Bucureşti (Bucureştii Noi, Militari, Pajura) şi din judeţul Ilfov (comunele Chiajna, Chitila,</w:t>
      </w:r>
      <w:r>
        <w:rPr>
          <w:spacing w:val="-1"/>
          <w:sz w:val="24"/>
        </w:rPr>
        <w:t> </w:t>
      </w:r>
      <w:r>
        <w:rPr>
          <w:sz w:val="24"/>
        </w:rPr>
        <w:t>Rudeni).</w:t>
      </w:r>
    </w:p>
    <w:p>
      <w:pPr>
        <w:pStyle w:val="ListParagraph"/>
        <w:numPr>
          <w:ilvl w:val="0"/>
          <w:numId w:val="29"/>
        </w:numPr>
        <w:tabs>
          <w:tab w:pos="861" w:val="left" w:leader="none"/>
        </w:tabs>
        <w:spacing w:line="240" w:lineRule="auto" w:before="0" w:after="0"/>
        <w:ind w:left="680" w:right="1139" w:firstLine="0"/>
        <w:jc w:val="both"/>
        <w:rPr>
          <w:sz w:val="24"/>
        </w:rPr>
      </w:pPr>
      <w:r>
        <w:rPr>
          <w:sz w:val="24"/>
        </w:rPr>
        <w:t>Acţiuni comune cu reprezentanţii Poli</w:t>
      </w:r>
      <w:r>
        <w:rPr>
          <w:rFonts w:ascii="Tahoma" w:hAnsi="Tahoma"/>
          <w:sz w:val="24"/>
        </w:rPr>
        <w:t>ț</w:t>
      </w:r>
      <w:r>
        <w:rPr>
          <w:sz w:val="24"/>
        </w:rPr>
        <w:t>iilor Locale de sector, pentru verificarea sesizărilor cetăţenilor.</w:t>
      </w:r>
    </w:p>
    <w:p>
      <w:pPr>
        <w:pStyle w:val="Heading1"/>
        <w:ind w:left="680"/>
        <w:jc w:val="both"/>
        <w:rPr>
          <w:u w:val="none"/>
        </w:rPr>
      </w:pPr>
      <w:r>
        <w:rPr>
          <w:u w:val="none"/>
        </w:rPr>
        <w:t>Acţiuni de necesitate</w:t>
      </w:r>
    </w:p>
    <w:p>
      <w:pPr>
        <w:pStyle w:val="ListParagraph"/>
        <w:numPr>
          <w:ilvl w:val="0"/>
          <w:numId w:val="30"/>
        </w:numPr>
        <w:tabs>
          <w:tab w:pos="861" w:val="left" w:leader="none"/>
        </w:tabs>
        <w:spacing w:line="240" w:lineRule="auto" w:before="0" w:after="0"/>
        <w:ind w:left="680" w:right="1145" w:firstLine="0"/>
        <w:jc w:val="both"/>
        <w:rPr>
          <w:sz w:val="24"/>
        </w:rPr>
      </w:pPr>
      <w:r>
        <w:rPr>
          <w:sz w:val="24"/>
        </w:rPr>
        <w:t>Acţiune de prevenire şi combatere a efectelor caniculei asupra sănătăţii populaţiei în perioadele în care a fost declarat cod</w:t>
      </w:r>
      <w:r>
        <w:rPr>
          <w:spacing w:val="-2"/>
          <w:sz w:val="24"/>
        </w:rPr>
        <w:t> </w:t>
      </w:r>
      <w:r>
        <w:rPr>
          <w:sz w:val="24"/>
        </w:rPr>
        <w:t>portocaliu.</w:t>
      </w:r>
    </w:p>
    <w:p>
      <w:pPr>
        <w:pStyle w:val="ListParagraph"/>
        <w:numPr>
          <w:ilvl w:val="0"/>
          <w:numId w:val="30"/>
        </w:numPr>
        <w:tabs>
          <w:tab w:pos="861" w:val="left" w:leader="none"/>
        </w:tabs>
        <w:spacing w:line="240" w:lineRule="auto" w:before="0" w:after="0"/>
        <w:ind w:left="861" w:right="0" w:hanging="181"/>
        <w:jc w:val="both"/>
        <w:rPr>
          <w:sz w:val="24"/>
        </w:rPr>
      </w:pPr>
      <w:r>
        <w:rPr>
          <w:sz w:val="24"/>
        </w:rPr>
        <w:t>Verificări urmare notificării cazurilor de Sindrom Hemolitic</w:t>
      </w:r>
      <w:r>
        <w:rPr>
          <w:spacing w:val="-5"/>
          <w:sz w:val="24"/>
        </w:rPr>
        <w:t> </w:t>
      </w:r>
      <w:r>
        <w:rPr>
          <w:sz w:val="24"/>
        </w:rPr>
        <w:t>Uremic.</w:t>
      </w:r>
    </w:p>
    <w:p>
      <w:pPr>
        <w:pStyle w:val="ListParagraph"/>
        <w:numPr>
          <w:ilvl w:val="0"/>
          <w:numId w:val="30"/>
        </w:numPr>
        <w:tabs>
          <w:tab w:pos="861" w:val="left" w:leader="none"/>
        </w:tabs>
        <w:spacing w:line="240" w:lineRule="auto" w:before="0" w:after="0"/>
        <w:ind w:left="680" w:right="1140" w:firstLine="0"/>
        <w:jc w:val="both"/>
        <w:rPr>
          <w:sz w:val="24"/>
        </w:rPr>
      </w:pPr>
      <w:r>
        <w:rPr>
          <w:sz w:val="24"/>
        </w:rPr>
        <w:t>Ac</w:t>
      </w:r>
      <w:r>
        <w:rPr>
          <w:rFonts w:ascii="Tahoma" w:hAnsi="Tahoma"/>
          <w:sz w:val="24"/>
        </w:rPr>
        <w:t>ț</w:t>
      </w:r>
      <w:r>
        <w:rPr>
          <w:sz w:val="24"/>
        </w:rPr>
        <w:t>iuni de control în echipă comună cu reprezentan</w:t>
      </w:r>
      <w:r>
        <w:rPr>
          <w:rFonts w:ascii="Tahoma" w:hAnsi="Tahoma"/>
          <w:sz w:val="24"/>
        </w:rPr>
        <w:t>ț</w:t>
      </w:r>
      <w:r>
        <w:rPr>
          <w:sz w:val="24"/>
        </w:rPr>
        <w:t>ii CEFRMVM pentru verificarea respectării legisla</w:t>
      </w:r>
      <w:r>
        <w:rPr>
          <w:rFonts w:ascii="Tahoma" w:hAnsi="Tahoma"/>
          <w:sz w:val="24"/>
        </w:rPr>
        <w:t>ț</w:t>
      </w:r>
      <w:r>
        <w:rPr>
          <w:sz w:val="24"/>
        </w:rPr>
        <w:t>iei în vigoare în suspicinile de</w:t>
      </w:r>
      <w:r>
        <w:rPr>
          <w:spacing w:val="-5"/>
          <w:sz w:val="24"/>
        </w:rPr>
        <w:t> </w:t>
      </w:r>
      <w:r>
        <w:rPr>
          <w:sz w:val="24"/>
        </w:rPr>
        <w:t>TIA.</w:t>
      </w:r>
    </w:p>
    <w:p>
      <w:pPr>
        <w:pStyle w:val="BodyText"/>
        <w:spacing w:before="1"/>
        <w:ind w:left="0"/>
      </w:pPr>
    </w:p>
    <w:p>
      <w:pPr>
        <w:pStyle w:val="Heading1"/>
        <w:ind w:left="680"/>
        <w:jc w:val="both"/>
        <w:rPr>
          <w:u w:val="none"/>
        </w:rPr>
      </w:pPr>
      <w:r>
        <w:rPr>
          <w:u w:val="none"/>
        </w:rPr>
        <w:t>BIROUL</w:t>
      </w:r>
      <w:r>
        <w:rPr>
          <w:spacing w:val="59"/>
          <w:u w:val="none"/>
        </w:rPr>
        <w:t> </w:t>
      </w:r>
      <w:r>
        <w:rPr>
          <w:u w:val="none"/>
        </w:rPr>
        <w:t>R.U.N.O.S</w:t>
      </w:r>
    </w:p>
    <w:p>
      <w:pPr>
        <w:pStyle w:val="BodyText"/>
      </w:pPr>
      <w:r>
        <w:rPr>
          <w:u w:val="single"/>
        </w:rPr>
        <w:t>Activitati:</w:t>
      </w:r>
    </w:p>
    <w:p>
      <w:pPr>
        <w:pStyle w:val="BodyText"/>
        <w:ind w:right="1140" w:firstLine="60"/>
        <w:jc w:val="both"/>
      </w:pPr>
      <w:r>
        <w:rPr/>
        <w:t>- fost întocmită documentaţia către Ministerul Sănătăţii şi Agenţia Naţională a Funcţionarilor Publici referitoare la modificarea ştatului de funcţii al Direcţiei de Sănătate Publică Bucureşti şi înaintat spre</w:t>
      </w:r>
      <w:r>
        <w:rPr>
          <w:spacing w:val="-3"/>
        </w:rPr>
        <w:t> </w:t>
      </w:r>
      <w:r>
        <w:rPr/>
        <w:t>aprobare.</w:t>
      </w:r>
    </w:p>
    <w:p>
      <w:pPr>
        <w:pStyle w:val="ListParagraph"/>
        <w:numPr>
          <w:ilvl w:val="0"/>
          <w:numId w:val="26"/>
        </w:numPr>
        <w:tabs>
          <w:tab w:pos="820" w:val="left" w:leader="none"/>
        </w:tabs>
        <w:spacing w:line="274" w:lineRule="exact" w:before="0" w:after="0"/>
        <w:ind w:left="819" w:right="0" w:hanging="140"/>
        <w:jc w:val="left"/>
        <w:rPr>
          <w:sz w:val="24"/>
        </w:rPr>
      </w:pPr>
      <w:r>
        <w:rPr>
          <w:sz w:val="24"/>
        </w:rPr>
        <w:t>a fost întocmit Planul anual de ocupare a funcţiilor publice pentru anul</w:t>
      </w:r>
      <w:r>
        <w:rPr>
          <w:spacing w:val="-4"/>
          <w:sz w:val="24"/>
        </w:rPr>
        <w:t> </w:t>
      </w:r>
      <w:r>
        <w:rPr>
          <w:sz w:val="24"/>
        </w:rPr>
        <w:t>2018.</w:t>
      </w:r>
    </w:p>
    <w:p>
      <w:pPr>
        <w:pStyle w:val="ListParagraph"/>
        <w:numPr>
          <w:ilvl w:val="0"/>
          <w:numId w:val="26"/>
        </w:numPr>
        <w:tabs>
          <w:tab w:pos="820" w:val="left" w:leader="none"/>
        </w:tabs>
        <w:spacing w:line="240" w:lineRule="auto" w:before="0" w:after="0"/>
        <w:ind w:left="819" w:right="0" w:hanging="140"/>
        <w:jc w:val="left"/>
        <w:rPr>
          <w:sz w:val="24"/>
        </w:rPr>
      </w:pPr>
      <w:r>
        <w:rPr>
          <w:sz w:val="24"/>
        </w:rPr>
        <w:t>a fost elaborat proiectul de buget pentru cheltuielile de personal pentru aparatul</w:t>
      </w:r>
      <w:r>
        <w:rPr>
          <w:spacing w:val="-7"/>
          <w:sz w:val="24"/>
        </w:rPr>
        <w:t> </w:t>
      </w:r>
      <w:r>
        <w:rPr>
          <w:sz w:val="24"/>
        </w:rPr>
        <w:t>propriu.</w:t>
      </w:r>
    </w:p>
    <w:p>
      <w:pPr>
        <w:pStyle w:val="ListParagraph"/>
        <w:numPr>
          <w:ilvl w:val="0"/>
          <w:numId w:val="26"/>
        </w:numPr>
        <w:tabs>
          <w:tab w:pos="835" w:val="left" w:leader="none"/>
        </w:tabs>
        <w:spacing w:line="240" w:lineRule="auto" w:before="0" w:after="0"/>
        <w:ind w:left="680" w:right="1133" w:firstLine="0"/>
        <w:jc w:val="left"/>
        <w:rPr>
          <w:sz w:val="24"/>
        </w:rPr>
      </w:pPr>
      <w:r>
        <w:rPr>
          <w:sz w:val="24"/>
        </w:rPr>
        <w:t>au fost actualizate permanent pe Portalul Agenţiei Naţionale a Funcţionarilor Publici modificările intervenite în cariera funcţionarilor</w:t>
      </w:r>
      <w:r>
        <w:rPr>
          <w:spacing w:val="-2"/>
          <w:sz w:val="24"/>
        </w:rPr>
        <w:t> </w:t>
      </w:r>
      <w:r>
        <w:rPr>
          <w:sz w:val="24"/>
        </w:rPr>
        <w:t>publici.</w:t>
      </w:r>
    </w:p>
    <w:p>
      <w:pPr>
        <w:pStyle w:val="ListParagraph"/>
        <w:numPr>
          <w:ilvl w:val="0"/>
          <w:numId w:val="26"/>
        </w:numPr>
        <w:tabs>
          <w:tab w:pos="861" w:val="left" w:leader="none"/>
        </w:tabs>
        <w:spacing w:line="240" w:lineRule="auto" w:before="0" w:after="0"/>
        <w:ind w:left="680" w:right="1140" w:firstLine="0"/>
        <w:jc w:val="left"/>
        <w:rPr>
          <w:sz w:val="24"/>
        </w:rPr>
      </w:pPr>
      <w:r>
        <w:rPr>
          <w:sz w:val="24"/>
        </w:rPr>
        <w:t>s-a gestionat procesul de evaluare a performanţelor profesionale individuale a personalului din aparatul</w:t>
      </w:r>
      <w:r>
        <w:rPr>
          <w:spacing w:val="-1"/>
          <w:sz w:val="24"/>
        </w:rPr>
        <w:t> </w:t>
      </w:r>
      <w:r>
        <w:rPr>
          <w:sz w:val="24"/>
        </w:rPr>
        <w:t>propriu.</w:t>
      </w:r>
    </w:p>
    <w:p>
      <w:pPr>
        <w:pStyle w:val="ListParagraph"/>
        <w:numPr>
          <w:ilvl w:val="0"/>
          <w:numId w:val="26"/>
        </w:numPr>
        <w:tabs>
          <w:tab w:pos="827" w:val="left" w:leader="none"/>
        </w:tabs>
        <w:spacing w:line="240" w:lineRule="auto" w:before="0" w:after="0"/>
        <w:ind w:left="680" w:right="1139" w:firstLine="0"/>
        <w:jc w:val="left"/>
        <w:rPr>
          <w:sz w:val="24"/>
        </w:rPr>
      </w:pPr>
      <w:r>
        <w:rPr>
          <w:sz w:val="24"/>
        </w:rPr>
        <w:t>s-a asigurat suportul logistic pentru completarea şi depunerea în termenele legale a declaraţiilor de avere şi interese pentru personalul din aparatul propriu; s-a procedat la verificarea acestora</w:t>
      </w:r>
      <w:r>
        <w:rPr>
          <w:spacing w:val="24"/>
          <w:sz w:val="24"/>
        </w:rPr>
        <w:t> </w:t>
      </w:r>
      <w:r>
        <w:rPr>
          <w:sz w:val="24"/>
        </w:rPr>
        <w:t>şi</w:t>
      </w:r>
    </w:p>
    <w:p>
      <w:pPr>
        <w:spacing w:after="0" w:line="240" w:lineRule="auto"/>
        <w:jc w:val="left"/>
        <w:rPr>
          <w:sz w:val="24"/>
        </w:rPr>
        <w:sectPr>
          <w:pgSz w:w="11910" w:h="16840"/>
          <w:pgMar w:header="0" w:footer="658" w:top="1340" w:bottom="920" w:left="400" w:right="0"/>
        </w:sectPr>
      </w:pPr>
    </w:p>
    <w:p>
      <w:pPr>
        <w:pStyle w:val="BodyText"/>
        <w:spacing w:before="60"/>
        <w:ind w:right="1293"/>
      </w:pPr>
      <w:r>
        <w:rPr/>
        <w:t>transmiterea la Agenţia Naţională de Integritate precum şi spre publicare pe site-ul instituţiei. Au fost arhivate la dosarele de personal 194 declaraţii de avere si</w:t>
      </w:r>
      <w:r>
        <w:rPr>
          <w:spacing w:val="-6"/>
        </w:rPr>
        <w:t> </w:t>
      </w:r>
      <w:r>
        <w:rPr/>
        <w:t>interese.</w:t>
      </w:r>
    </w:p>
    <w:p>
      <w:pPr>
        <w:pStyle w:val="ListParagraph"/>
        <w:numPr>
          <w:ilvl w:val="0"/>
          <w:numId w:val="26"/>
        </w:numPr>
        <w:tabs>
          <w:tab w:pos="820" w:val="left" w:leader="none"/>
        </w:tabs>
        <w:spacing w:line="240" w:lineRule="auto" w:before="1" w:after="0"/>
        <w:ind w:left="819" w:right="0" w:hanging="140"/>
        <w:jc w:val="left"/>
        <w:rPr>
          <w:sz w:val="24"/>
        </w:rPr>
      </w:pPr>
      <w:r>
        <w:rPr>
          <w:sz w:val="24"/>
        </w:rPr>
        <w:t>analiza şi reviza fişelor de post oferind suport de specialitate şefilor de</w:t>
      </w:r>
      <w:r>
        <w:rPr>
          <w:spacing w:val="-7"/>
          <w:sz w:val="24"/>
        </w:rPr>
        <w:t> </w:t>
      </w:r>
      <w:r>
        <w:rPr>
          <w:sz w:val="24"/>
        </w:rPr>
        <w:t>departament.</w:t>
      </w:r>
    </w:p>
    <w:p>
      <w:pPr>
        <w:pStyle w:val="ListParagraph"/>
        <w:numPr>
          <w:ilvl w:val="0"/>
          <w:numId w:val="26"/>
        </w:numPr>
        <w:tabs>
          <w:tab w:pos="880" w:val="left" w:leader="none"/>
        </w:tabs>
        <w:spacing w:line="240" w:lineRule="auto" w:before="0" w:after="0"/>
        <w:ind w:left="879" w:right="0" w:hanging="140"/>
        <w:jc w:val="left"/>
        <w:rPr>
          <w:sz w:val="24"/>
        </w:rPr>
      </w:pPr>
      <w:r>
        <w:rPr>
          <w:sz w:val="24"/>
        </w:rPr>
        <w:t>s-au centralizat programările de concedii de odihnă pentru anul 2017 pentru toţi</w:t>
      </w:r>
      <w:r>
        <w:rPr>
          <w:spacing w:val="-8"/>
          <w:sz w:val="24"/>
        </w:rPr>
        <w:t> </w:t>
      </w:r>
      <w:r>
        <w:rPr>
          <w:sz w:val="24"/>
        </w:rPr>
        <w:t>angajaţii.</w:t>
      </w:r>
    </w:p>
    <w:p>
      <w:pPr>
        <w:pStyle w:val="ListParagraph"/>
        <w:numPr>
          <w:ilvl w:val="0"/>
          <w:numId w:val="26"/>
        </w:numPr>
        <w:tabs>
          <w:tab w:pos="880" w:val="left" w:leader="none"/>
        </w:tabs>
        <w:spacing w:line="240" w:lineRule="auto" w:before="0" w:after="0"/>
        <w:ind w:left="879" w:right="0" w:hanging="140"/>
        <w:jc w:val="left"/>
        <w:rPr>
          <w:sz w:val="24"/>
        </w:rPr>
      </w:pPr>
      <w:r>
        <w:rPr>
          <w:sz w:val="24"/>
        </w:rPr>
        <w:t>a fost întocmit planul anual de formare profesională pentru anul</w:t>
      </w:r>
      <w:r>
        <w:rPr>
          <w:spacing w:val="-5"/>
          <w:sz w:val="24"/>
        </w:rPr>
        <w:t> </w:t>
      </w:r>
      <w:r>
        <w:rPr>
          <w:sz w:val="24"/>
        </w:rPr>
        <w:t>2017.</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actualizate permanent dosarele de personal, conform</w:t>
      </w:r>
      <w:r>
        <w:rPr>
          <w:spacing w:val="-3"/>
          <w:sz w:val="24"/>
        </w:rPr>
        <w:t> </w:t>
      </w:r>
      <w:r>
        <w:rPr>
          <w:sz w:val="24"/>
        </w:rPr>
        <w:t>legii.</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elaborate şi depuse toate documentele solicitate de şeful structurii de Control</w:t>
      </w:r>
      <w:r>
        <w:rPr>
          <w:spacing w:val="-12"/>
          <w:sz w:val="24"/>
        </w:rPr>
        <w:t> </w:t>
      </w:r>
      <w:r>
        <w:rPr>
          <w:sz w:val="24"/>
        </w:rPr>
        <w:t>Managerial:</w:t>
      </w:r>
    </w:p>
    <w:p>
      <w:pPr>
        <w:pStyle w:val="ListParagraph"/>
        <w:numPr>
          <w:ilvl w:val="0"/>
          <w:numId w:val="26"/>
        </w:numPr>
        <w:tabs>
          <w:tab w:pos="820" w:val="left" w:leader="none"/>
        </w:tabs>
        <w:spacing w:line="240" w:lineRule="auto" w:before="0" w:after="0"/>
        <w:ind w:left="819" w:right="0" w:hanging="140"/>
        <w:jc w:val="left"/>
        <w:rPr>
          <w:sz w:val="24"/>
        </w:rPr>
      </w:pPr>
      <w:r>
        <w:rPr>
          <w:sz w:val="24"/>
        </w:rPr>
        <w:t>a fost întocmit Registrul de dispoziţii al Direcţiei de Sănătate Publică</w:t>
      </w:r>
      <w:r>
        <w:rPr>
          <w:spacing w:val="-3"/>
          <w:sz w:val="24"/>
        </w:rPr>
        <w:t> </w:t>
      </w:r>
      <w:r>
        <w:rPr>
          <w:sz w:val="24"/>
        </w:rPr>
        <w:t>Bucureşti.</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întocmite dispoziţiile specifice Biroului</w:t>
      </w:r>
      <w:r>
        <w:rPr>
          <w:spacing w:val="-2"/>
          <w:sz w:val="24"/>
        </w:rPr>
        <w:t> </w:t>
      </w:r>
      <w:r>
        <w:rPr>
          <w:sz w:val="24"/>
        </w:rPr>
        <w:t>RUNOS:</w:t>
      </w:r>
    </w:p>
    <w:p>
      <w:pPr>
        <w:pStyle w:val="ListParagraph"/>
        <w:numPr>
          <w:ilvl w:val="0"/>
          <w:numId w:val="26"/>
        </w:numPr>
        <w:tabs>
          <w:tab w:pos="825" w:val="left" w:leader="none"/>
        </w:tabs>
        <w:spacing w:line="240" w:lineRule="auto" w:before="0" w:after="0"/>
        <w:ind w:left="680" w:right="1135" w:firstLine="0"/>
        <w:jc w:val="both"/>
        <w:rPr>
          <w:sz w:val="24"/>
        </w:rPr>
      </w:pPr>
      <w:r>
        <w:rPr>
          <w:sz w:val="24"/>
        </w:rPr>
        <w:t>au fost iniţiate un număr de 555 dispoziţii, având ca obiect: numirea în funcţii publice; încadrarea cu contract individual de muncă; încetare raporturilor de serviciu/ muncă; modificarea raporturilor de serviciu/ muncă; majorarea salariilor de baza ale angajaţilor; exercitarea cu caracter temporar a funcţiilor publice de conducere vacante; încetarea suspendării şi reluarea activităţii; constituirea comisiilor de concurs şi a comisiilor de soluţionare a contestaţiilor; suspendarea raporturilor de serviciu.</w:t>
      </w:r>
    </w:p>
    <w:p>
      <w:pPr>
        <w:pStyle w:val="ListParagraph"/>
        <w:numPr>
          <w:ilvl w:val="0"/>
          <w:numId w:val="26"/>
        </w:numPr>
        <w:tabs>
          <w:tab w:pos="820" w:val="left" w:leader="none"/>
        </w:tabs>
        <w:spacing w:line="240" w:lineRule="auto" w:before="1" w:after="0"/>
        <w:ind w:left="819" w:right="0" w:hanging="140"/>
        <w:jc w:val="both"/>
        <w:rPr>
          <w:sz w:val="24"/>
        </w:rPr>
      </w:pPr>
      <w:r>
        <w:rPr>
          <w:sz w:val="24"/>
        </w:rPr>
        <w:t>s-a acordat sprijin de specialitate angajaţilor pe probleme de legislaţia muncii şi</w:t>
      </w:r>
      <w:r>
        <w:rPr>
          <w:spacing w:val="-12"/>
          <w:sz w:val="24"/>
        </w:rPr>
        <w:t> </w:t>
      </w:r>
      <w:r>
        <w:rPr>
          <w:sz w:val="24"/>
        </w:rPr>
        <w:t>salarizare.</w:t>
      </w:r>
    </w:p>
    <w:p>
      <w:pPr>
        <w:pStyle w:val="ListParagraph"/>
        <w:numPr>
          <w:ilvl w:val="0"/>
          <w:numId w:val="26"/>
        </w:numPr>
        <w:tabs>
          <w:tab w:pos="832" w:val="left" w:leader="none"/>
        </w:tabs>
        <w:spacing w:line="240" w:lineRule="auto" w:before="0" w:after="0"/>
        <w:ind w:left="680" w:right="1137" w:firstLine="0"/>
        <w:jc w:val="both"/>
        <w:rPr>
          <w:sz w:val="24"/>
        </w:rPr>
      </w:pPr>
      <w:r>
        <w:rPr>
          <w:sz w:val="24"/>
        </w:rPr>
        <w:t>s-au elaborat răspunsuri la solicitările din teritoriu pe domeniul specific, la memorii şi sesizări ale petenţilor, întrebări şi interpelări, rezolvarea</w:t>
      </w:r>
      <w:r>
        <w:rPr>
          <w:spacing w:val="-3"/>
          <w:sz w:val="24"/>
        </w:rPr>
        <w:t> </w:t>
      </w:r>
      <w:r>
        <w:rPr>
          <w:sz w:val="24"/>
        </w:rPr>
        <w:t>corespondenţei.</w:t>
      </w:r>
    </w:p>
    <w:p>
      <w:pPr>
        <w:pStyle w:val="ListParagraph"/>
        <w:numPr>
          <w:ilvl w:val="0"/>
          <w:numId w:val="26"/>
        </w:numPr>
        <w:tabs>
          <w:tab w:pos="993" w:val="left" w:leader="none"/>
        </w:tabs>
        <w:spacing w:line="240" w:lineRule="auto" w:before="1" w:after="0"/>
        <w:ind w:left="680" w:right="1135" w:firstLine="0"/>
        <w:jc w:val="both"/>
        <w:rPr>
          <w:sz w:val="24"/>
        </w:rPr>
      </w:pPr>
      <w:r>
        <w:rPr>
          <w:sz w:val="24"/>
        </w:rPr>
        <w:t>s-au solicitat Ministerului Sănătăţii </w:t>
      </w:r>
      <w:r>
        <w:rPr>
          <w:rFonts w:ascii="Tahoma" w:hAnsi="Tahoma"/>
          <w:sz w:val="24"/>
        </w:rPr>
        <w:t>ș</w:t>
      </w:r>
      <w:r>
        <w:rPr>
          <w:sz w:val="24"/>
        </w:rPr>
        <w:t>i Agenţiei Naţionale a Funcţionarilor Publici aprobarea/avizarea organizării concursurilor pentru ocuparea posturilor vacante din aparatul propriu, conform reglementărilor legale în vigoare.</w:t>
      </w:r>
    </w:p>
    <w:p>
      <w:pPr>
        <w:pStyle w:val="BodyText"/>
        <w:spacing w:line="274" w:lineRule="exact"/>
        <w:jc w:val="both"/>
      </w:pPr>
      <w:r>
        <w:rPr/>
        <w:t>La toate aceste concursuri Biroul RUNOS a asigurat:</w:t>
      </w:r>
    </w:p>
    <w:p>
      <w:pPr>
        <w:pStyle w:val="ListParagraph"/>
        <w:numPr>
          <w:ilvl w:val="0"/>
          <w:numId w:val="26"/>
        </w:numPr>
        <w:tabs>
          <w:tab w:pos="820" w:val="left" w:leader="none"/>
        </w:tabs>
        <w:spacing w:line="240" w:lineRule="auto" w:before="0" w:after="0"/>
        <w:ind w:left="819" w:right="0" w:hanging="140"/>
        <w:jc w:val="both"/>
        <w:rPr>
          <w:sz w:val="24"/>
        </w:rPr>
      </w:pPr>
      <w:r>
        <w:rPr>
          <w:sz w:val="24"/>
        </w:rPr>
        <w:t>informarea privind condiţiile de participare la concurs, preluarea dosarelor de</w:t>
      </w:r>
      <w:r>
        <w:rPr>
          <w:spacing w:val="-8"/>
          <w:sz w:val="24"/>
        </w:rPr>
        <w:t> </w:t>
      </w:r>
      <w:r>
        <w:rPr>
          <w:sz w:val="24"/>
        </w:rPr>
        <w:t>înscriere;</w:t>
      </w:r>
    </w:p>
    <w:p>
      <w:pPr>
        <w:pStyle w:val="ListParagraph"/>
        <w:numPr>
          <w:ilvl w:val="0"/>
          <w:numId w:val="26"/>
        </w:numPr>
        <w:tabs>
          <w:tab w:pos="820" w:val="left" w:leader="none"/>
        </w:tabs>
        <w:spacing w:line="240" w:lineRule="auto" w:before="0" w:after="0"/>
        <w:ind w:left="819" w:right="0" w:hanging="140"/>
        <w:jc w:val="both"/>
        <w:rPr>
          <w:sz w:val="24"/>
        </w:rPr>
      </w:pPr>
      <w:r>
        <w:rPr>
          <w:sz w:val="24"/>
        </w:rPr>
        <w:t>organizarea şi desfăşurarea probelor de</w:t>
      </w:r>
      <w:r>
        <w:rPr>
          <w:spacing w:val="-3"/>
          <w:sz w:val="24"/>
        </w:rPr>
        <w:t> </w:t>
      </w:r>
      <w:r>
        <w:rPr>
          <w:sz w:val="24"/>
        </w:rPr>
        <w:t>concurs;</w:t>
      </w:r>
    </w:p>
    <w:p>
      <w:pPr>
        <w:pStyle w:val="ListParagraph"/>
        <w:numPr>
          <w:ilvl w:val="0"/>
          <w:numId w:val="26"/>
        </w:numPr>
        <w:tabs>
          <w:tab w:pos="820" w:val="left" w:leader="none"/>
        </w:tabs>
        <w:spacing w:line="240" w:lineRule="auto" w:before="0" w:after="0"/>
        <w:ind w:left="819" w:right="0" w:hanging="140"/>
        <w:jc w:val="left"/>
        <w:rPr>
          <w:sz w:val="24"/>
        </w:rPr>
      </w:pPr>
      <w:r>
        <w:rPr>
          <w:sz w:val="24"/>
        </w:rPr>
        <w:t>supravegherea candidaţilor în timpul probelor scrise şi a probelor de</w:t>
      </w:r>
      <w:r>
        <w:rPr>
          <w:spacing w:val="-6"/>
          <w:sz w:val="24"/>
        </w:rPr>
        <w:t> </w:t>
      </w:r>
      <w:r>
        <w:rPr>
          <w:sz w:val="24"/>
        </w:rPr>
        <w:t>interviu;</w:t>
      </w:r>
    </w:p>
    <w:p>
      <w:pPr>
        <w:pStyle w:val="ListParagraph"/>
        <w:numPr>
          <w:ilvl w:val="0"/>
          <w:numId w:val="26"/>
        </w:numPr>
        <w:tabs>
          <w:tab w:pos="820" w:val="left" w:leader="none"/>
        </w:tabs>
        <w:spacing w:line="240" w:lineRule="auto" w:before="0" w:after="0"/>
        <w:ind w:left="819" w:right="0" w:hanging="140"/>
        <w:jc w:val="left"/>
        <w:rPr>
          <w:sz w:val="24"/>
        </w:rPr>
      </w:pPr>
      <w:r>
        <w:rPr>
          <w:sz w:val="24"/>
        </w:rPr>
        <w:t>întocmirea documentaţiilor la finalizarea</w:t>
      </w:r>
      <w:r>
        <w:rPr>
          <w:spacing w:val="-4"/>
          <w:sz w:val="24"/>
        </w:rPr>
        <w:t> </w:t>
      </w:r>
      <w:r>
        <w:rPr>
          <w:sz w:val="24"/>
        </w:rPr>
        <w:t>concursului;</w:t>
      </w:r>
    </w:p>
    <w:p>
      <w:pPr>
        <w:pStyle w:val="ListParagraph"/>
        <w:numPr>
          <w:ilvl w:val="0"/>
          <w:numId w:val="26"/>
        </w:numPr>
        <w:tabs>
          <w:tab w:pos="820" w:val="left" w:leader="none"/>
        </w:tabs>
        <w:spacing w:line="240" w:lineRule="auto" w:before="0" w:after="0"/>
        <w:ind w:left="819" w:right="0" w:hanging="140"/>
        <w:jc w:val="left"/>
        <w:rPr>
          <w:sz w:val="24"/>
        </w:rPr>
      </w:pPr>
      <w:r>
        <w:rPr>
          <w:sz w:val="24"/>
        </w:rPr>
        <w:t>demersurile de încadrare şi integrarea în organizaţie pentru noii</w:t>
      </w:r>
      <w:r>
        <w:rPr>
          <w:spacing w:val="-8"/>
          <w:sz w:val="24"/>
        </w:rPr>
        <w:t> </w:t>
      </w:r>
      <w:r>
        <w:rPr>
          <w:sz w:val="24"/>
        </w:rPr>
        <w:t>angajaţi.</w:t>
      </w:r>
    </w:p>
    <w:p>
      <w:pPr>
        <w:pStyle w:val="BodyText"/>
        <w:jc w:val="both"/>
      </w:pPr>
      <w:r>
        <w:rPr/>
        <w:t>Posturile scoase la concurs la nivelul Direcţiei de Sănătate Publică Bucuresti în anul 2017 au fost:</w:t>
      </w:r>
    </w:p>
    <w:p>
      <w:pPr>
        <w:pStyle w:val="ListParagraph"/>
        <w:numPr>
          <w:ilvl w:val="0"/>
          <w:numId w:val="26"/>
        </w:numPr>
        <w:tabs>
          <w:tab w:pos="832" w:val="left" w:leader="none"/>
        </w:tabs>
        <w:spacing w:line="240" w:lineRule="auto" w:before="0" w:after="0"/>
        <w:ind w:left="680" w:right="1139" w:firstLine="0"/>
        <w:jc w:val="both"/>
        <w:rPr>
          <w:sz w:val="24"/>
        </w:rPr>
      </w:pPr>
      <w:r>
        <w:rPr>
          <w:sz w:val="24"/>
        </w:rPr>
        <w:t>un post vacant de asistent principal igienă (PL) în cadrul Compartimentului Evaluare a Factorilor de Risc din Mediul de Viaţă şi</w:t>
      </w:r>
      <w:r>
        <w:rPr>
          <w:spacing w:val="-5"/>
          <w:sz w:val="24"/>
        </w:rPr>
        <w:t> </w:t>
      </w:r>
      <w:r>
        <w:rPr>
          <w:sz w:val="24"/>
        </w:rPr>
        <w:t>Muncă</w:t>
      </w:r>
    </w:p>
    <w:p>
      <w:pPr>
        <w:pStyle w:val="ListParagraph"/>
        <w:numPr>
          <w:ilvl w:val="0"/>
          <w:numId w:val="26"/>
        </w:numPr>
        <w:tabs>
          <w:tab w:pos="820" w:val="left" w:leader="none"/>
        </w:tabs>
        <w:spacing w:line="240" w:lineRule="auto" w:before="0" w:after="0"/>
        <w:ind w:left="819" w:right="0" w:hanging="140"/>
        <w:jc w:val="both"/>
        <w:rPr>
          <w:sz w:val="24"/>
        </w:rPr>
      </w:pPr>
      <w:r>
        <w:rPr>
          <w:sz w:val="24"/>
        </w:rPr>
        <w:t>un post vacant de Consilier grad Principal din cadrul Biroului Avize / Autorizări</w:t>
      </w:r>
      <w:r>
        <w:rPr>
          <w:spacing w:val="-6"/>
          <w:sz w:val="24"/>
        </w:rPr>
        <w:t> </w:t>
      </w:r>
      <w:r>
        <w:rPr>
          <w:sz w:val="24"/>
        </w:rPr>
        <w:t>Sanitare</w:t>
      </w:r>
    </w:p>
    <w:p>
      <w:pPr>
        <w:pStyle w:val="ListParagraph"/>
        <w:numPr>
          <w:ilvl w:val="0"/>
          <w:numId w:val="26"/>
        </w:numPr>
        <w:tabs>
          <w:tab w:pos="820" w:val="left" w:leader="none"/>
        </w:tabs>
        <w:spacing w:line="240" w:lineRule="auto" w:before="0" w:after="0"/>
        <w:ind w:left="819" w:right="0" w:hanging="140"/>
        <w:jc w:val="both"/>
        <w:rPr>
          <w:sz w:val="24"/>
        </w:rPr>
      </w:pPr>
      <w:r>
        <w:rPr>
          <w:sz w:val="24"/>
        </w:rPr>
        <w:t>un post vacant de Consilier Juridic grad Superior din cadrul Compartimentului</w:t>
      </w:r>
      <w:r>
        <w:rPr>
          <w:spacing w:val="-4"/>
          <w:sz w:val="24"/>
        </w:rPr>
        <w:t> </w:t>
      </w:r>
      <w:r>
        <w:rPr>
          <w:sz w:val="24"/>
        </w:rPr>
        <w:t>Juridic</w:t>
      </w:r>
    </w:p>
    <w:p>
      <w:pPr>
        <w:pStyle w:val="ListParagraph"/>
        <w:numPr>
          <w:ilvl w:val="0"/>
          <w:numId w:val="26"/>
        </w:numPr>
        <w:tabs>
          <w:tab w:pos="820" w:val="left" w:leader="none"/>
        </w:tabs>
        <w:spacing w:line="240" w:lineRule="auto" w:before="0" w:after="0"/>
        <w:ind w:left="680" w:right="1135" w:firstLine="0"/>
        <w:jc w:val="both"/>
        <w:rPr>
          <w:sz w:val="24"/>
        </w:rPr>
      </w:pPr>
      <w:r>
        <w:rPr>
          <w:sz w:val="24"/>
        </w:rPr>
        <w:t>trei posturi vacante în cadrul Serviciului Asistenţă Medicală şi Programe de Sănătate - un post vacant de Consilier grad Superior, un post vacant de Consilier grad Principal şi un post vacant de Consilier grad</w:t>
      </w:r>
      <w:r>
        <w:rPr>
          <w:spacing w:val="1"/>
          <w:sz w:val="24"/>
        </w:rPr>
        <w:t> </w:t>
      </w:r>
      <w:r>
        <w:rPr>
          <w:sz w:val="24"/>
        </w:rPr>
        <w:t>Asistent</w:t>
      </w:r>
    </w:p>
    <w:p>
      <w:pPr>
        <w:pStyle w:val="ListParagraph"/>
        <w:numPr>
          <w:ilvl w:val="0"/>
          <w:numId w:val="26"/>
        </w:numPr>
        <w:tabs>
          <w:tab w:pos="820" w:val="left" w:leader="none"/>
        </w:tabs>
        <w:spacing w:line="240" w:lineRule="auto" w:before="0" w:after="0"/>
        <w:ind w:left="819" w:right="0" w:hanging="140"/>
        <w:jc w:val="both"/>
        <w:rPr>
          <w:sz w:val="24"/>
        </w:rPr>
      </w:pPr>
      <w:r>
        <w:rPr>
          <w:sz w:val="24"/>
        </w:rPr>
        <w:t>un post vacant de Administrator I în cadrul Serviciului Administrativ şi</w:t>
      </w:r>
      <w:r>
        <w:rPr>
          <w:spacing w:val="-7"/>
          <w:sz w:val="24"/>
        </w:rPr>
        <w:t> </w:t>
      </w:r>
      <w:r>
        <w:rPr>
          <w:sz w:val="24"/>
        </w:rPr>
        <w:t>Mentenanţă</w:t>
      </w:r>
    </w:p>
    <w:p>
      <w:pPr>
        <w:pStyle w:val="ListParagraph"/>
        <w:numPr>
          <w:ilvl w:val="0"/>
          <w:numId w:val="26"/>
        </w:numPr>
        <w:tabs>
          <w:tab w:pos="847" w:val="left" w:leader="none"/>
        </w:tabs>
        <w:spacing w:line="240" w:lineRule="auto" w:before="0" w:after="0"/>
        <w:ind w:left="680" w:right="1133" w:firstLine="0"/>
        <w:jc w:val="both"/>
        <w:rPr>
          <w:sz w:val="24"/>
        </w:rPr>
      </w:pPr>
      <w:r>
        <w:rPr>
          <w:sz w:val="24"/>
        </w:rPr>
        <w:t>două posturi vacante în cadrul Serviciului Asistenţă Medicală şi Programe de Sănătate - un post vacant de Consilier grad Principal şi un post vacant de Consilier grad</w:t>
      </w:r>
      <w:r>
        <w:rPr>
          <w:spacing w:val="-3"/>
          <w:sz w:val="24"/>
        </w:rPr>
        <w:t> </w:t>
      </w:r>
      <w:r>
        <w:rPr>
          <w:sz w:val="24"/>
        </w:rPr>
        <w:t>Asistent</w:t>
      </w:r>
    </w:p>
    <w:p>
      <w:pPr>
        <w:pStyle w:val="ListParagraph"/>
        <w:numPr>
          <w:ilvl w:val="0"/>
          <w:numId w:val="26"/>
        </w:numPr>
        <w:tabs>
          <w:tab w:pos="887" w:val="left" w:leader="none"/>
        </w:tabs>
        <w:spacing w:line="240" w:lineRule="auto" w:before="1" w:after="0"/>
        <w:ind w:left="680" w:right="1140" w:firstLine="0"/>
        <w:jc w:val="both"/>
        <w:rPr>
          <w:sz w:val="24"/>
        </w:rPr>
      </w:pPr>
      <w:r>
        <w:rPr>
          <w:sz w:val="24"/>
        </w:rPr>
        <w:t>un post vacant de Inspector de Specialitate Debutant în cadrul Serviciului Administrativ şi Mentenanţă</w:t>
      </w:r>
    </w:p>
    <w:p>
      <w:pPr>
        <w:pStyle w:val="BodyText"/>
        <w:ind w:right="1138"/>
        <w:jc w:val="both"/>
      </w:pPr>
      <w:r>
        <w:rPr/>
        <w:t>Au fost întreprinse demersurile legale pentru obţinerea avizului de organizare a examenelor de promovare în gradul imediat superior pentru salariaţii care îndeplinesc condiţiile prevăzute de lege. În acest sens, în anul 2017 s-au organizat:</w:t>
      </w:r>
    </w:p>
    <w:p>
      <w:pPr>
        <w:pStyle w:val="ListParagraph"/>
        <w:numPr>
          <w:ilvl w:val="0"/>
          <w:numId w:val="26"/>
        </w:numPr>
        <w:tabs>
          <w:tab w:pos="856" w:val="left" w:leader="none"/>
        </w:tabs>
        <w:spacing w:line="240" w:lineRule="auto" w:before="0" w:after="0"/>
        <w:ind w:left="680" w:right="1140" w:firstLine="0"/>
        <w:jc w:val="both"/>
        <w:rPr>
          <w:sz w:val="24"/>
        </w:rPr>
      </w:pPr>
      <w:hyperlink r:id="rId60">
        <w:r>
          <w:rPr>
            <w:sz w:val="24"/>
          </w:rPr>
          <w:t>examen de promovare în gradul profesional imediat superior celui detinuţ al funcţiei de natură</w:t>
        </w:r>
      </w:hyperlink>
      <w:hyperlink r:id="rId60">
        <w:r>
          <w:rPr>
            <w:sz w:val="24"/>
          </w:rPr>
          <w:t> contractuală de Biolog debutant în funcţia de natură contractuală de</w:t>
        </w:r>
        <w:r>
          <w:rPr>
            <w:spacing w:val="-10"/>
            <w:sz w:val="24"/>
          </w:rPr>
          <w:t> </w:t>
        </w:r>
        <w:r>
          <w:rPr>
            <w:sz w:val="24"/>
          </w:rPr>
          <w:t>Biolog</w:t>
        </w:r>
      </w:hyperlink>
    </w:p>
    <w:p>
      <w:pPr>
        <w:pStyle w:val="ListParagraph"/>
        <w:numPr>
          <w:ilvl w:val="0"/>
          <w:numId w:val="26"/>
        </w:numPr>
        <w:tabs>
          <w:tab w:pos="820" w:val="left" w:leader="none"/>
        </w:tabs>
        <w:spacing w:line="240" w:lineRule="auto" w:before="0" w:after="0"/>
        <w:ind w:left="680" w:right="1141" w:firstLine="0"/>
        <w:jc w:val="both"/>
        <w:rPr>
          <w:sz w:val="24"/>
        </w:rPr>
      </w:pPr>
      <w:hyperlink r:id="rId61">
        <w:r>
          <w:rPr>
            <w:sz w:val="24"/>
          </w:rPr>
          <w:t>concurs/examen de promovare în gradul profesional imediat superior celui deţinut al funcţiei</w:t>
        </w:r>
      </w:hyperlink>
      <w:hyperlink r:id="rId61">
        <w:r>
          <w:rPr>
            <w:sz w:val="24"/>
          </w:rPr>
          <w:t> publice de execuţie de Consilier grad Principal în funcţia publică de Consilier grad</w:t>
        </w:r>
        <w:r>
          <w:rPr>
            <w:spacing w:val="-12"/>
            <w:sz w:val="24"/>
          </w:rPr>
          <w:t> </w:t>
        </w:r>
        <w:r>
          <w:rPr>
            <w:sz w:val="24"/>
          </w:rPr>
          <w:t>Superior</w:t>
        </w:r>
      </w:hyperlink>
    </w:p>
    <w:p>
      <w:pPr>
        <w:pStyle w:val="ListParagraph"/>
        <w:numPr>
          <w:ilvl w:val="0"/>
          <w:numId w:val="26"/>
        </w:numPr>
        <w:tabs>
          <w:tab w:pos="823" w:val="left" w:leader="none"/>
        </w:tabs>
        <w:spacing w:line="240" w:lineRule="auto" w:before="0" w:after="0"/>
        <w:ind w:left="680" w:right="1136" w:firstLine="0"/>
        <w:jc w:val="both"/>
        <w:rPr>
          <w:sz w:val="24"/>
        </w:rPr>
      </w:pPr>
      <w:r>
        <w:rPr>
          <w:sz w:val="24"/>
        </w:rPr>
        <w:t>promovare în clasă a funcţionarilor publici încadraţi pe funcţii publice cu nivel de studii medii care au absolvit o formă de învăţământ superior de lungă sau de scurtă durată, studii universitare de licenţă, respectiv din funcţia de Referent Superior în funcţia de Consilier</w:t>
      </w:r>
      <w:r>
        <w:rPr>
          <w:spacing w:val="-7"/>
          <w:sz w:val="24"/>
        </w:rPr>
        <w:t> </w:t>
      </w:r>
      <w:r>
        <w:rPr>
          <w:sz w:val="24"/>
        </w:rPr>
        <w:t>Asistent</w:t>
      </w:r>
    </w:p>
    <w:p>
      <w:pPr>
        <w:spacing w:after="0" w:line="240" w:lineRule="auto"/>
        <w:jc w:val="both"/>
        <w:rPr>
          <w:sz w:val="24"/>
        </w:rPr>
        <w:sectPr>
          <w:pgSz w:w="11910" w:h="16840"/>
          <w:pgMar w:header="0" w:footer="658" w:top="1360" w:bottom="920" w:left="400" w:right="0"/>
        </w:sectPr>
      </w:pPr>
    </w:p>
    <w:p>
      <w:pPr>
        <w:pStyle w:val="ListParagraph"/>
        <w:numPr>
          <w:ilvl w:val="0"/>
          <w:numId w:val="26"/>
        </w:numPr>
        <w:tabs>
          <w:tab w:pos="820" w:val="left" w:leader="none"/>
        </w:tabs>
        <w:spacing w:line="240" w:lineRule="auto" w:before="60" w:after="0"/>
        <w:ind w:left="680" w:right="1137" w:firstLine="0"/>
        <w:jc w:val="both"/>
        <w:rPr>
          <w:sz w:val="24"/>
        </w:rPr>
      </w:pPr>
      <w:r>
        <w:rPr>
          <w:sz w:val="24"/>
        </w:rPr>
        <w:t>examen de promovare în gradul profesional imediat superior celui deţinut al funcţiei publice de execuţie de Consilier grad Asistent în funcţia publică de Consilier grad Principal şi de Inspector grad Principal în funcţia publică de Inspector grad Superior.</w:t>
      </w:r>
    </w:p>
    <w:p>
      <w:pPr>
        <w:pStyle w:val="BodyText"/>
        <w:spacing w:before="1"/>
        <w:ind w:right="1138" w:firstLine="60"/>
        <w:jc w:val="both"/>
      </w:pPr>
      <w:r>
        <w:rPr/>
        <w:t>s-au intocmit lunar ştatele de plată pentru salarii şi calculat în baza actelor normative şi cu încadrarea în cheltuielile de personal aprobate pentru anul 2017</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calculate şi actualizate drepturile</w:t>
      </w:r>
      <w:r>
        <w:rPr>
          <w:spacing w:val="-4"/>
          <w:sz w:val="24"/>
        </w:rPr>
        <w:t> </w:t>
      </w:r>
      <w:r>
        <w:rPr>
          <w:sz w:val="24"/>
        </w:rPr>
        <w:t>salariale;</w:t>
      </w:r>
    </w:p>
    <w:p>
      <w:pPr>
        <w:pStyle w:val="ListParagraph"/>
        <w:numPr>
          <w:ilvl w:val="0"/>
          <w:numId w:val="26"/>
        </w:numPr>
        <w:tabs>
          <w:tab w:pos="863" w:val="left" w:leader="none"/>
        </w:tabs>
        <w:spacing w:line="240" w:lineRule="auto" w:before="0" w:after="0"/>
        <w:ind w:left="680" w:right="1138" w:firstLine="0"/>
        <w:jc w:val="left"/>
        <w:rPr>
          <w:sz w:val="24"/>
        </w:rPr>
      </w:pPr>
      <w:r>
        <w:rPr>
          <w:sz w:val="24"/>
        </w:rPr>
        <w:t>au fost centralizate şi verificate pontajele cu cererile de concedii de odihnă sau fără plată, cu concediile</w:t>
      </w:r>
      <w:r>
        <w:rPr>
          <w:spacing w:val="-1"/>
          <w:sz w:val="24"/>
        </w:rPr>
        <w:t> </w:t>
      </w:r>
      <w:r>
        <w:rPr>
          <w:sz w:val="24"/>
        </w:rPr>
        <w:t>medicale;</w:t>
      </w:r>
    </w:p>
    <w:p>
      <w:pPr>
        <w:pStyle w:val="ListParagraph"/>
        <w:numPr>
          <w:ilvl w:val="0"/>
          <w:numId w:val="26"/>
        </w:numPr>
        <w:tabs>
          <w:tab w:pos="839" w:val="left" w:leader="none"/>
        </w:tabs>
        <w:spacing w:line="240" w:lineRule="auto" w:before="0" w:after="0"/>
        <w:ind w:left="680" w:right="1145" w:firstLine="0"/>
        <w:jc w:val="left"/>
        <w:rPr>
          <w:sz w:val="24"/>
        </w:rPr>
      </w:pPr>
      <w:r>
        <w:rPr>
          <w:sz w:val="24"/>
        </w:rPr>
        <w:t>au fost înregistrate periodic în baza de date, pe baza documentelor legale primite, toate reţinerile salariale al angajatilor;</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întroduse datele în programul</w:t>
      </w:r>
      <w:r>
        <w:rPr>
          <w:spacing w:val="-2"/>
          <w:sz w:val="24"/>
        </w:rPr>
        <w:t> </w:t>
      </w:r>
      <w:r>
        <w:rPr>
          <w:sz w:val="24"/>
        </w:rPr>
        <w:t>informatic;</w:t>
      </w:r>
    </w:p>
    <w:p>
      <w:pPr>
        <w:pStyle w:val="ListParagraph"/>
        <w:numPr>
          <w:ilvl w:val="0"/>
          <w:numId w:val="26"/>
        </w:numPr>
        <w:tabs>
          <w:tab w:pos="820" w:val="left" w:leader="none"/>
        </w:tabs>
        <w:spacing w:line="240" w:lineRule="auto" w:before="0" w:after="0"/>
        <w:ind w:left="819" w:right="0" w:hanging="140"/>
        <w:jc w:val="left"/>
        <w:rPr>
          <w:sz w:val="24"/>
        </w:rPr>
      </w:pPr>
      <w:r>
        <w:rPr>
          <w:sz w:val="24"/>
        </w:rPr>
        <w:t>s-au distribuit fluturaşii de</w:t>
      </w:r>
      <w:r>
        <w:rPr>
          <w:spacing w:val="-2"/>
          <w:sz w:val="24"/>
        </w:rPr>
        <w:t> </w:t>
      </w:r>
      <w:r>
        <w:rPr>
          <w:sz w:val="24"/>
        </w:rPr>
        <w:t>salariu;</w:t>
      </w:r>
    </w:p>
    <w:p>
      <w:pPr>
        <w:pStyle w:val="ListParagraph"/>
        <w:numPr>
          <w:ilvl w:val="0"/>
          <w:numId w:val="26"/>
        </w:numPr>
        <w:tabs>
          <w:tab w:pos="820" w:val="left" w:leader="none"/>
        </w:tabs>
        <w:spacing w:line="240" w:lineRule="auto" w:before="0" w:after="0"/>
        <w:ind w:left="819" w:right="0" w:hanging="140"/>
        <w:jc w:val="left"/>
        <w:rPr>
          <w:sz w:val="24"/>
        </w:rPr>
      </w:pPr>
      <w:r>
        <w:rPr>
          <w:sz w:val="24"/>
        </w:rPr>
        <w:t>s-au virat drepturile salariale pe carduri</w:t>
      </w:r>
      <w:r>
        <w:rPr>
          <w:spacing w:val="-2"/>
          <w:sz w:val="24"/>
        </w:rPr>
        <w:t> </w:t>
      </w:r>
      <w:r>
        <w:rPr>
          <w:sz w:val="24"/>
        </w:rPr>
        <w:t>bancare;</w:t>
      </w:r>
    </w:p>
    <w:p>
      <w:pPr>
        <w:pStyle w:val="ListParagraph"/>
        <w:numPr>
          <w:ilvl w:val="0"/>
          <w:numId w:val="26"/>
        </w:numPr>
        <w:tabs>
          <w:tab w:pos="880" w:val="left" w:leader="none"/>
        </w:tabs>
        <w:spacing w:line="240" w:lineRule="auto" w:before="1" w:after="0"/>
        <w:ind w:left="680" w:right="1141" w:firstLine="0"/>
        <w:jc w:val="left"/>
        <w:rPr>
          <w:sz w:val="24"/>
        </w:rPr>
      </w:pPr>
      <w:r>
        <w:rPr>
          <w:sz w:val="24"/>
        </w:rPr>
        <w:t>au fost întocmite lunar propuneri, angajamente şi ordonanţări de plată pentru cheltuielile</w:t>
      </w:r>
      <w:r>
        <w:rPr>
          <w:spacing w:val="33"/>
          <w:sz w:val="24"/>
        </w:rPr>
        <w:t> </w:t>
      </w:r>
      <w:r>
        <w:rPr>
          <w:sz w:val="24"/>
        </w:rPr>
        <w:t>de personal;</w:t>
      </w:r>
    </w:p>
    <w:p>
      <w:pPr>
        <w:pStyle w:val="ListParagraph"/>
        <w:numPr>
          <w:ilvl w:val="0"/>
          <w:numId w:val="26"/>
        </w:numPr>
        <w:tabs>
          <w:tab w:pos="885" w:val="left" w:leader="none"/>
        </w:tabs>
        <w:spacing w:line="240" w:lineRule="auto" w:before="0" w:after="0"/>
        <w:ind w:left="680" w:right="1134" w:firstLine="0"/>
        <w:jc w:val="left"/>
        <w:rPr>
          <w:sz w:val="24"/>
        </w:rPr>
      </w:pPr>
      <w:r>
        <w:rPr>
          <w:sz w:val="24"/>
        </w:rPr>
        <w:t>au fost întocmite lunar centralizatoarele necesare biroului Contabilitate, pe total, pe articole bugetare şi separat pentru funcţionarii publici şi personalul</w:t>
      </w:r>
      <w:r>
        <w:rPr>
          <w:spacing w:val="-5"/>
          <w:sz w:val="24"/>
        </w:rPr>
        <w:t> </w:t>
      </w:r>
      <w:r>
        <w:rPr>
          <w:sz w:val="24"/>
        </w:rPr>
        <w:t>contractual;</w:t>
      </w:r>
    </w:p>
    <w:p>
      <w:pPr>
        <w:pStyle w:val="ListParagraph"/>
        <w:numPr>
          <w:ilvl w:val="0"/>
          <w:numId w:val="26"/>
        </w:numPr>
        <w:tabs>
          <w:tab w:pos="820" w:val="left" w:leader="none"/>
        </w:tabs>
        <w:spacing w:line="240" w:lineRule="auto" w:before="0" w:after="0"/>
        <w:ind w:left="819" w:right="0" w:hanging="140"/>
        <w:jc w:val="left"/>
        <w:rPr>
          <w:sz w:val="24"/>
        </w:rPr>
      </w:pPr>
      <w:r>
        <w:rPr>
          <w:sz w:val="24"/>
        </w:rPr>
        <w:t>a fost întocmită situaţia recapitulativă privind plata salariilor pentru</w:t>
      </w:r>
      <w:r>
        <w:rPr>
          <w:spacing w:val="-6"/>
          <w:sz w:val="24"/>
        </w:rPr>
        <w:t> </w:t>
      </w:r>
      <w:r>
        <w:rPr>
          <w:sz w:val="24"/>
        </w:rPr>
        <w:t>trezorerie;</w:t>
      </w:r>
    </w:p>
    <w:p>
      <w:pPr>
        <w:pStyle w:val="ListParagraph"/>
        <w:numPr>
          <w:ilvl w:val="0"/>
          <w:numId w:val="26"/>
        </w:numPr>
        <w:tabs>
          <w:tab w:pos="820" w:val="left" w:leader="none"/>
        </w:tabs>
        <w:spacing w:line="240" w:lineRule="auto" w:before="0" w:after="0"/>
        <w:ind w:left="819" w:right="0" w:hanging="140"/>
        <w:jc w:val="left"/>
        <w:rPr>
          <w:sz w:val="24"/>
        </w:rPr>
      </w:pPr>
      <w:r>
        <w:rPr>
          <w:sz w:val="24"/>
        </w:rPr>
        <w:t>au fost întocmite ordinele de plata şi borderoul pentru</w:t>
      </w:r>
      <w:r>
        <w:rPr>
          <w:spacing w:val="-5"/>
          <w:sz w:val="24"/>
        </w:rPr>
        <w:t> </w:t>
      </w:r>
      <w:r>
        <w:rPr>
          <w:sz w:val="24"/>
        </w:rPr>
        <w:t>trezorerie;</w:t>
      </w:r>
    </w:p>
    <w:p>
      <w:pPr>
        <w:pStyle w:val="ListParagraph"/>
        <w:numPr>
          <w:ilvl w:val="0"/>
          <w:numId w:val="26"/>
        </w:numPr>
        <w:tabs>
          <w:tab w:pos="839" w:val="left" w:leader="none"/>
        </w:tabs>
        <w:spacing w:line="240" w:lineRule="auto" w:before="0" w:after="0"/>
        <w:ind w:left="680" w:right="1138" w:firstLine="0"/>
        <w:jc w:val="left"/>
        <w:rPr>
          <w:sz w:val="24"/>
        </w:rPr>
      </w:pPr>
      <w:r>
        <w:rPr>
          <w:sz w:val="24"/>
        </w:rPr>
        <w:t>a fost întocmit şi transmis la Biroul buget-finante necesarul lunar pe articole bugetare în vederea încărcării datelor în</w:t>
      </w:r>
      <w:r>
        <w:rPr>
          <w:spacing w:val="1"/>
          <w:sz w:val="24"/>
        </w:rPr>
        <w:t> </w:t>
      </w:r>
      <w:r>
        <w:rPr>
          <w:sz w:val="24"/>
        </w:rPr>
        <w:t>Forexebug;</w:t>
      </w:r>
    </w:p>
    <w:p>
      <w:pPr>
        <w:pStyle w:val="ListParagraph"/>
        <w:numPr>
          <w:ilvl w:val="0"/>
          <w:numId w:val="26"/>
        </w:numPr>
        <w:tabs>
          <w:tab w:pos="820" w:val="left" w:leader="none"/>
        </w:tabs>
        <w:spacing w:line="240" w:lineRule="auto" w:before="0" w:after="0"/>
        <w:ind w:left="819" w:right="0" w:hanging="140"/>
        <w:jc w:val="left"/>
        <w:rPr>
          <w:sz w:val="24"/>
        </w:rPr>
      </w:pPr>
      <w:r>
        <w:rPr>
          <w:sz w:val="24"/>
        </w:rPr>
        <w:t>s-au întocmit lunar cererile de finanţare pentru plata salariilor, pe articole</w:t>
      </w:r>
      <w:r>
        <w:rPr>
          <w:spacing w:val="-7"/>
          <w:sz w:val="24"/>
        </w:rPr>
        <w:t> </w:t>
      </w:r>
      <w:r>
        <w:rPr>
          <w:sz w:val="24"/>
        </w:rPr>
        <w:t>bugetare;</w:t>
      </w:r>
    </w:p>
    <w:p>
      <w:pPr>
        <w:pStyle w:val="ListParagraph"/>
        <w:numPr>
          <w:ilvl w:val="0"/>
          <w:numId w:val="26"/>
        </w:numPr>
        <w:tabs>
          <w:tab w:pos="895" w:val="left" w:leader="none"/>
        </w:tabs>
        <w:spacing w:line="240" w:lineRule="auto" w:before="0" w:after="0"/>
        <w:ind w:left="680" w:right="1133" w:firstLine="0"/>
        <w:jc w:val="both"/>
        <w:rPr>
          <w:sz w:val="24"/>
        </w:rPr>
      </w:pPr>
      <w:r>
        <w:rPr>
          <w:sz w:val="24"/>
        </w:rPr>
        <w:t>au fost întocmite, distribuite şi centralizate documentele necesare depunerii declaraţiilor de impunere pentru stabilirea deducerilor personale şi suplimentare de impozit pe anul 2017 - 219 declaraţii;</w:t>
      </w:r>
    </w:p>
    <w:p>
      <w:pPr>
        <w:pStyle w:val="ListParagraph"/>
        <w:numPr>
          <w:ilvl w:val="0"/>
          <w:numId w:val="26"/>
        </w:numPr>
        <w:tabs>
          <w:tab w:pos="820" w:val="left" w:leader="none"/>
        </w:tabs>
        <w:spacing w:line="240" w:lineRule="auto" w:before="0" w:after="0"/>
        <w:ind w:left="819" w:right="0" w:hanging="140"/>
        <w:jc w:val="both"/>
        <w:rPr>
          <w:sz w:val="24"/>
        </w:rPr>
      </w:pPr>
      <w:r>
        <w:rPr>
          <w:sz w:val="24"/>
        </w:rPr>
        <w:t>s-au realizat şi eliberat adeverinţele de venit pe anul 2016 (tip fişă fiscală) - 263</w:t>
      </w:r>
      <w:r>
        <w:rPr>
          <w:spacing w:val="-3"/>
          <w:sz w:val="24"/>
        </w:rPr>
        <w:t> </w:t>
      </w:r>
      <w:r>
        <w:rPr>
          <w:sz w:val="24"/>
        </w:rPr>
        <w:t>adeverinţe;</w:t>
      </w:r>
    </w:p>
    <w:p>
      <w:pPr>
        <w:pStyle w:val="ListParagraph"/>
        <w:numPr>
          <w:ilvl w:val="0"/>
          <w:numId w:val="26"/>
        </w:numPr>
        <w:tabs>
          <w:tab w:pos="837" w:val="left" w:leader="none"/>
        </w:tabs>
        <w:spacing w:line="240" w:lineRule="auto" w:before="0" w:after="0"/>
        <w:ind w:left="680" w:right="1132" w:firstLine="0"/>
        <w:jc w:val="both"/>
        <w:rPr>
          <w:sz w:val="24"/>
        </w:rPr>
      </w:pPr>
      <w:r>
        <w:rPr>
          <w:sz w:val="24"/>
        </w:rPr>
        <w:t>s-au întocmit fişele personale de salarii, cu veniturile salariale, contribuţiile salariale şi reţinerile pentru anul 2016 (şomaj, CASS, CAS, CAR, OBBC, Cotizaţie medici, sindicat, pensii facultative) - 245 fise;</w:t>
      </w:r>
    </w:p>
    <w:p>
      <w:pPr>
        <w:pStyle w:val="ListParagraph"/>
        <w:numPr>
          <w:ilvl w:val="0"/>
          <w:numId w:val="26"/>
        </w:numPr>
        <w:tabs>
          <w:tab w:pos="835" w:val="left" w:leader="none"/>
        </w:tabs>
        <w:spacing w:line="240" w:lineRule="auto" w:before="1" w:after="0"/>
        <w:ind w:left="680" w:right="1144" w:firstLine="0"/>
        <w:jc w:val="both"/>
        <w:rPr>
          <w:sz w:val="24"/>
        </w:rPr>
      </w:pPr>
      <w:r>
        <w:rPr>
          <w:sz w:val="24"/>
        </w:rPr>
        <w:t>au fost întocmite rapoarte statistice (numărul şi drepturile de personal) şi înaintate periodic sau la solicitarea Ministerului Sănătăţii ori a altor institutii, în conditiile</w:t>
      </w:r>
      <w:r>
        <w:rPr>
          <w:spacing w:val="-8"/>
          <w:sz w:val="24"/>
        </w:rPr>
        <w:t> </w:t>
      </w:r>
      <w:r>
        <w:rPr>
          <w:sz w:val="24"/>
        </w:rPr>
        <w:t>legii;</w:t>
      </w:r>
    </w:p>
    <w:p>
      <w:pPr>
        <w:pStyle w:val="ListParagraph"/>
        <w:numPr>
          <w:ilvl w:val="0"/>
          <w:numId w:val="26"/>
        </w:numPr>
        <w:tabs>
          <w:tab w:pos="844" w:val="left" w:leader="none"/>
        </w:tabs>
        <w:spacing w:line="240" w:lineRule="auto" w:before="0" w:after="0"/>
        <w:ind w:left="680" w:right="1132" w:firstLine="0"/>
        <w:jc w:val="both"/>
        <w:rPr>
          <w:sz w:val="24"/>
        </w:rPr>
      </w:pPr>
      <w:r>
        <w:rPr>
          <w:sz w:val="24"/>
        </w:rPr>
        <w:t>s-a întocmit lunar monitorizarea cheltuielilor de personal, pe articole bugetare şi s-a transmis la Ministerul Sănătăţii - 12 documente;</w:t>
      </w:r>
    </w:p>
    <w:p>
      <w:pPr>
        <w:pStyle w:val="ListParagraph"/>
        <w:numPr>
          <w:ilvl w:val="0"/>
          <w:numId w:val="26"/>
        </w:numPr>
        <w:tabs>
          <w:tab w:pos="880" w:val="left" w:leader="none"/>
        </w:tabs>
        <w:spacing w:line="240" w:lineRule="auto" w:before="0" w:after="0"/>
        <w:ind w:left="680" w:right="1132" w:firstLine="0"/>
        <w:jc w:val="both"/>
        <w:rPr>
          <w:sz w:val="24"/>
        </w:rPr>
      </w:pPr>
      <w:r>
        <w:rPr>
          <w:sz w:val="24"/>
        </w:rPr>
        <w:t>s-a întocmit lunar monitorizarea cheltuielilor din venituri proprii, pe articole bugetare şi </w:t>
      </w:r>
      <w:r>
        <w:rPr>
          <w:spacing w:val="3"/>
          <w:sz w:val="24"/>
        </w:rPr>
        <w:t>s-a </w:t>
      </w:r>
      <w:r>
        <w:rPr>
          <w:sz w:val="24"/>
        </w:rPr>
        <w:t>transmis la Biroul buget-finanţe - 12</w:t>
      </w:r>
      <w:r>
        <w:rPr>
          <w:spacing w:val="-3"/>
          <w:sz w:val="24"/>
        </w:rPr>
        <w:t> </w:t>
      </w:r>
      <w:r>
        <w:rPr>
          <w:sz w:val="24"/>
        </w:rPr>
        <w:t>documente;</w:t>
      </w:r>
    </w:p>
    <w:p>
      <w:pPr>
        <w:pStyle w:val="ListParagraph"/>
        <w:numPr>
          <w:ilvl w:val="0"/>
          <w:numId w:val="26"/>
        </w:numPr>
        <w:tabs>
          <w:tab w:pos="880" w:val="left" w:leader="none"/>
        </w:tabs>
        <w:spacing w:line="240" w:lineRule="auto" w:before="0" w:after="0"/>
        <w:ind w:left="680" w:right="1130" w:firstLine="0"/>
        <w:jc w:val="both"/>
        <w:rPr>
          <w:sz w:val="24"/>
        </w:rPr>
      </w:pPr>
      <w:r>
        <w:rPr>
          <w:sz w:val="24"/>
        </w:rPr>
        <w:t>s-a întocmit monitorizarea trimestrială a cheltuielilor de personal, defalcat pentru funcţionari publici şi personal contractual, pe articole bugetare şi s-a transmis la Ministerul Sănătăţii - 4 documente;</w:t>
      </w:r>
    </w:p>
    <w:p>
      <w:pPr>
        <w:pStyle w:val="ListParagraph"/>
        <w:numPr>
          <w:ilvl w:val="0"/>
          <w:numId w:val="26"/>
        </w:numPr>
        <w:tabs>
          <w:tab w:pos="832" w:val="left" w:leader="none"/>
        </w:tabs>
        <w:spacing w:line="240" w:lineRule="auto" w:before="0" w:after="0"/>
        <w:ind w:left="680" w:right="1137" w:firstLine="0"/>
        <w:jc w:val="both"/>
        <w:rPr>
          <w:sz w:val="24"/>
        </w:rPr>
      </w:pPr>
      <w:r>
        <w:rPr>
          <w:sz w:val="24"/>
        </w:rPr>
        <w:t>au fost întocmite raportările statistice lunare privind cheltuielile de personal (S1) şi s-au transmis  la Institutul Naţional de Statistică şi la Ministerul Sănătăţii - 24</w:t>
      </w:r>
      <w:r>
        <w:rPr>
          <w:spacing w:val="-4"/>
          <w:sz w:val="24"/>
        </w:rPr>
        <w:t> </w:t>
      </w:r>
      <w:r>
        <w:rPr>
          <w:sz w:val="24"/>
        </w:rPr>
        <w:t>documente;</w:t>
      </w:r>
    </w:p>
    <w:p>
      <w:pPr>
        <w:pStyle w:val="ListParagraph"/>
        <w:numPr>
          <w:ilvl w:val="0"/>
          <w:numId w:val="26"/>
        </w:numPr>
        <w:tabs>
          <w:tab w:pos="825" w:val="left" w:leader="none"/>
        </w:tabs>
        <w:spacing w:line="240" w:lineRule="auto" w:before="0" w:after="0"/>
        <w:ind w:left="680" w:right="1135" w:firstLine="0"/>
        <w:jc w:val="both"/>
        <w:rPr>
          <w:sz w:val="24"/>
        </w:rPr>
      </w:pPr>
      <w:r>
        <w:rPr>
          <w:sz w:val="24"/>
        </w:rPr>
        <w:t>au fost întocmite raportările statistice trimestriale: Ancheta locurilor de muncă vacante (S3) şi s-au transmis la Institutul Naţional de Statistică - 4 documente;</w:t>
      </w:r>
    </w:p>
    <w:p>
      <w:pPr>
        <w:pStyle w:val="ListParagraph"/>
        <w:numPr>
          <w:ilvl w:val="0"/>
          <w:numId w:val="26"/>
        </w:numPr>
        <w:tabs>
          <w:tab w:pos="849" w:val="left" w:leader="none"/>
        </w:tabs>
        <w:spacing w:line="240" w:lineRule="auto" w:before="0" w:after="0"/>
        <w:ind w:left="680" w:right="1137" w:firstLine="0"/>
        <w:jc w:val="both"/>
        <w:rPr>
          <w:sz w:val="24"/>
        </w:rPr>
      </w:pPr>
      <w:r>
        <w:rPr>
          <w:sz w:val="24"/>
        </w:rPr>
        <w:t>au fost întocmite adeverinţe pentru Casa de Pensii pentru salariaţii care au întrunit condiţiile de pensionare şi pentru salariaţii din afara instituţiei care au avut calitatea de salariaţi ai Direcţiei Sanitare - 37</w:t>
      </w:r>
      <w:r>
        <w:rPr>
          <w:spacing w:val="-3"/>
          <w:sz w:val="24"/>
        </w:rPr>
        <w:t> </w:t>
      </w:r>
      <w:r>
        <w:rPr>
          <w:sz w:val="24"/>
        </w:rPr>
        <w:t>documente;</w:t>
      </w:r>
    </w:p>
    <w:p>
      <w:pPr>
        <w:pStyle w:val="ListParagraph"/>
        <w:numPr>
          <w:ilvl w:val="0"/>
          <w:numId w:val="26"/>
        </w:numPr>
        <w:tabs>
          <w:tab w:pos="823" w:val="left" w:leader="none"/>
        </w:tabs>
        <w:spacing w:line="240" w:lineRule="auto" w:before="0" w:after="0"/>
        <w:ind w:left="680" w:right="1136" w:firstLine="0"/>
        <w:jc w:val="both"/>
        <w:rPr>
          <w:sz w:val="24"/>
        </w:rPr>
      </w:pPr>
      <w:r>
        <w:rPr>
          <w:sz w:val="24"/>
        </w:rPr>
        <w:t>au fost întocmite formele de lichidare prevăzute de lege pentru personalul din cadrul instituţiei care a îndeplinit condiţiile legale de</w:t>
      </w:r>
      <w:r>
        <w:rPr>
          <w:spacing w:val="-5"/>
          <w:sz w:val="24"/>
        </w:rPr>
        <w:t> </w:t>
      </w:r>
      <w:r>
        <w:rPr>
          <w:sz w:val="24"/>
        </w:rPr>
        <w:t>pensionare;</w:t>
      </w:r>
    </w:p>
    <w:p>
      <w:pPr>
        <w:pStyle w:val="ListParagraph"/>
        <w:numPr>
          <w:ilvl w:val="0"/>
          <w:numId w:val="26"/>
        </w:numPr>
        <w:tabs>
          <w:tab w:pos="890" w:val="left" w:leader="none"/>
        </w:tabs>
        <w:spacing w:line="240" w:lineRule="auto" w:before="1" w:after="0"/>
        <w:ind w:left="680" w:right="1140" w:firstLine="0"/>
        <w:jc w:val="both"/>
        <w:rPr>
          <w:sz w:val="24"/>
        </w:rPr>
      </w:pPr>
      <w:r>
        <w:rPr>
          <w:sz w:val="24"/>
        </w:rPr>
        <w:t>au fost calculate şi plătite, conform legii, drepturile salariale câştigate în instanţă, conform hotărârilor judecătoreşti</w:t>
      </w:r>
      <w:r>
        <w:rPr>
          <w:spacing w:val="2"/>
          <w:sz w:val="24"/>
        </w:rPr>
        <w:t> </w:t>
      </w:r>
      <w:r>
        <w:rPr>
          <w:sz w:val="24"/>
        </w:rPr>
        <w:t>definitive;</w:t>
      </w:r>
    </w:p>
    <w:p>
      <w:pPr>
        <w:spacing w:after="0" w:line="240" w:lineRule="auto"/>
        <w:jc w:val="both"/>
        <w:rPr>
          <w:sz w:val="24"/>
        </w:rPr>
        <w:sectPr>
          <w:pgSz w:w="11910" w:h="16840"/>
          <w:pgMar w:header="0" w:footer="658" w:top="1360" w:bottom="920" w:left="400" w:right="0"/>
        </w:sectPr>
      </w:pPr>
    </w:p>
    <w:p>
      <w:pPr>
        <w:pStyle w:val="ListParagraph"/>
        <w:numPr>
          <w:ilvl w:val="0"/>
          <w:numId w:val="26"/>
        </w:numPr>
        <w:tabs>
          <w:tab w:pos="868" w:val="left" w:leader="none"/>
        </w:tabs>
        <w:spacing w:line="240" w:lineRule="auto" w:before="60" w:after="0"/>
        <w:ind w:left="680" w:right="1131" w:firstLine="0"/>
        <w:jc w:val="both"/>
        <w:rPr>
          <w:sz w:val="24"/>
        </w:rPr>
      </w:pPr>
      <w:r>
        <w:rPr>
          <w:sz w:val="24"/>
        </w:rPr>
        <w:t>au fost întocmite lunar dosarele prin care se solicită recuperarea sumelor aferente concediilor medicale de la Fondul Naţional Unic de Asigurări Sociale de Sănătate; s-au completat certificatele medicale în vederea depunerii la Casa de Asigurări de Sănătate a Municipiului Bucure</w:t>
      </w:r>
      <w:r>
        <w:rPr>
          <w:rFonts w:ascii="Tahoma" w:hAnsi="Tahoma"/>
          <w:sz w:val="24"/>
        </w:rPr>
        <w:t>ș</w:t>
      </w:r>
      <w:r>
        <w:rPr>
          <w:sz w:val="24"/>
        </w:rPr>
        <w:t>ti - 12 declaratii;</w:t>
      </w:r>
    </w:p>
    <w:p>
      <w:pPr>
        <w:pStyle w:val="ListParagraph"/>
        <w:numPr>
          <w:ilvl w:val="0"/>
          <w:numId w:val="26"/>
        </w:numPr>
        <w:tabs>
          <w:tab w:pos="873" w:val="left" w:leader="none"/>
        </w:tabs>
        <w:spacing w:line="240" w:lineRule="auto" w:before="2" w:after="0"/>
        <w:ind w:left="680" w:right="1142" w:firstLine="0"/>
        <w:jc w:val="both"/>
        <w:rPr>
          <w:sz w:val="24"/>
        </w:rPr>
      </w:pPr>
      <w:r>
        <w:rPr>
          <w:sz w:val="24"/>
        </w:rPr>
        <w:t>s-au întocmit lunar borderourile către CAR, sindicat, colegiul medicilor, colegiul medicilor dentişti, OAMGMAMR,</w:t>
      </w:r>
      <w:r>
        <w:rPr>
          <w:spacing w:val="-2"/>
          <w:sz w:val="24"/>
        </w:rPr>
        <w:t> </w:t>
      </w:r>
      <w:r>
        <w:rPr>
          <w:sz w:val="24"/>
        </w:rPr>
        <w:t>OBBCSSR;</w:t>
      </w:r>
    </w:p>
    <w:p>
      <w:pPr>
        <w:pStyle w:val="ListParagraph"/>
        <w:numPr>
          <w:ilvl w:val="0"/>
          <w:numId w:val="26"/>
        </w:numPr>
        <w:tabs>
          <w:tab w:pos="871" w:val="left" w:leader="none"/>
        </w:tabs>
        <w:spacing w:line="240" w:lineRule="auto" w:before="0" w:after="0"/>
        <w:ind w:left="680" w:right="1133" w:firstLine="0"/>
        <w:jc w:val="left"/>
        <w:rPr>
          <w:sz w:val="24"/>
        </w:rPr>
      </w:pPr>
      <w:r>
        <w:rPr>
          <w:sz w:val="24"/>
        </w:rPr>
        <w:t>s-au primit, verificat şi arhivat cererile de concedii: de odihna, fără plată, pentru evenimente speciale - aproximativ 955 cereri ale</w:t>
      </w:r>
      <w:r>
        <w:rPr>
          <w:spacing w:val="-1"/>
          <w:sz w:val="24"/>
        </w:rPr>
        <w:t> </w:t>
      </w:r>
      <w:r>
        <w:rPr>
          <w:sz w:val="24"/>
        </w:rPr>
        <w:t>salariaţilor</w:t>
      </w:r>
    </w:p>
    <w:p>
      <w:pPr>
        <w:pStyle w:val="ListParagraph"/>
        <w:numPr>
          <w:ilvl w:val="0"/>
          <w:numId w:val="26"/>
        </w:numPr>
        <w:tabs>
          <w:tab w:pos="820" w:val="left" w:leader="none"/>
        </w:tabs>
        <w:spacing w:line="240" w:lineRule="auto" w:before="0" w:after="0"/>
        <w:ind w:left="819" w:right="0" w:hanging="140"/>
        <w:jc w:val="left"/>
        <w:rPr>
          <w:sz w:val="24"/>
        </w:rPr>
      </w:pPr>
      <w:r>
        <w:rPr>
          <w:sz w:val="24"/>
        </w:rPr>
        <w:t>s-au primit, analizat şi arhivat formularele de concedii medicale - 153</w:t>
      </w:r>
      <w:r>
        <w:rPr>
          <w:spacing w:val="-2"/>
          <w:sz w:val="24"/>
        </w:rPr>
        <w:t> </w:t>
      </w:r>
      <w:r>
        <w:rPr>
          <w:sz w:val="24"/>
        </w:rPr>
        <w:t>certificate;</w:t>
      </w:r>
    </w:p>
    <w:p>
      <w:pPr>
        <w:pStyle w:val="BodyText"/>
      </w:pPr>
      <w:r>
        <w:rPr/>
        <w:t>-s-au eliberat 245 adeverinţe solicitate de salariaţii instituţiei:</w:t>
      </w:r>
    </w:p>
    <w:p>
      <w:pPr>
        <w:pStyle w:val="ListParagraph"/>
        <w:numPr>
          <w:ilvl w:val="0"/>
          <w:numId w:val="26"/>
        </w:numPr>
        <w:tabs>
          <w:tab w:pos="911" w:val="left" w:leader="none"/>
        </w:tabs>
        <w:spacing w:line="240" w:lineRule="auto" w:before="0" w:after="0"/>
        <w:ind w:left="680" w:right="1136" w:firstLine="0"/>
        <w:jc w:val="both"/>
        <w:rPr>
          <w:sz w:val="24"/>
        </w:rPr>
      </w:pPr>
      <w:r>
        <w:rPr>
          <w:sz w:val="24"/>
        </w:rPr>
        <w:t>pentru rezidenţii care îşi desfăşoară activitatea în cadrul Direcţiei de Sănătate Publică a Municipiului Bucureşti, au fost calculate lunar bursele cuvenite conform prevederilor OU nr. 103/2013 şi s-au întocmit: propuneri, angajamente, ordonanţări şi ordine de plată; le-au fost virat sumele pe carduri</w:t>
      </w:r>
      <w:r>
        <w:rPr>
          <w:spacing w:val="-3"/>
          <w:sz w:val="24"/>
        </w:rPr>
        <w:t> </w:t>
      </w:r>
      <w:r>
        <w:rPr>
          <w:sz w:val="24"/>
        </w:rPr>
        <w:t>bancare.</w:t>
      </w:r>
    </w:p>
    <w:p>
      <w:pPr>
        <w:pStyle w:val="BodyText"/>
        <w:spacing w:before="1"/>
        <w:ind w:right="1141"/>
        <w:jc w:val="both"/>
      </w:pPr>
      <w:r>
        <w:rPr/>
        <w:t>Evidenţa personalului şi a drepturilor salariale ale personalului, s-a realizat prin raportarea acestora în formatele standard, conform legislaţiei:</w:t>
      </w:r>
    </w:p>
    <w:p>
      <w:pPr>
        <w:pStyle w:val="ListParagraph"/>
        <w:numPr>
          <w:ilvl w:val="0"/>
          <w:numId w:val="26"/>
        </w:numPr>
        <w:tabs>
          <w:tab w:pos="820" w:val="left" w:leader="none"/>
        </w:tabs>
        <w:spacing w:line="240" w:lineRule="auto" w:before="0" w:after="0"/>
        <w:ind w:left="819" w:right="0" w:hanging="140"/>
        <w:jc w:val="both"/>
        <w:rPr>
          <w:sz w:val="24"/>
        </w:rPr>
      </w:pPr>
      <w:r>
        <w:rPr>
          <w:sz w:val="24"/>
        </w:rPr>
        <w:t>Registrul de evidenţă al salariaţilor în format</w:t>
      </w:r>
      <w:r>
        <w:rPr>
          <w:spacing w:val="-1"/>
          <w:sz w:val="24"/>
        </w:rPr>
        <w:t> </w:t>
      </w:r>
      <w:r>
        <w:rPr>
          <w:sz w:val="24"/>
        </w:rPr>
        <w:t>electronic-REVISAL;</w:t>
      </w:r>
    </w:p>
    <w:p>
      <w:pPr>
        <w:pStyle w:val="ListParagraph"/>
        <w:numPr>
          <w:ilvl w:val="0"/>
          <w:numId w:val="26"/>
        </w:numPr>
        <w:tabs>
          <w:tab w:pos="859" w:val="left" w:leader="none"/>
        </w:tabs>
        <w:spacing w:line="240" w:lineRule="auto" w:before="0" w:after="0"/>
        <w:ind w:left="680" w:right="1142" w:firstLine="0"/>
        <w:jc w:val="both"/>
        <w:rPr>
          <w:sz w:val="24"/>
        </w:rPr>
      </w:pPr>
      <w:r>
        <w:rPr>
          <w:sz w:val="24"/>
        </w:rPr>
        <w:t>Declaraţia 112 "Declaraţie privind obligaţiile de plată a contribuţiilor sociale, a impozitului pe venit şi evidenţă nominală a persoanelor</w:t>
      </w:r>
      <w:r>
        <w:rPr>
          <w:spacing w:val="-2"/>
          <w:sz w:val="24"/>
        </w:rPr>
        <w:t> </w:t>
      </w:r>
      <w:r>
        <w:rPr>
          <w:sz w:val="24"/>
        </w:rPr>
        <w:t>asigurate";</w:t>
      </w:r>
    </w:p>
    <w:p>
      <w:pPr>
        <w:pStyle w:val="ListParagraph"/>
        <w:numPr>
          <w:ilvl w:val="0"/>
          <w:numId w:val="26"/>
        </w:numPr>
        <w:tabs>
          <w:tab w:pos="847" w:val="left" w:leader="none"/>
        </w:tabs>
        <w:spacing w:line="240" w:lineRule="auto" w:before="0" w:after="0"/>
        <w:ind w:left="680" w:right="1141" w:firstLine="0"/>
        <w:jc w:val="both"/>
        <w:rPr>
          <w:sz w:val="24"/>
        </w:rPr>
      </w:pPr>
      <w:r>
        <w:rPr>
          <w:sz w:val="24"/>
        </w:rPr>
        <w:t>Declaraţia 500 „Declaraţie privind informaţiile detaliate de încadrare şi salarizare a personalului plătit din fonduri publice”;</w:t>
      </w:r>
    </w:p>
    <w:p>
      <w:pPr>
        <w:pStyle w:val="ListParagraph"/>
        <w:numPr>
          <w:ilvl w:val="0"/>
          <w:numId w:val="26"/>
        </w:numPr>
        <w:tabs>
          <w:tab w:pos="820" w:val="left" w:leader="none"/>
        </w:tabs>
        <w:spacing w:line="240" w:lineRule="auto" w:before="0" w:after="0"/>
        <w:ind w:left="819" w:right="0" w:hanging="140"/>
        <w:jc w:val="both"/>
        <w:rPr>
          <w:sz w:val="24"/>
        </w:rPr>
      </w:pPr>
      <w:r>
        <w:rPr>
          <w:sz w:val="24"/>
        </w:rPr>
        <w:t>Declaraţia 100 - „Declara</w:t>
      </w:r>
      <w:r>
        <w:rPr>
          <w:rFonts w:ascii="Tahoma" w:hAnsi="Tahoma"/>
          <w:sz w:val="24"/>
        </w:rPr>
        <w:t>ț</w:t>
      </w:r>
      <w:r>
        <w:rPr>
          <w:sz w:val="24"/>
        </w:rPr>
        <w:t>ie privind obliga</w:t>
      </w:r>
      <w:r>
        <w:rPr>
          <w:rFonts w:ascii="Tahoma" w:hAnsi="Tahoma"/>
          <w:sz w:val="24"/>
        </w:rPr>
        <w:t>ț</w:t>
      </w:r>
      <w:r>
        <w:rPr>
          <w:sz w:val="24"/>
        </w:rPr>
        <w:t>iile de plată la bugetul de</w:t>
      </w:r>
      <w:r>
        <w:rPr>
          <w:spacing w:val="-8"/>
          <w:sz w:val="24"/>
        </w:rPr>
        <w:t> </w:t>
      </w:r>
      <w:r>
        <w:rPr>
          <w:sz w:val="24"/>
        </w:rPr>
        <w:t>stat”;</w:t>
      </w:r>
    </w:p>
    <w:p>
      <w:pPr>
        <w:pStyle w:val="BodyText"/>
        <w:ind w:right="1137"/>
        <w:jc w:val="both"/>
      </w:pPr>
      <w:r>
        <w:rPr/>
        <w:t>S-a întocmit documentaţia pentru desemnarea reprezentanţilor Direcţiei de Sănătate Publică a Municipiului Bucureşti ca membrii în comisiile de concurs la unităţile sanitare ce au organizat concursuri pentru ocuparea posturilor de medici şi de alt personal sanitar;</w:t>
      </w:r>
    </w:p>
    <w:p>
      <w:pPr>
        <w:pStyle w:val="BodyText"/>
        <w:spacing w:before="10"/>
        <w:ind w:left="0"/>
        <w:rPr>
          <w:sz w:val="23"/>
        </w:rPr>
      </w:pPr>
    </w:p>
    <w:p>
      <w:pPr>
        <w:pStyle w:val="BodyText"/>
        <w:ind w:right="1142"/>
        <w:jc w:val="both"/>
      </w:pPr>
      <w:r>
        <w:rPr>
          <w:color w:val="FF0000"/>
        </w:rPr>
        <w:t>Au fost primite de la Ministerul Sănătaţii spre a fi distribuite certificatele de medic/medic dentist/farmacist primar – 346 certificate.</w:t>
      </w:r>
    </w:p>
    <w:p>
      <w:pPr>
        <w:pStyle w:val="BodyText"/>
        <w:ind w:right="1143"/>
        <w:jc w:val="both"/>
      </w:pPr>
      <w:r>
        <w:rPr>
          <w:color w:val="FF0000"/>
        </w:rPr>
        <w:t>21. Au fost primite de la Ministerul Sănătaţii spre a fi distribuite certificatele de medic/medic dentist/farmacist specialist – 107 certificate.</w:t>
      </w:r>
    </w:p>
    <w:p>
      <w:pPr>
        <w:pStyle w:val="BodyText"/>
        <w:ind w:right="1139"/>
        <w:jc w:val="both"/>
      </w:pPr>
      <w:r>
        <w:rPr/>
        <w:t>Au fost verificate lunar şi centralizate pentru toate unităţile sanitare de pe raza Municipiului Bucureşti formularele F2 (număr de paturi, număr de posturi aprobate/vacante şi numărul de posturi ocupate pe structuri de personal) peste 696 documente</w:t>
      </w:r>
    </w:p>
    <w:p>
      <w:pPr>
        <w:pStyle w:val="BodyText"/>
        <w:ind w:right="1136"/>
        <w:jc w:val="both"/>
      </w:pPr>
      <w:r>
        <w:rPr/>
        <w:t>Au fost întocmite adresele de repartiţie pentru rezidenţii aflaţi în pregătire în centrul universitar Bucureşti (în conformitate cu prevederile OMS nr. 101 din 02.02.2015); </w:t>
      </w:r>
      <w:r>
        <w:rPr>
          <w:spacing w:val="-3"/>
        </w:rPr>
        <w:t>În </w:t>
      </w:r>
      <w:r>
        <w:rPr/>
        <w:t>acest sens s-a eliberat formularul “Rotaţie de stagiu” către unităţile sanitare acreditate unde sunt repartizaţi rezidenţii pentru efectuarea stagiilor şi către unităţile sanitare cu care au încheiat contractul de muncă ca medic rezident. S-au emis 16.102 stagii şi au fost introduse în aplicaţie 1.314 note, conform datelor din carnetul de rezident.</w:t>
      </w:r>
    </w:p>
    <w:p>
      <w:pPr>
        <w:pStyle w:val="BodyText"/>
        <w:spacing w:before="1"/>
        <w:ind w:right="1133"/>
        <w:jc w:val="both"/>
      </w:pPr>
      <w:r>
        <w:rPr/>
        <w:t>S-au primit, verificat şi centralizat lunar situaţiile privind necesarul de burse pentru rezidenţii din centrul universitar Bucureşti. Pe baza tabelelor nominale primite de la toate unităţile sanitare din subordinea Ministerului Sănătăţii şi a autorităţilor administraţiei publice locale s-au întocmit lunar documentaţii pentru aplicarea prevederilor OU nr. 103/2013 privind plata lunară a bursei de rezidenţiat pentru medicii rezidenţi, medicii dentişti </w:t>
      </w:r>
      <w:r>
        <w:rPr>
          <w:rFonts w:ascii="Tahoma" w:hAnsi="Tahoma"/>
        </w:rPr>
        <w:t>ș</w:t>
      </w:r>
      <w:r>
        <w:rPr/>
        <w:t>i farmaciştii rezidenţi. Au fost verificate, centralizate şi raportate 42.306 de înregistrări;</w:t>
      </w:r>
    </w:p>
    <w:p>
      <w:pPr>
        <w:pStyle w:val="BodyText"/>
        <w:spacing w:before="1"/>
        <w:ind w:right="1135"/>
        <w:jc w:val="both"/>
      </w:pPr>
      <w:r>
        <w:rPr/>
        <w:t>În anul 2017 s-au primit dosarele şi s-a verificat documenţia pentru prelungirea activităţii pentru medicii care îşi desfăşoară activitatea după împlinirea vârstei de pensionare şi sunt în relaţie contractuală cu </w:t>
      </w:r>
      <w:hyperlink r:id="rId62">
        <w:r>
          <w:rPr/>
          <w:t>Casa de Asigurări de Sănătate a Municipiului Bucure</w:t>
        </w:r>
        <w:r>
          <w:rPr>
            <w:rFonts w:ascii="Tahoma" w:hAnsi="Tahoma"/>
          </w:rPr>
          <w:t>ș</w:t>
        </w:r>
        <w:r>
          <w:rPr/>
          <w:t>ti</w:t>
        </w:r>
      </w:hyperlink>
      <w:r>
        <w:rPr/>
        <w:t>, s-au întocmit şi eliberat hotărâri şi avize ale comisiei de avizare - 448 de dosare;</w:t>
      </w:r>
    </w:p>
    <w:p>
      <w:pPr>
        <w:spacing w:after="0"/>
        <w:jc w:val="both"/>
        <w:sectPr>
          <w:pgSz w:w="11910" w:h="16840"/>
          <w:pgMar w:header="0" w:footer="658" w:top="1360" w:bottom="920" w:left="400" w:right="0"/>
        </w:sectPr>
      </w:pPr>
    </w:p>
    <w:p>
      <w:pPr>
        <w:pStyle w:val="BodyText"/>
        <w:spacing w:before="60"/>
        <w:ind w:right="1136"/>
        <w:jc w:val="both"/>
      </w:pPr>
      <w:r>
        <w:rPr/>
        <w:t>În anul 2017 s-au primit dosarele şi s-a verificat îndeplinirea condiţiilor de participare în vederea înscrierii la examenele şi concursurile organizate de Ministerul Sănătăţii, pentru un număr de 2972 candidaţi, dupa cum urmează:</w:t>
      </w:r>
    </w:p>
    <w:p>
      <w:pPr>
        <w:pStyle w:val="ListParagraph"/>
        <w:numPr>
          <w:ilvl w:val="0"/>
          <w:numId w:val="26"/>
        </w:numPr>
        <w:tabs>
          <w:tab w:pos="823" w:val="left" w:leader="none"/>
        </w:tabs>
        <w:spacing w:line="240" w:lineRule="auto" w:before="1" w:after="0"/>
        <w:ind w:left="680" w:right="1145" w:firstLine="0"/>
        <w:jc w:val="both"/>
        <w:rPr>
          <w:sz w:val="24"/>
        </w:rPr>
      </w:pPr>
      <w:r>
        <w:rPr>
          <w:sz w:val="24"/>
        </w:rPr>
        <w:t>examen pentru obţinerea titlului de medic specialist, medic dentist specialist şi farmacist specialist, sesiunea din 22.03.2017 - 103 de</w:t>
      </w:r>
      <w:r>
        <w:rPr>
          <w:spacing w:val="-1"/>
          <w:sz w:val="24"/>
        </w:rPr>
        <w:t> </w:t>
      </w:r>
      <w:r>
        <w:rPr>
          <w:sz w:val="24"/>
        </w:rPr>
        <w:t>dosare;</w:t>
      </w:r>
    </w:p>
    <w:p>
      <w:pPr>
        <w:pStyle w:val="ListParagraph"/>
        <w:numPr>
          <w:ilvl w:val="0"/>
          <w:numId w:val="26"/>
        </w:numPr>
        <w:tabs>
          <w:tab w:pos="866" w:val="left" w:leader="none"/>
        </w:tabs>
        <w:spacing w:line="240" w:lineRule="auto" w:before="0" w:after="0"/>
        <w:ind w:left="680" w:right="1137" w:firstLine="0"/>
        <w:jc w:val="both"/>
        <w:rPr>
          <w:sz w:val="24"/>
        </w:rPr>
      </w:pPr>
      <w:r>
        <w:rPr>
          <w:sz w:val="24"/>
        </w:rPr>
        <w:t>concurs de intrare în rezidenţiat pe post şi pe loc în domeniile medicină, medicină dentară şi farmacie, sesiunea din 21.05.2017 - 29</w:t>
      </w:r>
      <w:r>
        <w:rPr>
          <w:spacing w:val="-1"/>
          <w:sz w:val="24"/>
        </w:rPr>
        <w:t> </w:t>
      </w:r>
      <w:r>
        <w:rPr>
          <w:sz w:val="24"/>
        </w:rPr>
        <w:t>dosare;</w:t>
      </w:r>
    </w:p>
    <w:p>
      <w:pPr>
        <w:pStyle w:val="ListParagraph"/>
        <w:numPr>
          <w:ilvl w:val="0"/>
          <w:numId w:val="26"/>
        </w:numPr>
        <w:tabs>
          <w:tab w:pos="823" w:val="left" w:leader="none"/>
        </w:tabs>
        <w:spacing w:line="240" w:lineRule="auto" w:before="1" w:after="0"/>
        <w:ind w:left="822" w:right="0" w:hanging="143"/>
        <w:jc w:val="both"/>
        <w:rPr>
          <w:sz w:val="24"/>
        </w:rPr>
      </w:pPr>
      <w:r>
        <w:rPr>
          <w:sz w:val="24"/>
        </w:rPr>
        <w:t>examen pentru ob</w:t>
      </w:r>
      <w:r>
        <w:rPr>
          <w:rFonts w:ascii="Tahoma" w:hAnsi="Tahoma"/>
          <w:sz w:val="24"/>
        </w:rPr>
        <w:t>ț</w:t>
      </w:r>
      <w:r>
        <w:rPr>
          <w:sz w:val="24"/>
        </w:rPr>
        <w:t>inerea atestatelor de studii complementare – Implantologie, sesiunea</w:t>
      </w:r>
      <w:r>
        <w:rPr>
          <w:spacing w:val="23"/>
          <w:sz w:val="24"/>
        </w:rPr>
        <w:t> </w:t>
      </w:r>
      <w:r>
        <w:rPr>
          <w:sz w:val="24"/>
        </w:rPr>
        <w:t>17.05.2017</w:t>
      </w:r>
    </w:p>
    <w:p>
      <w:pPr>
        <w:pStyle w:val="ListParagraph"/>
        <w:numPr>
          <w:ilvl w:val="0"/>
          <w:numId w:val="26"/>
        </w:numPr>
        <w:tabs>
          <w:tab w:pos="820" w:val="left" w:leader="none"/>
        </w:tabs>
        <w:spacing w:line="275" w:lineRule="exact" w:before="0" w:after="0"/>
        <w:ind w:left="819" w:right="0" w:hanging="140"/>
        <w:jc w:val="both"/>
        <w:rPr>
          <w:sz w:val="24"/>
        </w:rPr>
      </w:pPr>
      <w:r>
        <w:rPr>
          <w:sz w:val="24"/>
        </w:rPr>
        <w:t>2</w:t>
      </w:r>
      <w:r>
        <w:rPr>
          <w:spacing w:val="-1"/>
          <w:sz w:val="24"/>
        </w:rPr>
        <w:t> </w:t>
      </w:r>
      <w:r>
        <w:rPr>
          <w:sz w:val="24"/>
        </w:rPr>
        <w:t>dosare;</w:t>
      </w:r>
    </w:p>
    <w:p>
      <w:pPr>
        <w:pStyle w:val="ListParagraph"/>
        <w:numPr>
          <w:ilvl w:val="0"/>
          <w:numId w:val="26"/>
        </w:numPr>
        <w:tabs>
          <w:tab w:pos="933" w:val="left" w:leader="none"/>
        </w:tabs>
        <w:spacing w:line="240" w:lineRule="auto" w:before="0" w:after="0"/>
        <w:ind w:left="680" w:right="1134" w:firstLine="0"/>
        <w:jc w:val="both"/>
        <w:rPr>
          <w:sz w:val="24"/>
        </w:rPr>
      </w:pPr>
      <w:r>
        <w:rPr>
          <w:sz w:val="24"/>
        </w:rPr>
        <w:t>examen pentru ob</w:t>
      </w:r>
      <w:r>
        <w:rPr>
          <w:rFonts w:ascii="Tahoma" w:hAnsi="Tahoma"/>
          <w:sz w:val="24"/>
        </w:rPr>
        <w:t>ț</w:t>
      </w:r>
      <w:r>
        <w:rPr>
          <w:sz w:val="24"/>
        </w:rPr>
        <w:t>inerea gradului de primar pentru medicii, medicii denti</w:t>
      </w:r>
      <w:r>
        <w:rPr>
          <w:rFonts w:ascii="Tahoma" w:hAnsi="Tahoma"/>
          <w:sz w:val="24"/>
        </w:rPr>
        <w:t>ș</w:t>
      </w:r>
      <w:r>
        <w:rPr>
          <w:sz w:val="24"/>
        </w:rPr>
        <w:t>ti </w:t>
      </w:r>
      <w:r>
        <w:rPr>
          <w:rFonts w:ascii="Tahoma" w:hAnsi="Tahoma"/>
          <w:sz w:val="24"/>
        </w:rPr>
        <w:t>ș</w:t>
      </w:r>
      <w:r>
        <w:rPr>
          <w:sz w:val="24"/>
        </w:rPr>
        <w:t>i farmaci</w:t>
      </w:r>
      <w:r>
        <w:rPr>
          <w:rFonts w:ascii="Tahoma" w:hAnsi="Tahoma"/>
          <w:sz w:val="24"/>
        </w:rPr>
        <w:t>ș</w:t>
      </w:r>
      <w:r>
        <w:rPr>
          <w:sz w:val="24"/>
        </w:rPr>
        <w:t>tii cu o vechime de minim 5 ani ca speciali</w:t>
      </w:r>
      <w:r>
        <w:rPr>
          <w:rFonts w:ascii="Tahoma" w:hAnsi="Tahoma"/>
          <w:sz w:val="24"/>
        </w:rPr>
        <w:t>ș</w:t>
      </w:r>
      <w:r>
        <w:rPr>
          <w:sz w:val="24"/>
        </w:rPr>
        <w:t>ti pâna la data de 31 decembrie 2017, efectuată în specialitatea pentru care doresc să ob</w:t>
      </w:r>
      <w:r>
        <w:rPr>
          <w:rFonts w:ascii="Tahoma" w:hAnsi="Tahoma"/>
          <w:sz w:val="24"/>
        </w:rPr>
        <w:t>ț</w:t>
      </w:r>
      <w:r>
        <w:rPr>
          <w:sz w:val="24"/>
        </w:rPr>
        <w:t>ină gradul profesional, sesiunea din 21.06.2017 - 243</w:t>
      </w:r>
      <w:r>
        <w:rPr>
          <w:spacing w:val="-7"/>
          <w:sz w:val="24"/>
        </w:rPr>
        <w:t> </w:t>
      </w:r>
      <w:r>
        <w:rPr>
          <w:sz w:val="24"/>
        </w:rPr>
        <w:t>dosare;</w:t>
      </w:r>
    </w:p>
    <w:p>
      <w:pPr>
        <w:pStyle w:val="ListParagraph"/>
        <w:numPr>
          <w:ilvl w:val="0"/>
          <w:numId w:val="26"/>
        </w:numPr>
        <w:tabs>
          <w:tab w:pos="837" w:val="left" w:leader="none"/>
        </w:tabs>
        <w:spacing w:line="240" w:lineRule="auto" w:before="0" w:after="0"/>
        <w:ind w:left="680" w:right="1134" w:firstLine="0"/>
        <w:jc w:val="both"/>
        <w:rPr>
          <w:sz w:val="24"/>
        </w:rPr>
      </w:pPr>
      <w:r>
        <w:rPr>
          <w:sz w:val="24"/>
        </w:rPr>
        <w:t>examen pentru obţinerea titlului de medic specialist în specialitatea anestezie </w:t>
      </w:r>
      <w:r>
        <w:rPr>
          <w:rFonts w:ascii="Tahoma" w:hAnsi="Tahoma"/>
          <w:sz w:val="24"/>
        </w:rPr>
        <w:t>ș</w:t>
      </w:r>
      <w:r>
        <w:rPr>
          <w:sz w:val="24"/>
        </w:rPr>
        <w:t>i terapie intensivă, sesiunea din 16.09.2017 - 33 de</w:t>
      </w:r>
      <w:r>
        <w:rPr>
          <w:spacing w:val="-1"/>
          <w:sz w:val="24"/>
        </w:rPr>
        <w:t> </w:t>
      </w:r>
      <w:r>
        <w:rPr>
          <w:sz w:val="24"/>
        </w:rPr>
        <w:t>dosare;</w:t>
      </w:r>
    </w:p>
    <w:p>
      <w:pPr>
        <w:pStyle w:val="ListParagraph"/>
        <w:numPr>
          <w:ilvl w:val="0"/>
          <w:numId w:val="26"/>
        </w:numPr>
        <w:tabs>
          <w:tab w:pos="823" w:val="left" w:leader="none"/>
        </w:tabs>
        <w:spacing w:line="240" w:lineRule="auto" w:before="0" w:after="0"/>
        <w:ind w:left="680" w:right="1145" w:firstLine="0"/>
        <w:jc w:val="both"/>
        <w:rPr>
          <w:sz w:val="24"/>
        </w:rPr>
      </w:pPr>
      <w:r>
        <w:rPr>
          <w:sz w:val="24"/>
        </w:rPr>
        <w:t>examen pentru obţinerea titlului de medic specialist, medic dentist specialist şi farmacist specialist, sesiunea din 18.10.2017 - 531 de</w:t>
      </w:r>
      <w:r>
        <w:rPr>
          <w:spacing w:val="-1"/>
          <w:sz w:val="24"/>
        </w:rPr>
        <w:t> </w:t>
      </w:r>
      <w:r>
        <w:rPr>
          <w:sz w:val="24"/>
        </w:rPr>
        <w:t>dosare;</w:t>
      </w:r>
    </w:p>
    <w:p>
      <w:pPr>
        <w:pStyle w:val="ListParagraph"/>
        <w:numPr>
          <w:ilvl w:val="0"/>
          <w:numId w:val="26"/>
        </w:numPr>
        <w:tabs>
          <w:tab w:pos="887" w:val="left" w:leader="none"/>
        </w:tabs>
        <w:spacing w:line="240" w:lineRule="auto" w:before="0" w:after="0"/>
        <w:ind w:left="680" w:right="1133" w:firstLine="0"/>
        <w:jc w:val="both"/>
        <w:rPr>
          <w:sz w:val="24"/>
        </w:rPr>
      </w:pPr>
      <w:r>
        <w:rPr>
          <w:sz w:val="24"/>
        </w:rPr>
        <w:t>examen pentru ob</w:t>
      </w:r>
      <w:r>
        <w:rPr>
          <w:rFonts w:ascii="Tahoma" w:hAnsi="Tahoma"/>
          <w:sz w:val="24"/>
        </w:rPr>
        <w:t>ț</w:t>
      </w:r>
      <w:r>
        <w:rPr>
          <w:sz w:val="24"/>
        </w:rPr>
        <w:t>inerea atestatelor de studii complementare - Acupunctură, Homeopatie </w:t>
      </w:r>
      <w:r>
        <w:rPr>
          <w:rFonts w:ascii="Tahoma" w:hAnsi="Tahoma"/>
          <w:sz w:val="24"/>
        </w:rPr>
        <w:t>ș</w:t>
      </w:r>
      <w:r>
        <w:rPr>
          <w:sz w:val="24"/>
        </w:rPr>
        <w:t>i Implantologie, sesiunea din 01.11.2017 - 197 dosare;</w:t>
      </w:r>
    </w:p>
    <w:p>
      <w:pPr>
        <w:pStyle w:val="ListParagraph"/>
        <w:numPr>
          <w:ilvl w:val="0"/>
          <w:numId w:val="26"/>
        </w:numPr>
        <w:tabs>
          <w:tab w:pos="866" w:val="left" w:leader="none"/>
        </w:tabs>
        <w:spacing w:line="240" w:lineRule="auto" w:before="0" w:after="0"/>
        <w:ind w:left="680" w:right="1141" w:firstLine="0"/>
        <w:jc w:val="both"/>
        <w:rPr>
          <w:sz w:val="24"/>
        </w:rPr>
      </w:pPr>
      <w:r>
        <w:rPr>
          <w:sz w:val="24"/>
        </w:rPr>
        <w:t>concurs de intrare în rezidenţiat pe post şi pe loc în domeniile medicină, medicină dentară şi farmacie, sesiunea din 19.11.2017 -1776</w:t>
      </w:r>
      <w:r>
        <w:rPr>
          <w:spacing w:val="-1"/>
          <w:sz w:val="24"/>
        </w:rPr>
        <w:t> </w:t>
      </w:r>
      <w:r>
        <w:rPr>
          <w:sz w:val="24"/>
        </w:rPr>
        <w:t>dosare;</w:t>
      </w:r>
    </w:p>
    <w:p>
      <w:pPr>
        <w:pStyle w:val="BodyText"/>
        <w:ind w:right="1137"/>
        <w:jc w:val="both"/>
      </w:pPr>
      <w:r>
        <w:rPr/>
        <w:t>Pentru toate examenele de mai sus, baza de date s-a completat online, cu respectarea termenelor prevazute.</w:t>
      </w:r>
    </w:p>
    <w:p>
      <w:pPr>
        <w:pStyle w:val="BodyText"/>
        <w:ind w:right="1135"/>
        <w:jc w:val="both"/>
      </w:pPr>
      <w:r>
        <w:rPr/>
        <w:t>Referitor la sesiunea de schimbare a centrelor universitare pentru rezidenţi s-au preluat, verificat şi s-a asigurat întocmirea documentaţiei necesară medicilor rezidenţi în vederea schimbării centrului de pregatire - 58</w:t>
      </w:r>
      <w:r>
        <w:rPr>
          <w:spacing w:val="-3"/>
        </w:rPr>
        <w:t> </w:t>
      </w:r>
      <w:r>
        <w:rPr/>
        <w:t>dosare.</w:t>
      </w:r>
    </w:p>
    <w:p>
      <w:pPr>
        <w:pStyle w:val="BodyText"/>
        <w:spacing w:before="1"/>
        <w:ind w:right="1136"/>
        <w:jc w:val="both"/>
      </w:pPr>
      <w:r>
        <w:rPr/>
        <w:t>S-a participat prin reprezentant (monitor de calitate) în comisia de examen pentru certificarea competenţelor profesionale la calificările: Asistent medical generalist, Asistent medical de  Farmacie, Asistent medical de Balneofiziokinetoterapie şi Asistent medical de  Radiologie  la  Şcoala Sanitară Postliceală Carol Davila</w:t>
      </w:r>
      <w:r>
        <w:rPr>
          <w:spacing w:val="-1"/>
        </w:rPr>
        <w:t> </w:t>
      </w:r>
      <w:r>
        <w:rPr/>
        <w:t>Bucureşti.</w:t>
      </w:r>
    </w:p>
    <w:p>
      <w:pPr>
        <w:pStyle w:val="BodyText"/>
        <w:ind w:right="1135"/>
        <w:jc w:val="both"/>
      </w:pPr>
      <w:r>
        <w:rPr/>
        <w:t>S-au întocmit toate actele necesare încadrării, modificării şi încetării raporturilor de muncă / de serviciu pentru personalul încadrat la Direcţia de Sănătate Publica Bucureşti conform legislaţiei în vigoare.</w:t>
      </w:r>
    </w:p>
    <w:p>
      <w:pPr>
        <w:pStyle w:val="BodyText"/>
        <w:ind w:right="1135"/>
        <w:jc w:val="both"/>
      </w:pPr>
      <w:r>
        <w:rPr/>
        <w:t>S-au trimis Ministerului Sănătăţii toate situaţiile solicitate pe parcursul anului 2017, cu respectarea termenelor limită.</w:t>
      </w:r>
    </w:p>
    <w:p>
      <w:pPr>
        <w:pStyle w:val="BodyText"/>
        <w:ind w:right="1133"/>
        <w:jc w:val="both"/>
      </w:pPr>
      <w:r>
        <w:rPr/>
        <w:t>S-au transmis spre ştiinţă şi corectă aplicare Ordinele, Normele de aplicare şi Circularele Ministerului Sănătăţii către toate unităţile sanitare cu paturi şi fără paturi din subordinea  Ministerului Sănătăţii şi a autorităţilor administraţiei publice locale, de pe raza Municipiului Bucureşti.</w:t>
      </w:r>
    </w:p>
    <w:p>
      <w:pPr>
        <w:pStyle w:val="BodyText"/>
        <w:spacing w:before="1"/>
        <w:ind w:right="1135"/>
        <w:jc w:val="both"/>
      </w:pPr>
      <w:r>
        <w:rPr/>
        <w:t>S-au verificat şi centralizat situaţiile privind cheltuielile de personal conform prevederilor bugetare, defalcat pentru salarii de bază, sporuri pentru condiţii de muncă, alte drepturi salariale şi total cheltuieli de personal, inclusiv cote, pentru unităţile sanitare cu paturi din subordinea Ministerului Sănătăţii, a autorităţilor administraţiei publice locale, de pe raza Municipiului Bucureşti, finanţate din bugetul fondului naţional unic de asigurări sociale de sănătate – 42 unităţi raportoare, 1 centralizator conform machetei Ministerului</w:t>
      </w:r>
      <w:r>
        <w:rPr>
          <w:spacing w:val="-1"/>
        </w:rPr>
        <w:t> </w:t>
      </w:r>
      <w:r>
        <w:rPr/>
        <w:t>Sănătăţii;</w:t>
      </w:r>
    </w:p>
    <w:p>
      <w:pPr>
        <w:pStyle w:val="BodyText"/>
        <w:ind w:right="1136"/>
        <w:jc w:val="both"/>
      </w:pPr>
      <w:r>
        <w:rPr/>
        <w:t>S-au verificat şi centralizat situaţiile privind cheltuielile de personal pe lunile noiembrie şi decembrie 2016, pe surse de finanţare, defalcat pentru salarii de bază, sporuri pentru condiţii de muncă, gărzi, alte drepturi salariale (spor de ture, spor de noapte, spor pentru activitatea desfăşurată în zilele de sâmbătă şi duminică), pentru aparatul propriu al direcţiei de sănătate publică, pentru unităţile</w:t>
      </w:r>
      <w:r>
        <w:rPr>
          <w:spacing w:val="9"/>
        </w:rPr>
        <w:t> </w:t>
      </w:r>
      <w:r>
        <w:rPr/>
        <w:t>sanitare</w:t>
      </w:r>
      <w:r>
        <w:rPr>
          <w:spacing w:val="11"/>
        </w:rPr>
        <w:t> </w:t>
      </w:r>
      <w:r>
        <w:rPr/>
        <w:t>cu</w:t>
      </w:r>
      <w:r>
        <w:rPr>
          <w:spacing w:val="9"/>
        </w:rPr>
        <w:t> </w:t>
      </w:r>
      <w:r>
        <w:rPr/>
        <w:t>paturi</w:t>
      </w:r>
      <w:r>
        <w:rPr>
          <w:spacing w:val="10"/>
        </w:rPr>
        <w:t> </w:t>
      </w:r>
      <w:r>
        <w:rPr/>
        <w:t>şi</w:t>
      </w:r>
      <w:r>
        <w:rPr>
          <w:spacing w:val="11"/>
        </w:rPr>
        <w:t> </w:t>
      </w:r>
      <w:r>
        <w:rPr/>
        <w:t>fără</w:t>
      </w:r>
      <w:r>
        <w:rPr>
          <w:spacing w:val="8"/>
        </w:rPr>
        <w:t> </w:t>
      </w:r>
      <w:r>
        <w:rPr/>
        <w:t>paturi</w:t>
      </w:r>
      <w:r>
        <w:rPr>
          <w:spacing w:val="11"/>
        </w:rPr>
        <w:t> </w:t>
      </w:r>
      <w:r>
        <w:rPr/>
        <w:t>din</w:t>
      </w:r>
      <w:r>
        <w:rPr>
          <w:spacing w:val="10"/>
        </w:rPr>
        <w:t> </w:t>
      </w:r>
      <w:r>
        <w:rPr/>
        <w:t>subordinea</w:t>
      </w:r>
      <w:r>
        <w:rPr>
          <w:spacing w:val="9"/>
        </w:rPr>
        <w:t> </w:t>
      </w:r>
      <w:r>
        <w:rPr/>
        <w:t>Ministerului</w:t>
      </w:r>
      <w:r>
        <w:rPr>
          <w:spacing w:val="13"/>
        </w:rPr>
        <w:t> </w:t>
      </w:r>
      <w:r>
        <w:rPr/>
        <w:t>Sănătăţii,</w:t>
      </w:r>
      <w:r>
        <w:rPr>
          <w:spacing w:val="9"/>
        </w:rPr>
        <w:t> </w:t>
      </w:r>
      <w:r>
        <w:rPr/>
        <w:t>a</w:t>
      </w:r>
      <w:r>
        <w:rPr>
          <w:spacing w:val="17"/>
        </w:rPr>
        <w:t> </w:t>
      </w:r>
      <w:r>
        <w:rPr/>
        <w:t>autorităţilor</w:t>
      </w:r>
    </w:p>
    <w:p>
      <w:pPr>
        <w:spacing w:after="0"/>
        <w:jc w:val="both"/>
        <w:sectPr>
          <w:pgSz w:w="11910" w:h="16840"/>
          <w:pgMar w:header="0" w:footer="658" w:top="1360" w:bottom="920" w:left="400" w:right="0"/>
        </w:sectPr>
      </w:pPr>
    </w:p>
    <w:p>
      <w:pPr>
        <w:pStyle w:val="BodyText"/>
        <w:spacing w:before="60"/>
        <w:ind w:right="1132"/>
        <w:jc w:val="both"/>
      </w:pPr>
      <w:r>
        <w:rPr/>
        <w:t>administraţiei publice locale, de pe raza Municipiului Bucureşti – 20 unităţi raportoare, 1 centralizator conform machetei Ministerului Sănătăţii;</w:t>
      </w:r>
    </w:p>
    <w:p>
      <w:pPr>
        <w:pStyle w:val="BodyText"/>
        <w:spacing w:before="1"/>
        <w:ind w:right="1135"/>
        <w:jc w:val="both"/>
      </w:pPr>
      <w:r>
        <w:rPr/>
        <w:t>S-au verificat şi centralizat situaţiile referitoare la numărul de persoane pe funcţii, grade/trepte profesionale pe gradaţii, pentru posturile ocupate şi vacante aprobate în ştatele de funcţii, defalcat pentru funcţii comune, de execuţie, cercetare, conducere, conform anexelor din OUG nr.57/2015, pentru aparatul propriu al direcţiei de sănătate publică, pentru unităţile sanitare cu paturi şi fără paturi din subordinea Ministerului Sănătăţii, a autorităţilor administraţiei publice locale, de pe raza Municipiului Bucureşti - 51 unităţi raportoare, 1 centralizator conform machetei Ministerului Sănătăţii;</w:t>
      </w:r>
    </w:p>
    <w:p>
      <w:pPr>
        <w:pStyle w:val="BodyText"/>
        <w:ind w:right="1135"/>
        <w:jc w:val="both"/>
      </w:pPr>
      <w:r>
        <w:rPr/>
        <w:t>S-au verificat şi centralizat situaţiile privind deficitul de personal în sistemul public de sănătate, defalcat pe specialităţi pentru medici, medici dentişti, farmacişti, asistenţi medicali, biologi, biochimişti, chimişti, pentru perioada actuală şi pentru următorii 20 de ani, pentru unităţile sanitare cu paturi şi fără paturi din subordinea Ministerului Sănătăţii, a autorităţilor administraţiei publice locale, de pe raza Municipiului Bucuresti - 49 unităţi raportoare, 1centralizator conform machetei Ministerului Sănătăţii;</w:t>
      </w:r>
    </w:p>
    <w:p>
      <w:pPr>
        <w:pStyle w:val="BodyText"/>
        <w:spacing w:before="1"/>
        <w:ind w:right="1135"/>
        <w:jc w:val="both"/>
      </w:pPr>
      <w:r>
        <w:rPr/>
        <w:t>S-au verificat şi centralizat situaţiile privind cuantumul salariului de bază actual în plată şi a sumei compensatorie aferentă titlului ştiintific de doctor, pe funcţii şi grad profesional, pentru unităţile sanitare cu paturi şi fără paturi din subordinea Ministerului Sănătăţii, a autorităţilor administraţiei publice locale, de pe raza Municipiului Bucuresti - 49 unităţi raportoare, 1 centralizator conform machetei Ministerului Sănătăţii;</w:t>
      </w:r>
    </w:p>
    <w:p>
      <w:pPr>
        <w:pStyle w:val="BodyText"/>
        <w:ind w:right="1132"/>
        <w:jc w:val="both"/>
      </w:pPr>
      <w:r>
        <w:rPr/>
        <w:t>S-au verificat şi centralizat situaţiile privind cheltuielile realizate cu personalul şi numărul mediu de salariaţi pe unele spitale clinice şi altele decât cele clinice, pentru anul 2016, pe funcţii, cod COR, grad/treaptă, nivel de instruire, pentru unităţile sanitare cu paturi din subordinea Ministerului Sănătăţii, a autorităţilor administraţiei publice locale, de pe raza Municipiului Bucuresti; - 41 unităţi raportoare, 1 centralizator conform machetei Ministerului Sănătăţii;</w:t>
      </w:r>
    </w:p>
    <w:p>
      <w:pPr>
        <w:pStyle w:val="BodyText"/>
        <w:ind w:right="1135"/>
        <w:jc w:val="both"/>
      </w:pPr>
      <w:r>
        <w:rPr/>
        <w:t>S-au verificat şi centralizat propunerile transmise pentru estimarea necesarului de specialişti pentru următorii 3-6 ani, ţinând cont de migraţia personalului, pensionari, spor natural, etc., în vederea demarării acţiunilor necesare organizării concursului naţional de intrare în rezidenţiat pentru domeniile: medicină, medicină dentară şi farmacie, pentru unităţile din subordinea Ministerului Sănătăţii, autorităţilor administraţiei publice locale, de pe raza Municipiului Bucureşti precum şi pentru aparatul propriu al Direcţiei de Sănătate Publică a Municipiului Bucureşti - 51 unităţi raportoare, 2 centralizatoare conform machetelor Ministerului Sănătăţii;</w:t>
      </w:r>
    </w:p>
    <w:p>
      <w:pPr>
        <w:pStyle w:val="BodyText"/>
        <w:spacing w:before="1"/>
        <w:ind w:right="1133"/>
        <w:jc w:val="both"/>
      </w:pPr>
      <w:r>
        <w:rPr/>
        <w:t>S-au verificat şi centralizat situaţiile privind numărul de personal pe structuri organizatorice la data de 01.08.2017, însoţite de ştatele de funcţii şi de organigrame, pentru aparatul propriu al Direcţiei de Sănătate Publică, pentru unităţile sanitare cu şi fără paturi din subordinea Ministerului Sănătăţii - 37 unităţi raportoare, 1 anexă conform machetei Ministerului</w:t>
      </w:r>
      <w:r>
        <w:rPr>
          <w:spacing w:val="-1"/>
        </w:rPr>
        <w:t> </w:t>
      </w:r>
      <w:r>
        <w:rPr/>
        <w:t>Sănătăţii;</w:t>
      </w:r>
    </w:p>
    <w:p>
      <w:pPr>
        <w:pStyle w:val="BodyText"/>
        <w:ind w:right="1130"/>
        <w:jc w:val="both"/>
      </w:pPr>
      <w:r>
        <w:rPr/>
        <w:t>S-au verificat şi centralizat situaţiile evaluarea elementelor necesare elaborării regulamentului- cadru, avand în vedere prevederile Legii-cadru nr. 153/2017, pentru aparatul propriu al Direcţiei de Sănătate Publică, pentru unităţile sanitare cu şi fără paturi din subordinea Ministerului Sănătăţii - 37 unităţi raportoare, 1 anexă conform machetei Ministerului</w:t>
      </w:r>
      <w:r>
        <w:rPr>
          <w:spacing w:val="-1"/>
        </w:rPr>
        <w:t> </w:t>
      </w:r>
      <w:r>
        <w:rPr/>
        <w:t>Sănătăţii;</w:t>
      </w:r>
    </w:p>
    <w:p>
      <w:pPr>
        <w:pStyle w:val="BodyText"/>
        <w:ind w:right="1135"/>
        <w:jc w:val="both"/>
      </w:pPr>
      <w:r>
        <w:rPr/>
        <w:t>S-au verificat şi centralizat situaţiile privind numărul de personal pentru medicina de urgenţă, pentru structurile UPU, CPU, UPU-SMURD, defalcat pe sexe, grupe de vârstă, tip contract, defalcat normat, existent şi vacant, pentru anii 2011-2016, defalcat pe ani, pentru unităţile sanitare cu paturi din subordinea Ministerului Sănătăţii, a autorităţilor administraţiei publice locale - 11 unităţi raportoare, 1 centralizator defalcat pe 6 ani conform machetei Ministerului Sănătăţii;</w:t>
      </w:r>
    </w:p>
    <w:p>
      <w:pPr>
        <w:pStyle w:val="BodyText"/>
        <w:ind w:right="1134"/>
        <w:jc w:val="both"/>
      </w:pPr>
      <w:r>
        <w:rPr/>
        <w:t>S-au verificat şi centralizat situaţiile privind numarul de posturi aprobate în ştatul de funcţii, numărul de posturi ocupate, cheltuielile de personal, lunar pentru perioada noiembrie 2016-august 2017, pentru unităţile sanitare cu paturi şi fără paturi din subordinea Ministerului Sănătăţii, a autorităţilor administraţiei publice locale - 49 unităţi raportoare, 1 centralizator conform machetei Ministerului</w:t>
      </w:r>
      <w:r>
        <w:rPr>
          <w:spacing w:val="-1"/>
        </w:rPr>
        <w:t> </w:t>
      </w:r>
      <w:r>
        <w:rPr/>
        <w:t>Sănătăţii;</w:t>
      </w:r>
    </w:p>
    <w:p>
      <w:pPr>
        <w:spacing w:after="0"/>
        <w:jc w:val="both"/>
        <w:sectPr>
          <w:pgSz w:w="11910" w:h="16840"/>
          <w:pgMar w:header="0" w:footer="658" w:top="1360" w:bottom="920" w:left="400" w:right="0"/>
        </w:sectPr>
      </w:pPr>
    </w:p>
    <w:p>
      <w:pPr>
        <w:pStyle w:val="BodyText"/>
        <w:spacing w:before="60"/>
        <w:ind w:right="1132"/>
        <w:jc w:val="both"/>
      </w:pPr>
      <w:r>
        <w:rPr/>
        <w:t>S-au verificat şi centralizat machetele cu analiza financiara privind influenţele financiare determinate de creşterile salariale prevăzute de Legea-cadru nr.153/2017, pentru unităţile sanitare aflate în relaţie contractuală cu casa de asigurări de sănătate, pentru unităţile sanitare cu paturi din subordinea Ministerului Sănătăţii şi a autorităţilor administraţiei publice locale - 42 unităţi raportoare, 1 centralizator conform machetei Ministerului</w:t>
      </w:r>
      <w:r>
        <w:rPr>
          <w:spacing w:val="-2"/>
        </w:rPr>
        <w:t> </w:t>
      </w:r>
      <w:r>
        <w:rPr/>
        <w:t>Sănătăţii;</w:t>
      </w:r>
    </w:p>
    <w:p>
      <w:pPr>
        <w:pStyle w:val="BodyText"/>
        <w:spacing w:before="1"/>
        <w:ind w:right="1133"/>
        <w:jc w:val="both"/>
      </w:pPr>
      <w:r>
        <w:rPr/>
        <w:t>Alte operaţiuni aferente activităţilor de centralizare şi verificare a datelor solicitate: relaţii telefonice cu Ministerul Sănătăţii şi unităţile sanitare care raportează / corespondenţă pe fax, email, scan / arhivarea pe suport hârtie a documentelor primite în original de la unităţile raportoare.</w:t>
      </w:r>
    </w:p>
    <w:sectPr>
      <w:pgSz w:w="11910" w:h="16840"/>
      <w:pgMar w:header="0" w:footer="658" w:top="1360" w:bottom="920" w:left="4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Tahoma">
    <w:altName w:val="Tahoma"/>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545.76001pt;margin-top:794.004517pt;width:11pt;height:13.05pt;mso-position-horizontal-relative:page;mso-position-vertical-relative:page;z-index:-265539584" type="#_x0000_t202" filled="false" stroked="false">
          <v:textbox inset="0,0,0,0">
            <w:txbxContent>
              <w:p>
                <w:pPr>
                  <w:spacing w:before="10"/>
                  <w:ind w:left="60" w:right="0" w:firstLine="0"/>
                  <w:jc w:val="left"/>
                  <w:rPr>
                    <w:sz w:val="20"/>
                  </w:rPr>
                </w:pPr>
                <w:r>
                  <w:rPr/>
                  <w:fldChar w:fldCharType="begin"/>
                </w:r>
                <w:r>
                  <w:rPr>
                    <w:w w:val="99"/>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40.719971pt;margin-top:794.004517pt;width:16.1pt;height:13.05pt;mso-position-horizontal-relative:page;mso-position-vertical-relative:page;z-index:-265538560"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56.940002pt;margin-top:547.404541pt;width:16.1pt;height:13.05pt;mso-position-horizontal-relative:page;mso-position-vertical-relative:page;z-index:-265537536"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4"/>
      </w:rPr>
    </w:pPr>
    <w:r>
      <w:rPr/>
      <w:pict>
        <v:shape style="position:absolute;margin-left:525.479980pt;margin-top:794.004517pt;width:16.1pt;height:13.05pt;mso-position-horizontal-relative:page;mso-position-vertical-relative:page;z-index:-265536512"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680" w:hanging="263"/>
        <w:jc w:val="left"/>
      </w:pPr>
      <w:rPr>
        <w:rFonts w:hint="default" w:ascii="Times New Roman" w:hAnsi="Times New Roman" w:eastAsia="Times New Roman" w:cs="Times New Roman"/>
        <w:color w:val="8F0000"/>
        <w:spacing w:val="-1"/>
        <w:w w:val="100"/>
        <w:sz w:val="24"/>
        <w:szCs w:val="24"/>
        <w:lang w:val="ro-RO" w:eastAsia="ro-RO" w:bidi="ro-RO"/>
      </w:rPr>
    </w:lvl>
    <w:lvl w:ilvl="1">
      <w:start w:val="0"/>
      <w:numFmt w:val="bullet"/>
      <w:lvlText w:val="•"/>
      <w:lvlJc w:val="left"/>
      <w:pPr>
        <w:ind w:left="1762" w:hanging="263"/>
      </w:pPr>
      <w:rPr>
        <w:rFonts w:hint="default"/>
        <w:lang w:val="ro-RO" w:eastAsia="ro-RO" w:bidi="ro-RO"/>
      </w:rPr>
    </w:lvl>
    <w:lvl w:ilvl="2">
      <w:start w:val="0"/>
      <w:numFmt w:val="bullet"/>
      <w:lvlText w:val="•"/>
      <w:lvlJc w:val="left"/>
      <w:pPr>
        <w:ind w:left="2845" w:hanging="263"/>
      </w:pPr>
      <w:rPr>
        <w:rFonts w:hint="default"/>
        <w:lang w:val="ro-RO" w:eastAsia="ro-RO" w:bidi="ro-RO"/>
      </w:rPr>
    </w:lvl>
    <w:lvl w:ilvl="3">
      <w:start w:val="0"/>
      <w:numFmt w:val="bullet"/>
      <w:lvlText w:val="•"/>
      <w:lvlJc w:val="left"/>
      <w:pPr>
        <w:ind w:left="3927" w:hanging="263"/>
      </w:pPr>
      <w:rPr>
        <w:rFonts w:hint="default"/>
        <w:lang w:val="ro-RO" w:eastAsia="ro-RO" w:bidi="ro-RO"/>
      </w:rPr>
    </w:lvl>
    <w:lvl w:ilvl="4">
      <w:start w:val="0"/>
      <w:numFmt w:val="bullet"/>
      <w:lvlText w:val="•"/>
      <w:lvlJc w:val="left"/>
      <w:pPr>
        <w:ind w:left="5010" w:hanging="263"/>
      </w:pPr>
      <w:rPr>
        <w:rFonts w:hint="default"/>
        <w:lang w:val="ro-RO" w:eastAsia="ro-RO" w:bidi="ro-RO"/>
      </w:rPr>
    </w:lvl>
    <w:lvl w:ilvl="5">
      <w:start w:val="0"/>
      <w:numFmt w:val="bullet"/>
      <w:lvlText w:val="•"/>
      <w:lvlJc w:val="left"/>
      <w:pPr>
        <w:ind w:left="6093" w:hanging="263"/>
      </w:pPr>
      <w:rPr>
        <w:rFonts w:hint="default"/>
        <w:lang w:val="ro-RO" w:eastAsia="ro-RO" w:bidi="ro-RO"/>
      </w:rPr>
    </w:lvl>
    <w:lvl w:ilvl="6">
      <w:start w:val="0"/>
      <w:numFmt w:val="bullet"/>
      <w:lvlText w:val="•"/>
      <w:lvlJc w:val="left"/>
      <w:pPr>
        <w:ind w:left="7175" w:hanging="263"/>
      </w:pPr>
      <w:rPr>
        <w:rFonts w:hint="default"/>
        <w:lang w:val="ro-RO" w:eastAsia="ro-RO" w:bidi="ro-RO"/>
      </w:rPr>
    </w:lvl>
    <w:lvl w:ilvl="7">
      <w:start w:val="0"/>
      <w:numFmt w:val="bullet"/>
      <w:lvlText w:val="•"/>
      <w:lvlJc w:val="left"/>
      <w:pPr>
        <w:ind w:left="8258" w:hanging="263"/>
      </w:pPr>
      <w:rPr>
        <w:rFonts w:hint="default"/>
        <w:lang w:val="ro-RO" w:eastAsia="ro-RO" w:bidi="ro-RO"/>
      </w:rPr>
    </w:lvl>
    <w:lvl w:ilvl="8">
      <w:start w:val="0"/>
      <w:numFmt w:val="bullet"/>
      <w:lvlText w:val="•"/>
      <w:lvlJc w:val="left"/>
      <w:pPr>
        <w:ind w:left="9341" w:hanging="263"/>
      </w:pPr>
      <w:rPr>
        <w:rFonts w:hint="default"/>
        <w:lang w:val="ro-RO" w:eastAsia="ro-RO" w:bidi="ro-RO"/>
      </w:rPr>
    </w:lvl>
  </w:abstractNum>
  <w:abstractNum w:abstractNumId="29">
    <w:multiLevelType w:val="hybridMultilevel"/>
    <w:lvl w:ilvl="0">
      <w:start w:val="1"/>
      <w:numFmt w:val="decimal"/>
      <w:lvlText w:val="%1."/>
      <w:lvlJc w:val="left"/>
      <w:pPr>
        <w:ind w:left="680" w:hanging="181"/>
        <w:jc w:val="left"/>
      </w:pPr>
      <w:rPr>
        <w:rFonts w:hint="default" w:ascii="Times New Roman" w:hAnsi="Times New Roman" w:eastAsia="Times New Roman" w:cs="Times New Roman"/>
        <w:spacing w:val="-2"/>
        <w:w w:val="99"/>
        <w:sz w:val="22"/>
        <w:szCs w:val="22"/>
        <w:lang w:val="ro-RO" w:eastAsia="ro-RO" w:bidi="ro-RO"/>
      </w:rPr>
    </w:lvl>
    <w:lvl w:ilvl="1">
      <w:start w:val="0"/>
      <w:numFmt w:val="bullet"/>
      <w:lvlText w:val="•"/>
      <w:lvlJc w:val="left"/>
      <w:pPr>
        <w:ind w:left="1762" w:hanging="181"/>
      </w:pPr>
      <w:rPr>
        <w:rFonts w:hint="default"/>
        <w:lang w:val="ro-RO" w:eastAsia="ro-RO" w:bidi="ro-RO"/>
      </w:rPr>
    </w:lvl>
    <w:lvl w:ilvl="2">
      <w:start w:val="0"/>
      <w:numFmt w:val="bullet"/>
      <w:lvlText w:val="•"/>
      <w:lvlJc w:val="left"/>
      <w:pPr>
        <w:ind w:left="2845" w:hanging="181"/>
      </w:pPr>
      <w:rPr>
        <w:rFonts w:hint="default"/>
        <w:lang w:val="ro-RO" w:eastAsia="ro-RO" w:bidi="ro-RO"/>
      </w:rPr>
    </w:lvl>
    <w:lvl w:ilvl="3">
      <w:start w:val="0"/>
      <w:numFmt w:val="bullet"/>
      <w:lvlText w:val="•"/>
      <w:lvlJc w:val="left"/>
      <w:pPr>
        <w:ind w:left="3927" w:hanging="181"/>
      </w:pPr>
      <w:rPr>
        <w:rFonts w:hint="default"/>
        <w:lang w:val="ro-RO" w:eastAsia="ro-RO" w:bidi="ro-RO"/>
      </w:rPr>
    </w:lvl>
    <w:lvl w:ilvl="4">
      <w:start w:val="0"/>
      <w:numFmt w:val="bullet"/>
      <w:lvlText w:val="•"/>
      <w:lvlJc w:val="left"/>
      <w:pPr>
        <w:ind w:left="5010" w:hanging="181"/>
      </w:pPr>
      <w:rPr>
        <w:rFonts w:hint="default"/>
        <w:lang w:val="ro-RO" w:eastAsia="ro-RO" w:bidi="ro-RO"/>
      </w:rPr>
    </w:lvl>
    <w:lvl w:ilvl="5">
      <w:start w:val="0"/>
      <w:numFmt w:val="bullet"/>
      <w:lvlText w:val="•"/>
      <w:lvlJc w:val="left"/>
      <w:pPr>
        <w:ind w:left="6093" w:hanging="181"/>
      </w:pPr>
      <w:rPr>
        <w:rFonts w:hint="default"/>
        <w:lang w:val="ro-RO" w:eastAsia="ro-RO" w:bidi="ro-RO"/>
      </w:rPr>
    </w:lvl>
    <w:lvl w:ilvl="6">
      <w:start w:val="0"/>
      <w:numFmt w:val="bullet"/>
      <w:lvlText w:val="•"/>
      <w:lvlJc w:val="left"/>
      <w:pPr>
        <w:ind w:left="7175" w:hanging="181"/>
      </w:pPr>
      <w:rPr>
        <w:rFonts w:hint="default"/>
        <w:lang w:val="ro-RO" w:eastAsia="ro-RO" w:bidi="ro-RO"/>
      </w:rPr>
    </w:lvl>
    <w:lvl w:ilvl="7">
      <w:start w:val="0"/>
      <w:numFmt w:val="bullet"/>
      <w:lvlText w:val="•"/>
      <w:lvlJc w:val="left"/>
      <w:pPr>
        <w:ind w:left="8258" w:hanging="181"/>
      </w:pPr>
      <w:rPr>
        <w:rFonts w:hint="default"/>
        <w:lang w:val="ro-RO" w:eastAsia="ro-RO" w:bidi="ro-RO"/>
      </w:rPr>
    </w:lvl>
    <w:lvl w:ilvl="8">
      <w:start w:val="0"/>
      <w:numFmt w:val="bullet"/>
      <w:lvlText w:val="•"/>
      <w:lvlJc w:val="left"/>
      <w:pPr>
        <w:ind w:left="9341" w:hanging="181"/>
      </w:pPr>
      <w:rPr>
        <w:rFonts w:hint="default"/>
        <w:lang w:val="ro-RO" w:eastAsia="ro-RO" w:bidi="ro-RO"/>
      </w:rPr>
    </w:lvl>
  </w:abstractNum>
  <w:abstractNum w:abstractNumId="28">
    <w:multiLevelType w:val="hybridMultilevel"/>
    <w:lvl w:ilvl="0">
      <w:start w:val="1"/>
      <w:numFmt w:val="decimal"/>
      <w:lvlText w:val="%1."/>
      <w:lvlJc w:val="left"/>
      <w:pPr>
        <w:ind w:left="680" w:hanging="181"/>
        <w:jc w:val="left"/>
      </w:pPr>
      <w:rPr>
        <w:rFonts w:hint="default" w:ascii="Times New Roman" w:hAnsi="Times New Roman" w:eastAsia="Times New Roman" w:cs="Times New Roman"/>
        <w:w w:val="100"/>
        <w:sz w:val="22"/>
        <w:szCs w:val="22"/>
        <w:lang w:val="ro-RO" w:eastAsia="ro-RO" w:bidi="ro-RO"/>
      </w:rPr>
    </w:lvl>
    <w:lvl w:ilvl="1">
      <w:start w:val="0"/>
      <w:numFmt w:val="bullet"/>
      <w:lvlText w:val="•"/>
      <w:lvlJc w:val="left"/>
      <w:pPr>
        <w:ind w:left="1762" w:hanging="181"/>
      </w:pPr>
      <w:rPr>
        <w:rFonts w:hint="default"/>
        <w:lang w:val="ro-RO" w:eastAsia="ro-RO" w:bidi="ro-RO"/>
      </w:rPr>
    </w:lvl>
    <w:lvl w:ilvl="2">
      <w:start w:val="0"/>
      <w:numFmt w:val="bullet"/>
      <w:lvlText w:val="•"/>
      <w:lvlJc w:val="left"/>
      <w:pPr>
        <w:ind w:left="2845" w:hanging="181"/>
      </w:pPr>
      <w:rPr>
        <w:rFonts w:hint="default"/>
        <w:lang w:val="ro-RO" w:eastAsia="ro-RO" w:bidi="ro-RO"/>
      </w:rPr>
    </w:lvl>
    <w:lvl w:ilvl="3">
      <w:start w:val="0"/>
      <w:numFmt w:val="bullet"/>
      <w:lvlText w:val="•"/>
      <w:lvlJc w:val="left"/>
      <w:pPr>
        <w:ind w:left="3927" w:hanging="181"/>
      </w:pPr>
      <w:rPr>
        <w:rFonts w:hint="default"/>
        <w:lang w:val="ro-RO" w:eastAsia="ro-RO" w:bidi="ro-RO"/>
      </w:rPr>
    </w:lvl>
    <w:lvl w:ilvl="4">
      <w:start w:val="0"/>
      <w:numFmt w:val="bullet"/>
      <w:lvlText w:val="•"/>
      <w:lvlJc w:val="left"/>
      <w:pPr>
        <w:ind w:left="5010" w:hanging="181"/>
      </w:pPr>
      <w:rPr>
        <w:rFonts w:hint="default"/>
        <w:lang w:val="ro-RO" w:eastAsia="ro-RO" w:bidi="ro-RO"/>
      </w:rPr>
    </w:lvl>
    <w:lvl w:ilvl="5">
      <w:start w:val="0"/>
      <w:numFmt w:val="bullet"/>
      <w:lvlText w:val="•"/>
      <w:lvlJc w:val="left"/>
      <w:pPr>
        <w:ind w:left="6093" w:hanging="181"/>
      </w:pPr>
      <w:rPr>
        <w:rFonts w:hint="default"/>
        <w:lang w:val="ro-RO" w:eastAsia="ro-RO" w:bidi="ro-RO"/>
      </w:rPr>
    </w:lvl>
    <w:lvl w:ilvl="6">
      <w:start w:val="0"/>
      <w:numFmt w:val="bullet"/>
      <w:lvlText w:val="•"/>
      <w:lvlJc w:val="left"/>
      <w:pPr>
        <w:ind w:left="7175" w:hanging="181"/>
      </w:pPr>
      <w:rPr>
        <w:rFonts w:hint="default"/>
        <w:lang w:val="ro-RO" w:eastAsia="ro-RO" w:bidi="ro-RO"/>
      </w:rPr>
    </w:lvl>
    <w:lvl w:ilvl="7">
      <w:start w:val="0"/>
      <w:numFmt w:val="bullet"/>
      <w:lvlText w:val="•"/>
      <w:lvlJc w:val="left"/>
      <w:pPr>
        <w:ind w:left="8258" w:hanging="181"/>
      </w:pPr>
      <w:rPr>
        <w:rFonts w:hint="default"/>
        <w:lang w:val="ro-RO" w:eastAsia="ro-RO" w:bidi="ro-RO"/>
      </w:rPr>
    </w:lvl>
    <w:lvl w:ilvl="8">
      <w:start w:val="0"/>
      <w:numFmt w:val="bullet"/>
      <w:lvlText w:val="•"/>
      <w:lvlJc w:val="left"/>
      <w:pPr>
        <w:ind w:left="9341" w:hanging="181"/>
      </w:pPr>
      <w:rPr>
        <w:rFonts w:hint="default"/>
        <w:lang w:val="ro-RO" w:eastAsia="ro-RO" w:bidi="ro-RO"/>
      </w:rPr>
    </w:lvl>
  </w:abstractNum>
  <w:abstractNum w:abstractNumId="27">
    <w:multiLevelType w:val="hybridMultilevel"/>
    <w:lvl w:ilvl="0">
      <w:start w:val="1"/>
      <w:numFmt w:val="decimal"/>
      <w:lvlText w:val="%1."/>
      <w:lvlJc w:val="left"/>
      <w:pPr>
        <w:ind w:left="680" w:hanging="183"/>
        <w:jc w:val="left"/>
      </w:pPr>
      <w:rPr>
        <w:rFonts w:hint="default" w:ascii="Times New Roman" w:hAnsi="Times New Roman" w:eastAsia="Times New Roman" w:cs="Times New Roman"/>
        <w:w w:val="100"/>
        <w:sz w:val="22"/>
        <w:szCs w:val="22"/>
        <w:lang w:val="ro-RO" w:eastAsia="ro-RO" w:bidi="ro-RO"/>
      </w:rPr>
    </w:lvl>
    <w:lvl w:ilvl="1">
      <w:start w:val="0"/>
      <w:numFmt w:val="bullet"/>
      <w:lvlText w:val="•"/>
      <w:lvlJc w:val="left"/>
      <w:pPr>
        <w:ind w:left="1762" w:hanging="183"/>
      </w:pPr>
      <w:rPr>
        <w:rFonts w:hint="default"/>
        <w:lang w:val="ro-RO" w:eastAsia="ro-RO" w:bidi="ro-RO"/>
      </w:rPr>
    </w:lvl>
    <w:lvl w:ilvl="2">
      <w:start w:val="0"/>
      <w:numFmt w:val="bullet"/>
      <w:lvlText w:val="•"/>
      <w:lvlJc w:val="left"/>
      <w:pPr>
        <w:ind w:left="2845" w:hanging="183"/>
      </w:pPr>
      <w:rPr>
        <w:rFonts w:hint="default"/>
        <w:lang w:val="ro-RO" w:eastAsia="ro-RO" w:bidi="ro-RO"/>
      </w:rPr>
    </w:lvl>
    <w:lvl w:ilvl="3">
      <w:start w:val="0"/>
      <w:numFmt w:val="bullet"/>
      <w:lvlText w:val="•"/>
      <w:lvlJc w:val="left"/>
      <w:pPr>
        <w:ind w:left="3927" w:hanging="183"/>
      </w:pPr>
      <w:rPr>
        <w:rFonts w:hint="default"/>
        <w:lang w:val="ro-RO" w:eastAsia="ro-RO" w:bidi="ro-RO"/>
      </w:rPr>
    </w:lvl>
    <w:lvl w:ilvl="4">
      <w:start w:val="0"/>
      <w:numFmt w:val="bullet"/>
      <w:lvlText w:val="•"/>
      <w:lvlJc w:val="left"/>
      <w:pPr>
        <w:ind w:left="5010" w:hanging="183"/>
      </w:pPr>
      <w:rPr>
        <w:rFonts w:hint="default"/>
        <w:lang w:val="ro-RO" w:eastAsia="ro-RO" w:bidi="ro-RO"/>
      </w:rPr>
    </w:lvl>
    <w:lvl w:ilvl="5">
      <w:start w:val="0"/>
      <w:numFmt w:val="bullet"/>
      <w:lvlText w:val="•"/>
      <w:lvlJc w:val="left"/>
      <w:pPr>
        <w:ind w:left="6093" w:hanging="183"/>
      </w:pPr>
      <w:rPr>
        <w:rFonts w:hint="default"/>
        <w:lang w:val="ro-RO" w:eastAsia="ro-RO" w:bidi="ro-RO"/>
      </w:rPr>
    </w:lvl>
    <w:lvl w:ilvl="6">
      <w:start w:val="0"/>
      <w:numFmt w:val="bullet"/>
      <w:lvlText w:val="•"/>
      <w:lvlJc w:val="left"/>
      <w:pPr>
        <w:ind w:left="7175" w:hanging="183"/>
      </w:pPr>
      <w:rPr>
        <w:rFonts w:hint="default"/>
        <w:lang w:val="ro-RO" w:eastAsia="ro-RO" w:bidi="ro-RO"/>
      </w:rPr>
    </w:lvl>
    <w:lvl w:ilvl="7">
      <w:start w:val="0"/>
      <w:numFmt w:val="bullet"/>
      <w:lvlText w:val="•"/>
      <w:lvlJc w:val="left"/>
      <w:pPr>
        <w:ind w:left="8258" w:hanging="183"/>
      </w:pPr>
      <w:rPr>
        <w:rFonts w:hint="default"/>
        <w:lang w:val="ro-RO" w:eastAsia="ro-RO" w:bidi="ro-RO"/>
      </w:rPr>
    </w:lvl>
    <w:lvl w:ilvl="8">
      <w:start w:val="0"/>
      <w:numFmt w:val="bullet"/>
      <w:lvlText w:val="•"/>
      <w:lvlJc w:val="left"/>
      <w:pPr>
        <w:ind w:left="9341" w:hanging="183"/>
      </w:pPr>
      <w:rPr>
        <w:rFonts w:hint="default"/>
        <w:lang w:val="ro-RO" w:eastAsia="ro-RO" w:bidi="ro-RO"/>
      </w:rPr>
    </w:lvl>
  </w:abstractNum>
  <w:abstractNum w:abstractNumId="26">
    <w:multiLevelType w:val="hybridMultilevel"/>
    <w:lvl w:ilvl="0">
      <w:start w:val="1"/>
      <w:numFmt w:val="decimal"/>
      <w:lvlText w:val="%1."/>
      <w:lvlJc w:val="left"/>
      <w:pPr>
        <w:ind w:left="680" w:hanging="181"/>
        <w:jc w:val="left"/>
      </w:pPr>
      <w:rPr>
        <w:rFonts w:hint="default" w:ascii="Times New Roman" w:hAnsi="Times New Roman" w:eastAsia="Times New Roman" w:cs="Times New Roman"/>
        <w:spacing w:val="-22"/>
        <w:w w:val="100"/>
        <w:sz w:val="22"/>
        <w:szCs w:val="22"/>
        <w:lang w:val="ro-RO" w:eastAsia="ro-RO" w:bidi="ro-RO"/>
      </w:rPr>
    </w:lvl>
    <w:lvl w:ilvl="1">
      <w:start w:val="0"/>
      <w:numFmt w:val="bullet"/>
      <w:lvlText w:val="•"/>
      <w:lvlJc w:val="left"/>
      <w:pPr>
        <w:ind w:left="1762" w:hanging="181"/>
      </w:pPr>
      <w:rPr>
        <w:rFonts w:hint="default"/>
        <w:lang w:val="ro-RO" w:eastAsia="ro-RO" w:bidi="ro-RO"/>
      </w:rPr>
    </w:lvl>
    <w:lvl w:ilvl="2">
      <w:start w:val="0"/>
      <w:numFmt w:val="bullet"/>
      <w:lvlText w:val="•"/>
      <w:lvlJc w:val="left"/>
      <w:pPr>
        <w:ind w:left="2845" w:hanging="181"/>
      </w:pPr>
      <w:rPr>
        <w:rFonts w:hint="default"/>
        <w:lang w:val="ro-RO" w:eastAsia="ro-RO" w:bidi="ro-RO"/>
      </w:rPr>
    </w:lvl>
    <w:lvl w:ilvl="3">
      <w:start w:val="0"/>
      <w:numFmt w:val="bullet"/>
      <w:lvlText w:val="•"/>
      <w:lvlJc w:val="left"/>
      <w:pPr>
        <w:ind w:left="3927" w:hanging="181"/>
      </w:pPr>
      <w:rPr>
        <w:rFonts w:hint="default"/>
        <w:lang w:val="ro-RO" w:eastAsia="ro-RO" w:bidi="ro-RO"/>
      </w:rPr>
    </w:lvl>
    <w:lvl w:ilvl="4">
      <w:start w:val="0"/>
      <w:numFmt w:val="bullet"/>
      <w:lvlText w:val="•"/>
      <w:lvlJc w:val="left"/>
      <w:pPr>
        <w:ind w:left="5010" w:hanging="181"/>
      </w:pPr>
      <w:rPr>
        <w:rFonts w:hint="default"/>
        <w:lang w:val="ro-RO" w:eastAsia="ro-RO" w:bidi="ro-RO"/>
      </w:rPr>
    </w:lvl>
    <w:lvl w:ilvl="5">
      <w:start w:val="0"/>
      <w:numFmt w:val="bullet"/>
      <w:lvlText w:val="•"/>
      <w:lvlJc w:val="left"/>
      <w:pPr>
        <w:ind w:left="6093" w:hanging="181"/>
      </w:pPr>
      <w:rPr>
        <w:rFonts w:hint="default"/>
        <w:lang w:val="ro-RO" w:eastAsia="ro-RO" w:bidi="ro-RO"/>
      </w:rPr>
    </w:lvl>
    <w:lvl w:ilvl="6">
      <w:start w:val="0"/>
      <w:numFmt w:val="bullet"/>
      <w:lvlText w:val="•"/>
      <w:lvlJc w:val="left"/>
      <w:pPr>
        <w:ind w:left="7175" w:hanging="181"/>
      </w:pPr>
      <w:rPr>
        <w:rFonts w:hint="default"/>
        <w:lang w:val="ro-RO" w:eastAsia="ro-RO" w:bidi="ro-RO"/>
      </w:rPr>
    </w:lvl>
    <w:lvl w:ilvl="7">
      <w:start w:val="0"/>
      <w:numFmt w:val="bullet"/>
      <w:lvlText w:val="•"/>
      <w:lvlJc w:val="left"/>
      <w:pPr>
        <w:ind w:left="8258" w:hanging="181"/>
      </w:pPr>
      <w:rPr>
        <w:rFonts w:hint="default"/>
        <w:lang w:val="ro-RO" w:eastAsia="ro-RO" w:bidi="ro-RO"/>
      </w:rPr>
    </w:lvl>
    <w:lvl w:ilvl="8">
      <w:start w:val="0"/>
      <w:numFmt w:val="bullet"/>
      <w:lvlText w:val="•"/>
      <w:lvlJc w:val="left"/>
      <w:pPr>
        <w:ind w:left="9341" w:hanging="181"/>
      </w:pPr>
      <w:rPr>
        <w:rFonts w:hint="default"/>
        <w:lang w:val="ro-RO" w:eastAsia="ro-RO" w:bidi="ro-RO"/>
      </w:rPr>
    </w:lvl>
  </w:abstractNum>
  <w:abstractNum w:abstractNumId="25">
    <w:multiLevelType w:val="hybridMultilevel"/>
    <w:lvl w:ilvl="0">
      <w:start w:val="0"/>
      <w:numFmt w:val="bullet"/>
      <w:lvlText w:val="-"/>
      <w:lvlJc w:val="left"/>
      <w:pPr>
        <w:ind w:left="680" w:hanging="140"/>
      </w:pPr>
      <w:rPr>
        <w:rFonts w:hint="default" w:ascii="Times New Roman" w:hAnsi="Times New Roman" w:eastAsia="Times New Roman" w:cs="Times New Roman"/>
        <w:w w:val="99"/>
        <w:sz w:val="24"/>
        <w:szCs w:val="24"/>
        <w:lang w:val="ro-RO" w:eastAsia="ro-RO" w:bidi="ro-RO"/>
      </w:rPr>
    </w:lvl>
    <w:lvl w:ilvl="1">
      <w:start w:val="0"/>
      <w:numFmt w:val="bullet"/>
      <w:lvlText w:val="•"/>
      <w:lvlJc w:val="left"/>
      <w:pPr>
        <w:ind w:left="1762" w:hanging="140"/>
      </w:pPr>
      <w:rPr>
        <w:rFonts w:hint="default"/>
        <w:lang w:val="ro-RO" w:eastAsia="ro-RO" w:bidi="ro-RO"/>
      </w:rPr>
    </w:lvl>
    <w:lvl w:ilvl="2">
      <w:start w:val="0"/>
      <w:numFmt w:val="bullet"/>
      <w:lvlText w:val="•"/>
      <w:lvlJc w:val="left"/>
      <w:pPr>
        <w:ind w:left="2845" w:hanging="140"/>
      </w:pPr>
      <w:rPr>
        <w:rFonts w:hint="default"/>
        <w:lang w:val="ro-RO" w:eastAsia="ro-RO" w:bidi="ro-RO"/>
      </w:rPr>
    </w:lvl>
    <w:lvl w:ilvl="3">
      <w:start w:val="0"/>
      <w:numFmt w:val="bullet"/>
      <w:lvlText w:val="•"/>
      <w:lvlJc w:val="left"/>
      <w:pPr>
        <w:ind w:left="3927" w:hanging="140"/>
      </w:pPr>
      <w:rPr>
        <w:rFonts w:hint="default"/>
        <w:lang w:val="ro-RO" w:eastAsia="ro-RO" w:bidi="ro-RO"/>
      </w:rPr>
    </w:lvl>
    <w:lvl w:ilvl="4">
      <w:start w:val="0"/>
      <w:numFmt w:val="bullet"/>
      <w:lvlText w:val="•"/>
      <w:lvlJc w:val="left"/>
      <w:pPr>
        <w:ind w:left="5010" w:hanging="140"/>
      </w:pPr>
      <w:rPr>
        <w:rFonts w:hint="default"/>
        <w:lang w:val="ro-RO" w:eastAsia="ro-RO" w:bidi="ro-RO"/>
      </w:rPr>
    </w:lvl>
    <w:lvl w:ilvl="5">
      <w:start w:val="0"/>
      <w:numFmt w:val="bullet"/>
      <w:lvlText w:val="•"/>
      <w:lvlJc w:val="left"/>
      <w:pPr>
        <w:ind w:left="6093" w:hanging="140"/>
      </w:pPr>
      <w:rPr>
        <w:rFonts w:hint="default"/>
        <w:lang w:val="ro-RO" w:eastAsia="ro-RO" w:bidi="ro-RO"/>
      </w:rPr>
    </w:lvl>
    <w:lvl w:ilvl="6">
      <w:start w:val="0"/>
      <w:numFmt w:val="bullet"/>
      <w:lvlText w:val="•"/>
      <w:lvlJc w:val="left"/>
      <w:pPr>
        <w:ind w:left="7175" w:hanging="140"/>
      </w:pPr>
      <w:rPr>
        <w:rFonts w:hint="default"/>
        <w:lang w:val="ro-RO" w:eastAsia="ro-RO" w:bidi="ro-RO"/>
      </w:rPr>
    </w:lvl>
    <w:lvl w:ilvl="7">
      <w:start w:val="0"/>
      <w:numFmt w:val="bullet"/>
      <w:lvlText w:val="•"/>
      <w:lvlJc w:val="left"/>
      <w:pPr>
        <w:ind w:left="8258" w:hanging="140"/>
      </w:pPr>
      <w:rPr>
        <w:rFonts w:hint="default"/>
        <w:lang w:val="ro-RO" w:eastAsia="ro-RO" w:bidi="ro-RO"/>
      </w:rPr>
    </w:lvl>
    <w:lvl w:ilvl="8">
      <w:start w:val="0"/>
      <w:numFmt w:val="bullet"/>
      <w:lvlText w:val="•"/>
      <w:lvlJc w:val="left"/>
      <w:pPr>
        <w:ind w:left="9341" w:hanging="140"/>
      </w:pPr>
      <w:rPr>
        <w:rFonts w:hint="default"/>
        <w:lang w:val="ro-RO" w:eastAsia="ro-RO" w:bidi="ro-RO"/>
      </w:rPr>
    </w:lvl>
  </w:abstractNum>
  <w:abstractNum w:abstractNumId="24">
    <w:multiLevelType w:val="hybridMultilevel"/>
    <w:lvl w:ilvl="0">
      <w:start w:val="0"/>
      <w:numFmt w:val="bullet"/>
      <w:lvlText w:val="-"/>
      <w:lvlJc w:val="left"/>
      <w:pPr>
        <w:ind w:left="819" w:hanging="140"/>
      </w:pPr>
      <w:rPr>
        <w:rFonts w:hint="default" w:ascii="Times New Roman" w:hAnsi="Times New Roman" w:eastAsia="Times New Roman" w:cs="Times New Roman"/>
        <w:w w:val="99"/>
        <w:sz w:val="24"/>
        <w:szCs w:val="24"/>
        <w:lang w:val="ro-RO" w:eastAsia="ro-RO" w:bidi="ro-RO"/>
      </w:rPr>
    </w:lvl>
    <w:lvl w:ilvl="1">
      <w:start w:val="0"/>
      <w:numFmt w:val="bullet"/>
      <w:lvlText w:val="•"/>
      <w:lvlJc w:val="left"/>
      <w:pPr>
        <w:ind w:left="1888" w:hanging="140"/>
      </w:pPr>
      <w:rPr>
        <w:rFonts w:hint="default"/>
        <w:lang w:val="ro-RO" w:eastAsia="ro-RO" w:bidi="ro-RO"/>
      </w:rPr>
    </w:lvl>
    <w:lvl w:ilvl="2">
      <w:start w:val="0"/>
      <w:numFmt w:val="bullet"/>
      <w:lvlText w:val="•"/>
      <w:lvlJc w:val="left"/>
      <w:pPr>
        <w:ind w:left="2957" w:hanging="140"/>
      </w:pPr>
      <w:rPr>
        <w:rFonts w:hint="default"/>
        <w:lang w:val="ro-RO" w:eastAsia="ro-RO" w:bidi="ro-RO"/>
      </w:rPr>
    </w:lvl>
    <w:lvl w:ilvl="3">
      <w:start w:val="0"/>
      <w:numFmt w:val="bullet"/>
      <w:lvlText w:val="•"/>
      <w:lvlJc w:val="left"/>
      <w:pPr>
        <w:ind w:left="4025" w:hanging="140"/>
      </w:pPr>
      <w:rPr>
        <w:rFonts w:hint="default"/>
        <w:lang w:val="ro-RO" w:eastAsia="ro-RO" w:bidi="ro-RO"/>
      </w:rPr>
    </w:lvl>
    <w:lvl w:ilvl="4">
      <w:start w:val="0"/>
      <w:numFmt w:val="bullet"/>
      <w:lvlText w:val="•"/>
      <w:lvlJc w:val="left"/>
      <w:pPr>
        <w:ind w:left="5094" w:hanging="140"/>
      </w:pPr>
      <w:rPr>
        <w:rFonts w:hint="default"/>
        <w:lang w:val="ro-RO" w:eastAsia="ro-RO" w:bidi="ro-RO"/>
      </w:rPr>
    </w:lvl>
    <w:lvl w:ilvl="5">
      <w:start w:val="0"/>
      <w:numFmt w:val="bullet"/>
      <w:lvlText w:val="•"/>
      <w:lvlJc w:val="left"/>
      <w:pPr>
        <w:ind w:left="6163" w:hanging="140"/>
      </w:pPr>
      <w:rPr>
        <w:rFonts w:hint="default"/>
        <w:lang w:val="ro-RO" w:eastAsia="ro-RO" w:bidi="ro-RO"/>
      </w:rPr>
    </w:lvl>
    <w:lvl w:ilvl="6">
      <w:start w:val="0"/>
      <w:numFmt w:val="bullet"/>
      <w:lvlText w:val="•"/>
      <w:lvlJc w:val="left"/>
      <w:pPr>
        <w:ind w:left="7231" w:hanging="140"/>
      </w:pPr>
      <w:rPr>
        <w:rFonts w:hint="default"/>
        <w:lang w:val="ro-RO" w:eastAsia="ro-RO" w:bidi="ro-RO"/>
      </w:rPr>
    </w:lvl>
    <w:lvl w:ilvl="7">
      <w:start w:val="0"/>
      <w:numFmt w:val="bullet"/>
      <w:lvlText w:val="•"/>
      <w:lvlJc w:val="left"/>
      <w:pPr>
        <w:ind w:left="8300" w:hanging="140"/>
      </w:pPr>
      <w:rPr>
        <w:rFonts w:hint="default"/>
        <w:lang w:val="ro-RO" w:eastAsia="ro-RO" w:bidi="ro-RO"/>
      </w:rPr>
    </w:lvl>
    <w:lvl w:ilvl="8">
      <w:start w:val="0"/>
      <w:numFmt w:val="bullet"/>
      <w:lvlText w:val="•"/>
      <w:lvlJc w:val="left"/>
      <w:pPr>
        <w:ind w:left="9369" w:hanging="140"/>
      </w:pPr>
      <w:rPr>
        <w:rFonts w:hint="default"/>
        <w:lang w:val="ro-RO" w:eastAsia="ro-RO" w:bidi="ro-RO"/>
      </w:rPr>
    </w:lvl>
  </w:abstractNum>
  <w:abstractNum w:abstractNumId="23">
    <w:multiLevelType w:val="hybridMultilevel"/>
    <w:lvl w:ilvl="0">
      <w:start w:val="1"/>
      <w:numFmt w:val="decimal"/>
      <w:lvlText w:val="%1."/>
      <w:lvlJc w:val="left"/>
      <w:pPr>
        <w:ind w:left="680" w:hanging="181"/>
        <w:jc w:val="right"/>
      </w:pPr>
      <w:rPr>
        <w:rFonts w:hint="default" w:ascii="Times New Roman" w:hAnsi="Times New Roman" w:eastAsia="Times New Roman" w:cs="Times New Roman"/>
        <w:w w:val="100"/>
        <w:sz w:val="22"/>
        <w:szCs w:val="22"/>
        <w:u w:val="single" w:color="000000"/>
        <w:lang w:val="ro-RO" w:eastAsia="ro-RO" w:bidi="ro-RO"/>
      </w:rPr>
    </w:lvl>
    <w:lvl w:ilvl="1">
      <w:start w:val="0"/>
      <w:numFmt w:val="bullet"/>
      <w:lvlText w:val="•"/>
      <w:lvlJc w:val="left"/>
      <w:pPr>
        <w:ind w:left="1762" w:hanging="181"/>
      </w:pPr>
      <w:rPr>
        <w:rFonts w:hint="default"/>
        <w:lang w:val="ro-RO" w:eastAsia="ro-RO" w:bidi="ro-RO"/>
      </w:rPr>
    </w:lvl>
    <w:lvl w:ilvl="2">
      <w:start w:val="0"/>
      <w:numFmt w:val="bullet"/>
      <w:lvlText w:val="•"/>
      <w:lvlJc w:val="left"/>
      <w:pPr>
        <w:ind w:left="2845" w:hanging="181"/>
      </w:pPr>
      <w:rPr>
        <w:rFonts w:hint="default"/>
        <w:lang w:val="ro-RO" w:eastAsia="ro-RO" w:bidi="ro-RO"/>
      </w:rPr>
    </w:lvl>
    <w:lvl w:ilvl="3">
      <w:start w:val="0"/>
      <w:numFmt w:val="bullet"/>
      <w:lvlText w:val="•"/>
      <w:lvlJc w:val="left"/>
      <w:pPr>
        <w:ind w:left="3927" w:hanging="181"/>
      </w:pPr>
      <w:rPr>
        <w:rFonts w:hint="default"/>
        <w:lang w:val="ro-RO" w:eastAsia="ro-RO" w:bidi="ro-RO"/>
      </w:rPr>
    </w:lvl>
    <w:lvl w:ilvl="4">
      <w:start w:val="0"/>
      <w:numFmt w:val="bullet"/>
      <w:lvlText w:val="•"/>
      <w:lvlJc w:val="left"/>
      <w:pPr>
        <w:ind w:left="5010" w:hanging="181"/>
      </w:pPr>
      <w:rPr>
        <w:rFonts w:hint="default"/>
        <w:lang w:val="ro-RO" w:eastAsia="ro-RO" w:bidi="ro-RO"/>
      </w:rPr>
    </w:lvl>
    <w:lvl w:ilvl="5">
      <w:start w:val="0"/>
      <w:numFmt w:val="bullet"/>
      <w:lvlText w:val="•"/>
      <w:lvlJc w:val="left"/>
      <w:pPr>
        <w:ind w:left="6093" w:hanging="181"/>
      </w:pPr>
      <w:rPr>
        <w:rFonts w:hint="default"/>
        <w:lang w:val="ro-RO" w:eastAsia="ro-RO" w:bidi="ro-RO"/>
      </w:rPr>
    </w:lvl>
    <w:lvl w:ilvl="6">
      <w:start w:val="0"/>
      <w:numFmt w:val="bullet"/>
      <w:lvlText w:val="•"/>
      <w:lvlJc w:val="left"/>
      <w:pPr>
        <w:ind w:left="7175" w:hanging="181"/>
      </w:pPr>
      <w:rPr>
        <w:rFonts w:hint="default"/>
        <w:lang w:val="ro-RO" w:eastAsia="ro-RO" w:bidi="ro-RO"/>
      </w:rPr>
    </w:lvl>
    <w:lvl w:ilvl="7">
      <w:start w:val="0"/>
      <w:numFmt w:val="bullet"/>
      <w:lvlText w:val="•"/>
      <w:lvlJc w:val="left"/>
      <w:pPr>
        <w:ind w:left="8258" w:hanging="181"/>
      </w:pPr>
      <w:rPr>
        <w:rFonts w:hint="default"/>
        <w:lang w:val="ro-RO" w:eastAsia="ro-RO" w:bidi="ro-RO"/>
      </w:rPr>
    </w:lvl>
    <w:lvl w:ilvl="8">
      <w:start w:val="0"/>
      <w:numFmt w:val="bullet"/>
      <w:lvlText w:val="•"/>
      <w:lvlJc w:val="left"/>
      <w:pPr>
        <w:ind w:left="9341" w:hanging="181"/>
      </w:pPr>
      <w:rPr>
        <w:rFonts w:hint="default"/>
        <w:lang w:val="ro-RO" w:eastAsia="ro-RO" w:bidi="ro-RO"/>
      </w:rPr>
    </w:lvl>
  </w:abstractNum>
  <w:abstractNum w:abstractNumId="22">
    <w:multiLevelType w:val="hybridMultilevel"/>
    <w:lvl w:ilvl="0">
      <w:start w:val="5"/>
      <w:numFmt w:val="decimal"/>
      <w:lvlText w:val="%1."/>
      <w:lvlJc w:val="left"/>
      <w:pPr>
        <w:ind w:left="860" w:hanging="241"/>
        <w:jc w:val="left"/>
      </w:pPr>
      <w:rPr>
        <w:rFonts w:hint="default" w:ascii="Times New Roman" w:hAnsi="Times New Roman" w:eastAsia="Times New Roman" w:cs="Times New Roman"/>
        <w:spacing w:val="-2"/>
        <w:w w:val="100"/>
        <w:sz w:val="24"/>
        <w:szCs w:val="24"/>
        <w:lang w:val="ro-RO" w:eastAsia="ro-RO" w:bidi="ro-RO"/>
      </w:rPr>
    </w:lvl>
    <w:lvl w:ilvl="1">
      <w:start w:val="0"/>
      <w:numFmt w:val="bullet"/>
      <w:lvlText w:val="•"/>
      <w:lvlJc w:val="left"/>
      <w:pPr>
        <w:ind w:left="1924" w:hanging="241"/>
      </w:pPr>
      <w:rPr>
        <w:rFonts w:hint="default"/>
        <w:lang w:val="ro-RO" w:eastAsia="ro-RO" w:bidi="ro-RO"/>
      </w:rPr>
    </w:lvl>
    <w:lvl w:ilvl="2">
      <w:start w:val="0"/>
      <w:numFmt w:val="bullet"/>
      <w:lvlText w:val="•"/>
      <w:lvlJc w:val="left"/>
      <w:pPr>
        <w:ind w:left="2989" w:hanging="241"/>
      </w:pPr>
      <w:rPr>
        <w:rFonts w:hint="default"/>
        <w:lang w:val="ro-RO" w:eastAsia="ro-RO" w:bidi="ro-RO"/>
      </w:rPr>
    </w:lvl>
    <w:lvl w:ilvl="3">
      <w:start w:val="0"/>
      <w:numFmt w:val="bullet"/>
      <w:lvlText w:val="•"/>
      <w:lvlJc w:val="left"/>
      <w:pPr>
        <w:ind w:left="4053" w:hanging="241"/>
      </w:pPr>
      <w:rPr>
        <w:rFonts w:hint="default"/>
        <w:lang w:val="ro-RO" w:eastAsia="ro-RO" w:bidi="ro-RO"/>
      </w:rPr>
    </w:lvl>
    <w:lvl w:ilvl="4">
      <w:start w:val="0"/>
      <w:numFmt w:val="bullet"/>
      <w:lvlText w:val="•"/>
      <w:lvlJc w:val="left"/>
      <w:pPr>
        <w:ind w:left="5118" w:hanging="241"/>
      </w:pPr>
      <w:rPr>
        <w:rFonts w:hint="default"/>
        <w:lang w:val="ro-RO" w:eastAsia="ro-RO" w:bidi="ro-RO"/>
      </w:rPr>
    </w:lvl>
    <w:lvl w:ilvl="5">
      <w:start w:val="0"/>
      <w:numFmt w:val="bullet"/>
      <w:lvlText w:val="•"/>
      <w:lvlJc w:val="left"/>
      <w:pPr>
        <w:ind w:left="6183" w:hanging="241"/>
      </w:pPr>
      <w:rPr>
        <w:rFonts w:hint="default"/>
        <w:lang w:val="ro-RO" w:eastAsia="ro-RO" w:bidi="ro-RO"/>
      </w:rPr>
    </w:lvl>
    <w:lvl w:ilvl="6">
      <w:start w:val="0"/>
      <w:numFmt w:val="bullet"/>
      <w:lvlText w:val="•"/>
      <w:lvlJc w:val="left"/>
      <w:pPr>
        <w:ind w:left="7247" w:hanging="241"/>
      </w:pPr>
      <w:rPr>
        <w:rFonts w:hint="default"/>
        <w:lang w:val="ro-RO" w:eastAsia="ro-RO" w:bidi="ro-RO"/>
      </w:rPr>
    </w:lvl>
    <w:lvl w:ilvl="7">
      <w:start w:val="0"/>
      <w:numFmt w:val="bullet"/>
      <w:lvlText w:val="•"/>
      <w:lvlJc w:val="left"/>
      <w:pPr>
        <w:ind w:left="8312" w:hanging="241"/>
      </w:pPr>
      <w:rPr>
        <w:rFonts w:hint="default"/>
        <w:lang w:val="ro-RO" w:eastAsia="ro-RO" w:bidi="ro-RO"/>
      </w:rPr>
    </w:lvl>
    <w:lvl w:ilvl="8">
      <w:start w:val="0"/>
      <w:numFmt w:val="bullet"/>
      <w:lvlText w:val="•"/>
      <w:lvlJc w:val="left"/>
      <w:pPr>
        <w:ind w:left="9377" w:hanging="241"/>
      </w:pPr>
      <w:rPr>
        <w:rFonts w:hint="default"/>
        <w:lang w:val="ro-RO" w:eastAsia="ro-RO" w:bidi="ro-RO"/>
      </w:rPr>
    </w:lvl>
  </w:abstractNum>
  <w:abstractNum w:abstractNumId="21">
    <w:multiLevelType w:val="hybridMultilevel"/>
    <w:lvl w:ilvl="0">
      <w:start w:val="2"/>
      <w:numFmt w:val="decimal"/>
      <w:lvlText w:val="%1)"/>
      <w:lvlJc w:val="left"/>
      <w:pPr>
        <w:ind w:left="880" w:hanging="201"/>
        <w:jc w:val="left"/>
      </w:pPr>
      <w:rPr>
        <w:rFonts w:hint="default" w:ascii="Times New Roman" w:hAnsi="Times New Roman" w:eastAsia="Times New Roman" w:cs="Times New Roman"/>
        <w:spacing w:val="-1"/>
        <w:w w:val="99"/>
        <w:sz w:val="22"/>
        <w:szCs w:val="22"/>
        <w:lang w:val="ro-RO" w:eastAsia="ro-RO" w:bidi="ro-RO"/>
      </w:rPr>
    </w:lvl>
    <w:lvl w:ilvl="1">
      <w:start w:val="0"/>
      <w:numFmt w:val="bullet"/>
      <w:lvlText w:val="•"/>
      <w:lvlJc w:val="left"/>
      <w:pPr>
        <w:ind w:left="1942" w:hanging="201"/>
      </w:pPr>
      <w:rPr>
        <w:rFonts w:hint="default"/>
        <w:lang w:val="ro-RO" w:eastAsia="ro-RO" w:bidi="ro-RO"/>
      </w:rPr>
    </w:lvl>
    <w:lvl w:ilvl="2">
      <w:start w:val="0"/>
      <w:numFmt w:val="bullet"/>
      <w:lvlText w:val="•"/>
      <w:lvlJc w:val="left"/>
      <w:pPr>
        <w:ind w:left="3005" w:hanging="201"/>
      </w:pPr>
      <w:rPr>
        <w:rFonts w:hint="default"/>
        <w:lang w:val="ro-RO" w:eastAsia="ro-RO" w:bidi="ro-RO"/>
      </w:rPr>
    </w:lvl>
    <w:lvl w:ilvl="3">
      <w:start w:val="0"/>
      <w:numFmt w:val="bullet"/>
      <w:lvlText w:val="•"/>
      <w:lvlJc w:val="left"/>
      <w:pPr>
        <w:ind w:left="4067" w:hanging="201"/>
      </w:pPr>
      <w:rPr>
        <w:rFonts w:hint="default"/>
        <w:lang w:val="ro-RO" w:eastAsia="ro-RO" w:bidi="ro-RO"/>
      </w:rPr>
    </w:lvl>
    <w:lvl w:ilvl="4">
      <w:start w:val="0"/>
      <w:numFmt w:val="bullet"/>
      <w:lvlText w:val="•"/>
      <w:lvlJc w:val="left"/>
      <w:pPr>
        <w:ind w:left="5130" w:hanging="201"/>
      </w:pPr>
      <w:rPr>
        <w:rFonts w:hint="default"/>
        <w:lang w:val="ro-RO" w:eastAsia="ro-RO" w:bidi="ro-RO"/>
      </w:rPr>
    </w:lvl>
    <w:lvl w:ilvl="5">
      <w:start w:val="0"/>
      <w:numFmt w:val="bullet"/>
      <w:lvlText w:val="•"/>
      <w:lvlJc w:val="left"/>
      <w:pPr>
        <w:ind w:left="6193" w:hanging="201"/>
      </w:pPr>
      <w:rPr>
        <w:rFonts w:hint="default"/>
        <w:lang w:val="ro-RO" w:eastAsia="ro-RO" w:bidi="ro-RO"/>
      </w:rPr>
    </w:lvl>
    <w:lvl w:ilvl="6">
      <w:start w:val="0"/>
      <w:numFmt w:val="bullet"/>
      <w:lvlText w:val="•"/>
      <w:lvlJc w:val="left"/>
      <w:pPr>
        <w:ind w:left="7255" w:hanging="201"/>
      </w:pPr>
      <w:rPr>
        <w:rFonts w:hint="default"/>
        <w:lang w:val="ro-RO" w:eastAsia="ro-RO" w:bidi="ro-RO"/>
      </w:rPr>
    </w:lvl>
    <w:lvl w:ilvl="7">
      <w:start w:val="0"/>
      <w:numFmt w:val="bullet"/>
      <w:lvlText w:val="•"/>
      <w:lvlJc w:val="left"/>
      <w:pPr>
        <w:ind w:left="8318" w:hanging="201"/>
      </w:pPr>
      <w:rPr>
        <w:rFonts w:hint="default"/>
        <w:lang w:val="ro-RO" w:eastAsia="ro-RO" w:bidi="ro-RO"/>
      </w:rPr>
    </w:lvl>
    <w:lvl w:ilvl="8">
      <w:start w:val="0"/>
      <w:numFmt w:val="bullet"/>
      <w:lvlText w:val="•"/>
      <w:lvlJc w:val="left"/>
      <w:pPr>
        <w:ind w:left="9381" w:hanging="201"/>
      </w:pPr>
      <w:rPr>
        <w:rFonts w:hint="default"/>
        <w:lang w:val="ro-RO" w:eastAsia="ro-RO" w:bidi="ro-RO"/>
      </w:rPr>
    </w:lvl>
  </w:abstractNum>
  <w:abstractNum w:abstractNumId="20">
    <w:multiLevelType w:val="hybridMultilevel"/>
    <w:lvl w:ilvl="0">
      <w:start w:val="4"/>
      <w:numFmt w:val="decimal"/>
      <w:lvlText w:val="%1."/>
      <w:lvlJc w:val="left"/>
      <w:pPr>
        <w:ind w:left="680" w:hanging="183"/>
        <w:jc w:val="left"/>
      </w:pPr>
      <w:rPr>
        <w:rFonts w:hint="default" w:ascii="Times New Roman" w:hAnsi="Times New Roman" w:eastAsia="Times New Roman" w:cs="Times New Roman"/>
        <w:w w:val="100"/>
        <w:sz w:val="22"/>
        <w:szCs w:val="22"/>
        <w:lang w:val="ro-RO" w:eastAsia="ro-RO" w:bidi="ro-RO"/>
      </w:rPr>
    </w:lvl>
    <w:lvl w:ilvl="1">
      <w:start w:val="0"/>
      <w:numFmt w:val="bullet"/>
      <w:lvlText w:val="•"/>
      <w:lvlJc w:val="left"/>
      <w:pPr>
        <w:ind w:left="1762" w:hanging="183"/>
      </w:pPr>
      <w:rPr>
        <w:rFonts w:hint="default"/>
        <w:lang w:val="ro-RO" w:eastAsia="ro-RO" w:bidi="ro-RO"/>
      </w:rPr>
    </w:lvl>
    <w:lvl w:ilvl="2">
      <w:start w:val="0"/>
      <w:numFmt w:val="bullet"/>
      <w:lvlText w:val="•"/>
      <w:lvlJc w:val="left"/>
      <w:pPr>
        <w:ind w:left="2845" w:hanging="183"/>
      </w:pPr>
      <w:rPr>
        <w:rFonts w:hint="default"/>
        <w:lang w:val="ro-RO" w:eastAsia="ro-RO" w:bidi="ro-RO"/>
      </w:rPr>
    </w:lvl>
    <w:lvl w:ilvl="3">
      <w:start w:val="0"/>
      <w:numFmt w:val="bullet"/>
      <w:lvlText w:val="•"/>
      <w:lvlJc w:val="left"/>
      <w:pPr>
        <w:ind w:left="3927" w:hanging="183"/>
      </w:pPr>
      <w:rPr>
        <w:rFonts w:hint="default"/>
        <w:lang w:val="ro-RO" w:eastAsia="ro-RO" w:bidi="ro-RO"/>
      </w:rPr>
    </w:lvl>
    <w:lvl w:ilvl="4">
      <w:start w:val="0"/>
      <w:numFmt w:val="bullet"/>
      <w:lvlText w:val="•"/>
      <w:lvlJc w:val="left"/>
      <w:pPr>
        <w:ind w:left="5010" w:hanging="183"/>
      </w:pPr>
      <w:rPr>
        <w:rFonts w:hint="default"/>
        <w:lang w:val="ro-RO" w:eastAsia="ro-RO" w:bidi="ro-RO"/>
      </w:rPr>
    </w:lvl>
    <w:lvl w:ilvl="5">
      <w:start w:val="0"/>
      <w:numFmt w:val="bullet"/>
      <w:lvlText w:val="•"/>
      <w:lvlJc w:val="left"/>
      <w:pPr>
        <w:ind w:left="6093" w:hanging="183"/>
      </w:pPr>
      <w:rPr>
        <w:rFonts w:hint="default"/>
        <w:lang w:val="ro-RO" w:eastAsia="ro-RO" w:bidi="ro-RO"/>
      </w:rPr>
    </w:lvl>
    <w:lvl w:ilvl="6">
      <w:start w:val="0"/>
      <w:numFmt w:val="bullet"/>
      <w:lvlText w:val="•"/>
      <w:lvlJc w:val="left"/>
      <w:pPr>
        <w:ind w:left="7175" w:hanging="183"/>
      </w:pPr>
      <w:rPr>
        <w:rFonts w:hint="default"/>
        <w:lang w:val="ro-RO" w:eastAsia="ro-RO" w:bidi="ro-RO"/>
      </w:rPr>
    </w:lvl>
    <w:lvl w:ilvl="7">
      <w:start w:val="0"/>
      <w:numFmt w:val="bullet"/>
      <w:lvlText w:val="•"/>
      <w:lvlJc w:val="left"/>
      <w:pPr>
        <w:ind w:left="8258" w:hanging="183"/>
      </w:pPr>
      <w:rPr>
        <w:rFonts w:hint="default"/>
        <w:lang w:val="ro-RO" w:eastAsia="ro-RO" w:bidi="ro-RO"/>
      </w:rPr>
    </w:lvl>
    <w:lvl w:ilvl="8">
      <w:start w:val="0"/>
      <w:numFmt w:val="bullet"/>
      <w:lvlText w:val="•"/>
      <w:lvlJc w:val="left"/>
      <w:pPr>
        <w:ind w:left="9341" w:hanging="183"/>
      </w:pPr>
      <w:rPr>
        <w:rFonts w:hint="default"/>
        <w:lang w:val="ro-RO" w:eastAsia="ro-RO" w:bidi="ro-RO"/>
      </w:rPr>
    </w:lvl>
  </w:abstractNum>
  <w:abstractNum w:abstractNumId="19">
    <w:multiLevelType w:val="hybridMultilevel"/>
    <w:lvl w:ilvl="0">
      <w:start w:val="1"/>
      <w:numFmt w:val="decimal"/>
      <w:lvlText w:val="%1."/>
      <w:lvlJc w:val="left"/>
      <w:pPr>
        <w:ind w:left="861" w:hanging="181"/>
        <w:jc w:val="left"/>
      </w:pPr>
      <w:rPr>
        <w:rFonts w:hint="default" w:ascii="Times New Roman" w:hAnsi="Times New Roman" w:eastAsia="Times New Roman" w:cs="Times New Roman"/>
        <w:w w:val="100"/>
        <w:sz w:val="22"/>
        <w:szCs w:val="22"/>
        <w:lang w:val="ro-RO" w:eastAsia="ro-RO" w:bidi="ro-RO"/>
      </w:rPr>
    </w:lvl>
    <w:lvl w:ilvl="1">
      <w:start w:val="0"/>
      <w:numFmt w:val="bullet"/>
      <w:lvlText w:val="•"/>
      <w:lvlJc w:val="left"/>
      <w:pPr>
        <w:ind w:left="1924" w:hanging="181"/>
      </w:pPr>
      <w:rPr>
        <w:rFonts w:hint="default"/>
        <w:lang w:val="ro-RO" w:eastAsia="ro-RO" w:bidi="ro-RO"/>
      </w:rPr>
    </w:lvl>
    <w:lvl w:ilvl="2">
      <w:start w:val="0"/>
      <w:numFmt w:val="bullet"/>
      <w:lvlText w:val="•"/>
      <w:lvlJc w:val="left"/>
      <w:pPr>
        <w:ind w:left="2989" w:hanging="181"/>
      </w:pPr>
      <w:rPr>
        <w:rFonts w:hint="default"/>
        <w:lang w:val="ro-RO" w:eastAsia="ro-RO" w:bidi="ro-RO"/>
      </w:rPr>
    </w:lvl>
    <w:lvl w:ilvl="3">
      <w:start w:val="0"/>
      <w:numFmt w:val="bullet"/>
      <w:lvlText w:val="•"/>
      <w:lvlJc w:val="left"/>
      <w:pPr>
        <w:ind w:left="4053" w:hanging="181"/>
      </w:pPr>
      <w:rPr>
        <w:rFonts w:hint="default"/>
        <w:lang w:val="ro-RO" w:eastAsia="ro-RO" w:bidi="ro-RO"/>
      </w:rPr>
    </w:lvl>
    <w:lvl w:ilvl="4">
      <w:start w:val="0"/>
      <w:numFmt w:val="bullet"/>
      <w:lvlText w:val="•"/>
      <w:lvlJc w:val="left"/>
      <w:pPr>
        <w:ind w:left="5118" w:hanging="181"/>
      </w:pPr>
      <w:rPr>
        <w:rFonts w:hint="default"/>
        <w:lang w:val="ro-RO" w:eastAsia="ro-RO" w:bidi="ro-RO"/>
      </w:rPr>
    </w:lvl>
    <w:lvl w:ilvl="5">
      <w:start w:val="0"/>
      <w:numFmt w:val="bullet"/>
      <w:lvlText w:val="•"/>
      <w:lvlJc w:val="left"/>
      <w:pPr>
        <w:ind w:left="6183" w:hanging="181"/>
      </w:pPr>
      <w:rPr>
        <w:rFonts w:hint="default"/>
        <w:lang w:val="ro-RO" w:eastAsia="ro-RO" w:bidi="ro-RO"/>
      </w:rPr>
    </w:lvl>
    <w:lvl w:ilvl="6">
      <w:start w:val="0"/>
      <w:numFmt w:val="bullet"/>
      <w:lvlText w:val="•"/>
      <w:lvlJc w:val="left"/>
      <w:pPr>
        <w:ind w:left="7247" w:hanging="181"/>
      </w:pPr>
      <w:rPr>
        <w:rFonts w:hint="default"/>
        <w:lang w:val="ro-RO" w:eastAsia="ro-RO" w:bidi="ro-RO"/>
      </w:rPr>
    </w:lvl>
    <w:lvl w:ilvl="7">
      <w:start w:val="0"/>
      <w:numFmt w:val="bullet"/>
      <w:lvlText w:val="•"/>
      <w:lvlJc w:val="left"/>
      <w:pPr>
        <w:ind w:left="8312" w:hanging="181"/>
      </w:pPr>
      <w:rPr>
        <w:rFonts w:hint="default"/>
        <w:lang w:val="ro-RO" w:eastAsia="ro-RO" w:bidi="ro-RO"/>
      </w:rPr>
    </w:lvl>
    <w:lvl w:ilvl="8">
      <w:start w:val="0"/>
      <w:numFmt w:val="bullet"/>
      <w:lvlText w:val="•"/>
      <w:lvlJc w:val="left"/>
      <w:pPr>
        <w:ind w:left="9377" w:hanging="181"/>
      </w:pPr>
      <w:rPr>
        <w:rFonts w:hint="default"/>
        <w:lang w:val="ro-RO" w:eastAsia="ro-RO" w:bidi="ro-RO"/>
      </w:rPr>
    </w:lvl>
  </w:abstractNum>
  <w:abstractNum w:abstractNumId="18">
    <w:multiLevelType w:val="hybridMultilevel"/>
    <w:lvl w:ilvl="0">
      <w:start w:val="7"/>
      <w:numFmt w:val="decimal"/>
      <w:lvlText w:val="%1."/>
      <w:lvlJc w:val="left"/>
      <w:pPr>
        <w:ind w:left="861" w:hanging="181"/>
        <w:jc w:val="left"/>
      </w:pPr>
      <w:rPr>
        <w:rFonts w:hint="default" w:ascii="Times New Roman" w:hAnsi="Times New Roman" w:eastAsia="Times New Roman" w:cs="Times New Roman"/>
        <w:w w:val="100"/>
        <w:sz w:val="22"/>
        <w:szCs w:val="22"/>
        <w:lang w:val="ro-RO" w:eastAsia="ro-RO" w:bidi="ro-RO"/>
      </w:rPr>
    </w:lvl>
    <w:lvl w:ilvl="1">
      <w:start w:val="0"/>
      <w:numFmt w:val="bullet"/>
      <w:lvlText w:val="•"/>
      <w:lvlJc w:val="left"/>
      <w:pPr>
        <w:ind w:left="1924" w:hanging="181"/>
      </w:pPr>
      <w:rPr>
        <w:rFonts w:hint="default"/>
        <w:lang w:val="ro-RO" w:eastAsia="ro-RO" w:bidi="ro-RO"/>
      </w:rPr>
    </w:lvl>
    <w:lvl w:ilvl="2">
      <w:start w:val="0"/>
      <w:numFmt w:val="bullet"/>
      <w:lvlText w:val="•"/>
      <w:lvlJc w:val="left"/>
      <w:pPr>
        <w:ind w:left="2989" w:hanging="181"/>
      </w:pPr>
      <w:rPr>
        <w:rFonts w:hint="default"/>
        <w:lang w:val="ro-RO" w:eastAsia="ro-RO" w:bidi="ro-RO"/>
      </w:rPr>
    </w:lvl>
    <w:lvl w:ilvl="3">
      <w:start w:val="0"/>
      <w:numFmt w:val="bullet"/>
      <w:lvlText w:val="•"/>
      <w:lvlJc w:val="left"/>
      <w:pPr>
        <w:ind w:left="4053" w:hanging="181"/>
      </w:pPr>
      <w:rPr>
        <w:rFonts w:hint="default"/>
        <w:lang w:val="ro-RO" w:eastAsia="ro-RO" w:bidi="ro-RO"/>
      </w:rPr>
    </w:lvl>
    <w:lvl w:ilvl="4">
      <w:start w:val="0"/>
      <w:numFmt w:val="bullet"/>
      <w:lvlText w:val="•"/>
      <w:lvlJc w:val="left"/>
      <w:pPr>
        <w:ind w:left="5118" w:hanging="181"/>
      </w:pPr>
      <w:rPr>
        <w:rFonts w:hint="default"/>
        <w:lang w:val="ro-RO" w:eastAsia="ro-RO" w:bidi="ro-RO"/>
      </w:rPr>
    </w:lvl>
    <w:lvl w:ilvl="5">
      <w:start w:val="0"/>
      <w:numFmt w:val="bullet"/>
      <w:lvlText w:val="•"/>
      <w:lvlJc w:val="left"/>
      <w:pPr>
        <w:ind w:left="6183" w:hanging="181"/>
      </w:pPr>
      <w:rPr>
        <w:rFonts w:hint="default"/>
        <w:lang w:val="ro-RO" w:eastAsia="ro-RO" w:bidi="ro-RO"/>
      </w:rPr>
    </w:lvl>
    <w:lvl w:ilvl="6">
      <w:start w:val="0"/>
      <w:numFmt w:val="bullet"/>
      <w:lvlText w:val="•"/>
      <w:lvlJc w:val="left"/>
      <w:pPr>
        <w:ind w:left="7247" w:hanging="181"/>
      </w:pPr>
      <w:rPr>
        <w:rFonts w:hint="default"/>
        <w:lang w:val="ro-RO" w:eastAsia="ro-RO" w:bidi="ro-RO"/>
      </w:rPr>
    </w:lvl>
    <w:lvl w:ilvl="7">
      <w:start w:val="0"/>
      <w:numFmt w:val="bullet"/>
      <w:lvlText w:val="•"/>
      <w:lvlJc w:val="left"/>
      <w:pPr>
        <w:ind w:left="8312" w:hanging="181"/>
      </w:pPr>
      <w:rPr>
        <w:rFonts w:hint="default"/>
        <w:lang w:val="ro-RO" w:eastAsia="ro-RO" w:bidi="ro-RO"/>
      </w:rPr>
    </w:lvl>
    <w:lvl w:ilvl="8">
      <w:start w:val="0"/>
      <w:numFmt w:val="bullet"/>
      <w:lvlText w:val="•"/>
      <w:lvlJc w:val="left"/>
      <w:pPr>
        <w:ind w:left="9377" w:hanging="181"/>
      </w:pPr>
      <w:rPr>
        <w:rFonts w:hint="default"/>
        <w:lang w:val="ro-RO" w:eastAsia="ro-RO" w:bidi="ro-RO"/>
      </w:rPr>
    </w:lvl>
  </w:abstractNum>
  <w:abstractNum w:abstractNumId="17">
    <w:multiLevelType w:val="hybridMultilevel"/>
    <w:lvl w:ilvl="0">
      <w:start w:val="0"/>
      <w:numFmt w:val="bullet"/>
      <w:lvlText w:val="–"/>
      <w:lvlJc w:val="left"/>
      <w:pPr>
        <w:ind w:left="680" w:hanging="265"/>
      </w:pPr>
      <w:rPr>
        <w:rFonts w:hint="default" w:ascii="Times New Roman" w:hAnsi="Times New Roman" w:eastAsia="Times New Roman" w:cs="Times New Roman"/>
        <w:spacing w:val="-3"/>
        <w:w w:val="100"/>
        <w:sz w:val="24"/>
        <w:szCs w:val="24"/>
        <w:lang w:val="ro-RO" w:eastAsia="ro-RO" w:bidi="ro-RO"/>
      </w:rPr>
    </w:lvl>
    <w:lvl w:ilvl="1">
      <w:start w:val="0"/>
      <w:numFmt w:val="bullet"/>
      <w:lvlText w:val="-"/>
      <w:lvlJc w:val="left"/>
      <w:pPr>
        <w:ind w:left="680" w:hanging="173"/>
      </w:pPr>
      <w:rPr>
        <w:rFonts w:hint="default" w:ascii="Times New Roman" w:hAnsi="Times New Roman" w:eastAsia="Times New Roman" w:cs="Times New Roman"/>
        <w:spacing w:val="-28"/>
        <w:w w:val="99"/>
        <w:sz w:val="24"/>
        <w:szCs w:val="24"/>
        <w:lang w:val="ro-RO" w:eastAsia="ro-RO" w:bidi="ro-RO"/>
      </w:rPr>
    </w:lvl>
    <w:lvl w:ilvl="2">
      <w:start w:val="0"/>
      <w:numFmt w:val="bullet"/>
      <w:lvlText w:val="•"/>
      <w:lvlJc w:val="left"/>
      <w:pPr>
        <w:ind w:left="2845" w:hanging="173"/>
      </w:pPr>
      <w:rPr>
        <w:rFonts w:hint="default"/>
        <w:lang w:val="ro-RO" w:eastAsia="ro-RO" w:bidi="ro-RO"/>
      </w:rPr>
    </w:lvl>
    <w:lvl w:ilvl="3">
      <w:start w:val="0"/>
      <w:numFmt w:val="bullet"/>
      <w:lvlText w:val="•"/>
      <w:lvlJc w:val="left"/>
      <w:pPr>
        <w:ind w:left="3927" w:hanging="173"/>
      </w:pPr>
      <w:rPr>
        <w:rFonts w:hint="default"/>
        <w:lang w:val="ro-RO" w:eastAsia="ro-RO" w:bidi="ro-RO"/>
      </w:rPr>
    </w:lvl>
    <w:lvl w:ilvl="4">
      <w:start w:val="0"/>
      <w:numFmt w:val="bullet"/>
      <w:lvlText w:val="•"/>
      <w:lvlJc w:val="left"/>
      <w:pPr>
        <w:ind w:left="5010" w:hanging="173"/>
      </w:pPr>
      <w:rPr>
        <w:rFonts w:hint="default"/>
        <w:lang w:val="ro-RO" w:eastAsia="ro-RO" w:bidi="ro-RO"/>
      </w:rPr>
    </w:lvl>
    <w:lvl w:ilvl="5">
      <w:start w:val="0"/>
      <w:numFmt w:val="bullet"/>
      <w:lvlText w:val="•"/>
      <w:lvlJc w:val="left"/>
      <w:pPr>
        <w:ind w:left="6093" w:hanging="173"/>
      </w:pPr>
      <w:rPr>
        <w:rFonts w:hint="default"/>
        <w:lang w:val="ro-RO" w:eastAsia="ro-RO" w:bidi="ro-RO"/>
      </w:rPr>
    </w:lvl>
    <w:lvl w:ilvl="6">
      <w:start w:val="0"/>
      <w:numFmt w:val="bullet"/>
      <w:lvlText w:val="•"/>
      <w:lvlJc w:val="left"/>
      <w:pPr>
        <w:ind w:left="7175" w:hanging="173"/>
      </w:pPr>
      <w:rPr>
        <w:rFonts w:hint="default"/>
        <w:lang w:val="ro-RO" w:eastAsia="ro-RO" w:bidi="ro-RO"/>
      </w:rPr>
    </w:lvl>
    <w:lvl w:ilvl="7">
      <w:start w:val="0"/>
      <w:numFmt w:val="bullet"/>
      <w:lvlText w:val="•"/>
      <w:lvlJc w:val="left"/>
      <w:pPr>
        <w:ind w:left="8258" w:hanging="173"/>
      </w:pPr>
      <w:rPr>
        <w:rFonts w:hint="default"/>
        <w:lang w:val="ro-RO" w:eastAsia="ro-RO" w:bidi="ro-RO"/>
      </w:rPr>
    </w:lvl>
    <w:lvl w:ilvl="8">
      <w:start w:val="0"/>
      <w:numFmt w:val="bullet"/>
      <w:lvlText w:val="•"/>
      <w:lvlJc w:val="left"/>
      <w:pPr>
        <w:ind w:left="9341" w:hanging="173"/>
      </w:pPr>
      <w:rPr>
        <w:rFonts w:hint="default"/>
        <w:lang w:val="ro-RO" w:eastAsia="ro-RO" w:bidi="ro-RO"/>
      </w:rPr>
    </w:lvl>
  </w:abstractNum>
  <w:abstractNum w:abstractNumId="16">
    <w:multiLevelType w:val="hybridMultilevel"/>
    <w:lvl w:ilvl="0">
      <w:start w:val="1"/>
      <w:numFmt w:val="decimal"/>
      <w:lvlText w:val="%1."/>
      <w:lvlJc w:val="left"/>
      <w:pPr>
        <w:ind w:left="680" w:hanging="259"/>
        <w:jc w:val="right"/>
      </w:pPr>
      <w:rPr>
        <w:rFonts w:hint="default"/>
        <w:w w:val="100"/>
        <w:lang w:val="ro-RO" w:eastAsia="ro-RO" w:bidi="ro-RO"/>
      </w:rPr>
    </w:lvl>
    <w:lvl w:ilvl="1">
      <w:start w:val="0"/>
      <w:numFmt w:val="bullet"/>
      <w:lvlText w:val="•"/>
      <w:lvlJc w:val="left"/>
      <w:pPr>
        <w:ind w:left="1762" w:hanging="259"/>
      </w:pPr>
      <w:rPr>
        <w:rFonts w:hint="default"/>
        <w:lang w:val="ro-RO" w:eastAsia="ro-RO" w:bidi="ro-RO"/>
      </w:rPr>
    </w:lvl>
    <w:lvl w:ilvl="2">
      <w:start w:val="0"/>
      <w:numFmt w:val="bullet"/>
      <w:lvlText w:val="•"/>
      <w:lvlJc w:val="left"/>
      <w:pPr>
        <w:ind w:left="2845" w:hanging="259"/>
      </w:pPr>
      <w:rPr>
        <w:rFonts w:hint="default"/>
        <w:lang w:val="ro-RO" w:eastAsia="ro-RO" w:bidi="ro-RO"/>
      </w:rPr>
    </w:lvl>
    <w:lvl w:ilvl="3">
      <w:start w:val="0"/>
      <w:numFmt w:val="bullet"/>
      <w:lvlText w:val="•"/>
      <w:lvlJc w:val="left"/>
      <w:pPr>
        <w:ind w:left="3927" w:hanging="259"/>
      </w:pPr>
      <w:rPr>
        <w:rFonts w:hint="default"/>
        <w:lang w:val="ro-RO" w:eastAsia="ro-RO" w:bidi="ro-RO"/>
      </w:rPr>
    </w:lvl>
    <w:lvl w:ilvl="4">
      <w:start w:val="0"/>
      <w:numFmt w:val="bullet"/>
      <w:lvlText w:val="•"/>
      <w:lvlJc w:val="left"/>
      <w:pPr>
        <w:ind w:left="5010" w:hanging="259"/>
      </w:pPr>
      <w:rPr>
        <w:rFonts w:hint="default"/>
        <w:lang w:val="ro-RO" w:eastAsia="ro-RO" w:bidi="ro-RO"/>
      </w:rPr>
    </w:lvl>
    <w:lvl w:ilvl="5">
      <w:start w:val="0"/>
      <w:numFmt w:val="bullet"/>
      <w:lvlText w:val="•"/>
      <w:lvlJc w:val="left"/>
      <w:pPr>
        <w:ind w:left="6093" w:hanging="259"/>
      </w:pPr>
      <w:rPr>
        <w:rFonts w:hint="default"/>
        <w:lang w:val="ro-RO" w:eastAsia="ro-RO" w:bidi="ro-RO"/>
      </w:rPr>
    </w:lvl>
    <w:lvl w:ilvl="6">
      <w:start w:val="0"/>
      <w:numFmt w:val="bullet"/>
      <w:lvlText w:val="•"/>
      <w:lvlJc w:val="left"/>
      <w:pPr>
        <w:ind w:left="7175" w:hanging="259"/>
      </w:pPr>
      <w:rPr>
        <w:rFonts w:hint="default"/>
        <w:lang w:val="ro-RO" w:eastAsia="ro-RO" w:bidi="ro-RO"/>
      </w:rPr>
    </w:lvl>
    <w:lvl w:ilvl="7">
      <w:start w:val="0"/>
      <w:numFmt w:val="bullet"/>
      <w:lvlText w:val="•"/>
      <w:lvlJc w:val="left"/>
      <w:pPr>
        <w:ind w:left="8258" w:hanging="259"/>
      </w:pPr>
      <w:rPr>
        <w:rFonts w:hint="default"/>
        <w:lang w:val="ro-RO" w:eastAsia="ro-RO" w:bidi="ro-RO"/>
      </w:rPr>
    </w:lvl>
    <w:lvl w:ilvl="8">
      <w:start w:val="0"/>
      <w:numFmt w:val="bullet"/>
      <w:lvlText w:val="•"/>
      <w:lvlJc w:val="left"/>
      <w:pPr>
        <w:ind w:left="9341" w:hanging="259"/>
      </w:pPr>
      <w:rPr>
        <w:rFonts w:hint="default"/>
        <w:lang w:val="ro-RO" w:eastAsia="ro-RO" w:bidi="ro-RO"/>
      </w:rPr>
    </w:lvl>
  </w:abstractNum>
  <w:abstractNum w:abstractNumId="15">
    <w:multiLevelType w:val="hybridMultilevel"/>
    <w:lvl w:ilvl="0">
      <w:start w:val="0"/>
      <w:numFmt w:val="bullet"/>
      <w:lvlText w:val="-"/>
      <w:lvlJc w:val="left"/>
      <w:pPr>
        <w:ind w:left="680" w:hanging="186"/>
      </w:pPr>
      <w:rPr>
        <w:rFonts w:hint="default"/>
        <w:spacing w:val="-16"/>
        <w:w w:val="99"/>
        <w:lang w:val="ro-RO" w:eastAsia="ro-RO" w:bidi="ro-RO"/>
      </w:rPr>
    </w:lvl>
    <w:lvl w:ilvl="1">
      <w:start w:val="0"/>
      <w:numFmt w:val="bullet"/>
      <w:lvlText w:val="•"/>
      <w:lvlJc w:val="left"/>
      <w:pPr>
        <w:ind w:left="1762" w:hanging="186"/>
      </w:pPr>
      <w:rPr>
        <w:rFonts w:hint="default"/>
        <w:lang w:val="ro-RO" w:eastAsia="ro-RO" w:bidi="ro-RO"/>
      </w:rPr>
    </w:lvl>
    <w:lvl w:ilvl="2">
      <w:start w:val="0"/>
      <w:numFmt w:val="bullet"/>
      <w:lvlText w:val="•"/>
      <w:lvlJc w:val="left"/>
      <w:pPr>
        <w:ind w:left="2845" w:hanging="186"/>
      </w:pPr>
      <w:rPr>
        <w:rFonts w:hint="default"/>
        <w:lang w:val="ro-RO" w:eastAsia="ro-RO" w:bidi="ro-RO"/>
      </w:rPr>
    </w:lvl>
    <w:lvl w:ilvl="3">
      <w:start w:val="0"/>
      <w:numFmt w:val="bullet"/>
      <w:lvlText w:val="•"/>
      <w:lvlJc w:val="left"/>
      <w:pPr>
        <w:ind w:left="3927" w:hanging="186"/>
      </w:pPr>
      <w:rPr>
        <w:rFonts w:hint="default"/>
        <w:lang w:val="ro-RO" w:eastAsia="ro-RO" w:bidi="ro-RO"/>
      </w:rPr>
    </w:lvl>
    <w:lvl w:ilvl="4">
      <w:start w:val="0"/>
      <w:numFmt w:val="bullet"/>
      <w:lvlText w:val="•"/>
      <w:lvlJc w:val="left"/>
      <w:pPr>
        <w:ind w:left="5010" w:hanging="186"/>
      </w:pPr>
      <w:rPr>
        <w:rFonts w:hint="default"/>
        <w:lang w:val="ro-RO" w:eastAsia="ro-RO" w:bidi="ro-RO"/>
      </w:rPr>
    </w:lvl>
    <w:lvl w:ilvl="5">
      <w:start w:val="0"/>
      <w:numFmt w:val="bullet"/>
      <w:lvlText w:val="•"/>
      <w:lvlJc w:val="left"/>
      <w:pPr>
        <w:ind w:left="6093" w:hanging="186"/>
      </w:pPr>
      <w:rPr>
        <w:rFonts w:hint="default"/>
        <w:lang w:val="ro-RO" w:eastAsia="ro-RO" w:bidi="ro-RO"/>
      </w:rPr>
    </w:lvl>
    <w:lvl w:ilvl="6">
      <w:start w:val="0"/>
      <w:numFmt w:val="bullet"/>
      <w:lvlText w:val="•"/>
      <w:lvlJc w:val="left"/>
      <w:pPr>
        <w:ind w:left="7175" w:hanging="186"/>
      </w:pPr>
      <w:rPr>
        <w:rFonts w:hint="default"/>
        <w:lang w:val="ro-RO" w:eastAsia="ro-RO" w:bidi="ro-RO"/>
      </w:rPr>
    </w:lvl>
    <w:lvl w:ilvl="7">
      <w:start w:val="0"/>
      <w:numFmt w:val="bullet"/>
      <w:lvlText w:val="•"/>
      <w:lvlJc w:val="left"/>
      <w:pPr>
        <w:ind w:left="8258" w:hanging="186"/>
      </w:pPr>
      <w:rPr>
        <w:rFonts w:hint="default"/>
        <w:lang w:val="ro-RO" w:eastAsia="ro-RO" w:bidi="ro-RO"/>
      </w:rPr>
    </w:lvl>
    <w:lvl w:ilvl="8">
      <w:start w:val="0"/>
      <w:numFmt w:val="bullet"/>
      <w:lvlText w:val="•"/>
      <w:lvlJc w:val="left"/>
      <w:pPr>
        <w:ind w:left="9341" w:hanging="186"/>
      </w:pPr>
      <w:rPr>
        <w:rFonts w:hint="default"/>
        <w:lang w:val="ro-RO" w:eastAsia="ro-RO" w:bidi="ro-RO"/>
      </w:rPr>
    </w:lvl>
  </w:abstractNum>
  <w:abstractNum w:abstractNumId="14">
    <w:multiLevelType w:val="hybridMultilevel"/>
    <w:lvl w:ilvl="0">
      <w:start w:val="0"/>
      <w:numFmt w:val="bullet"/>
      <w:lvlText w:val="-"/>
      <w:lvlJc w:val="left"/>
      <w:pPr>
        <w:ind w:left="680" w:hanging="360"/>
      </w:pPr>
      <w:rPr>
        <w:rFonts w:hint="default" w:ascii="Times New Roman" w:hAnsi="Times New Roman" w:eastAsia="Times New Roman" w:cs="Times New Roman"/>
        <w:spacing w:val="-2"/>
        <w:w w:val="99"/>
        <w:sz w:val="24"/>
        <w:szCs w:val="24"/>
        <w:lang w:val="ro-RO" w:eastAsia="ro-RO" w:bidi="ro-RO"/>
      </w:rPr>
    </w:lvl>
    <w:lvl w:ilvl="1">
      <w:start w:val="0"/>
      <w:numFmt w:val="bullet"/>
      <w:lvlText w:val="-"/>
      <w:lvlJc w:val="left"/>
      <w:pPr>
        <w:ind w:left="680" w:hanging="140"/>
      </w:pPr>
      <w:rPr>
        <w:rFonts w:hint="default" w:ascii="Times New Roman" w:hAnsi="Times New Roman" w:eastAsia="Times New Roman" w:cs="Times New Roman"/>
        <w:w w:val="99"/>
        <w:sz w:val="24"/>
        <w:szCs w:val="24"/>
        <w:lang w:val="ro-RO" w:eastAsia="ro-RO" w:bidi="ro-RO"/>
      </w:rPr>
    </w:lvl>
    <w:lvl w:ilvl="2">
      <w:start w:val="0"/>
      <w:numFmt w:val="bullet"/>
      <w:lvlText w:val="•"/>
      <w:lvlJc w:val="left"/>
      <w:pPr>
        <w:ind w:left="2845" w:hanging="140"/>
      </w:pPr>
      <w:rPr>
        <w:rFonts w:hint="default"/>
        <w:lang w:val="ro-RO" w:eastAsia="ro-RO" w:bidi="ro-RO"/>
      </w:rPr>
    </w:lvl>
    <w:lvl w:ilvl="3">
      <w:start w:val="0"/>
      <w:numFmt w:val="bullet"/>
      <w:lvlText w:val="•"/>
      <w:lvlJc w:val="left"/>
      <w:pPr>
        <w:ind w:left="3927" w:hanging="140"/>
      </w:pPr>
      <w:rPr>
        <w:rFonts w:hint="default"/>
        <w:lang w:val="ro-RO" w:eastAsia="ro-RO" w:bidi="ro-RO"/>
      </w:rPr>
    </w:lvl>
    <w:lvl w:ilvl="4">
      <w:start w:val="0"/>
      <w:numFmt w:val="bullet"/>
      <w:lvlText w:val="•"/>
      <w:lvlJc w:val="left"/>
      <w:pPr>
        <w:ind w:left="5010" w:hanging="140"/>
      </w:pPr>
      <w:rPr>
        <w:rFonts w:hint="default"/>
        <w:lang w:val="ro-RO" w:eastAsia="ro-RO" w:bidi="ro-RO"/>
      </w:rPr>
    </w:lvl>
    <w:lvl w:ilvl="5">
      <w:start w:val="0"/>
      <w:numFmt w:val="bullet"/>
      <w:lvlText w:val="•"/>
      <w:lvlJc w:val="left"/>
      <w:pPr>
        <w:ind w:left="6093" w:hanging="140"/>
      </w:pPr>
      <w:rPr>
        <w:rFonts w:hint="default"/>
        <w:lang w:val="ro-RO" w:eastAsia="ro-RO" w:bidi="ro-RO"/>
      </w:rPr>
    </w:lvl>
    <w:lvl w:ilvl="6">
      <w:start w:val="0"/>
      <w:numFmt w:val="bullet"/>
      <w:lvlText w:val="•"/>
      <w:lvlJc w:val="left"/>
      <w:pPr>
        <w:ind w:left="7175" w:hanging="140"/>
      </w:pPr>
      <w:rPr>
        <w:rFonts w:hint="default"/>
        <w:lang w:val="ro-RO" w:eastAsia="ro-RO" w:bidi="ro-RO"/>
      </w:rPr>
    </w:lvl>
    <w:lvl w:ilvl="7">
      <w:start w:val="0"/>
      <w:numFmt w:val="bullet"/>
      <w:lvlText w:val="•"/>
      <w:lvlJc w:val="left"/>
      <w:pPr>
        <w:ind w:left="8258" w:hanging="140"/>
      </w:pPr>
      <w:rPr>
        <w:rFonts w:hint="default"/>
        <w:lang w:val="ro-RO" w:eastAsia="ro-RO" w:bidi="ro-RO"/>
      </w:rPr>
    </w:lvl>
    <w:lvl w:ilvl="8">
      <w:start w:val="0"/>
      <w:numFmt w:val="bullet"/>
      <w:lvlText w:val="•"/>
      <w:lvlJc w:val="left"/>
      <w:pPr>
        <w:ind w:left="9341" w:hanging="140"/>
      </w:pPr>
      <w:rPr>
        <w:rFonts w:hint="default"/>
        <w:lang w:val="ro-RO" w:eastAsia="ro-RO" w:bidi="ro-RO"/>
      </w:rPr>
    </w:lvl>
  </w:abstractNum>
  <w:abstractNum w:abstractNumId="13">
    <w:multiLevelType w:val="hybridMultilevel"/>
    <w:lvl w:ilvl="0">
      <w:start w:val="0"/>
      <w:numFmt w:val="bullet"/>
      <w:lvlText w:val="-"/>
      <w:lvlJc w:val="left"/>
      <w:pPr>
        <w:ind w:left="680" w:hanging="152"/>
      </w:pPr>
      <w:rPr>
        <w:rFonts w:hint="default" w:ascii="Times New Roman" w:hAnsi="Times New Roman" w:eastAsia="Times New Roman" w:cs="Times New Roman"/>
        <w:w w:val="99"/>
        <w:sz w:val="24"/>
        <w:szCs w:val="24"/>
        <w:lang w:val="ro-RO" w:eastAsia="ro-RO" w:bidi="ro-RO"/>
      </w:rPr>
    </w:lvl>
    <w:lvl w:ilvl="1">
      <w:start w:val="0"/>
      <w:numFmt w:val="bullet"/>
      <w:lvlText w:val="•"/>
      <w:lvlJc w:val="left"/>
      <w:pPr>
        <w:ind w:left="1762" w:hanging="152"/>
      </w:pPr>
      <w:rPr>
        <w:rFonts w:hint="default"/>
        <w:lang w:val="ro-RO" w:eastAsia="ro-RO" w:bidi="ro-RO"/>
      </w:rPr>
    </w:lvl>
    <w:lvl w:ilvl="2">
      <w:start w:val="0"/>
      <w:numFmt w:val="bullet"/>
      <w:lvlText w:val="•"/>
      <w:lvlJc w:val="left"/>
      <w:pPr>
        <w:ind w:left="2845" w:hanging="152"/>
      </w:pPr>
      <w:rPr>
        <w:rFonts w:hint="default"/>
        <w:lang w:val="ro-RO" w:eastAsia="ro-RO" w:bidi="ro-RO"/>
      </w:rPr>
    </w:lvl>
    <w:lvl w:ilvl="3">
      <w:start w:val="0"/>
      <w:numFmt w:val="bullet"/>
      <w:lvlText w:val="•"/>
      <w:lvlJc w:val="left"/>
      <w:pPr>
        <w:ind w:left="3927" w:hanging="152"/>
      </w:pPr>
      <w:rPr>
        <w:rFonts w:hint="default"/>
        <w:lang w:val="ro-RO" w:eastAsia="ro-RO" w:bidi="ro-RO"/>
      </w:rPr>
    </w:lvl>
    <w:lvl w:ilvl="4">
      <w:start w:val="0"/>
      <w:numFmt w:val="bullet"/>
      <w:lvlText w:val="•"/>
      <w:lvlJc w:val="left"/>
      <w:pPr>
        <w:ind w:left="5010" w:hanging="152"/>
      </w:pPr>
      <w:rPr>
        <w:rFonts w:hint="default"/>
        <w:lang w:val="ro-RO" w:eastAsia="ro-RO" w:bidi="ro-RO"/>
      </w:rPr>
    </w:lvl>
    <w:lvl w:ilvl="5">
      <w:start w:val="0"/>
      <w:numFmt w:val="bullet"/>
      <w:lvlText w:val="•"/>
      <w:lvlJc w:val="left"/>
      <w:pPr>
        <w:ind w:left="6093" w:hanging="152"/>
      </w:pPr>
      <w:rPr>
        <w:rFonts w:hint="default"/>
        <w:lang w:val="ro-RO" w:eastAsia="ro-RO" w:bidi="ro-RO"/>
      </w:rPr>
    </w:lvl>
    <w:lvl w:ilvl="6">
      <w:start w:val="0"/>
      <w:numFmt w:val="bullet"/>
      <w:lvlText w:val="•"/>
      <w:lvlJc w:val="left"/>
      <w:pPr>
        <w:ind w:left="7175" w:hanging="152"/>
      </w:pPr>
      <w:rPr>
        <w:rFonts w:hint="default"/>
        <w:lang w:val="ro-RO" w:eastAsia="ro-RO" w:bidi="ro-RO"/>
      </w:rPr>
    </w:lvl>
    <w:lvl w:ilvl="7">
      <w:start w:val="0"/>
      <w:numFmt w:val="bullet"/>
      <w:lvlText w:val="•"/>
      <w:lvlJc w:val="left"/>
      <w:pPr>
        <w:ind w:left="8258" w:hanging="152"/>
      </w:pPr>
      <w:rPr>
        <w:rFonts w:hint="default"/>
        <w:lang w:val="ro-RO" w:eastAsia="ro-RO" w:bidi="ro-RO"/>
      </w:rPr>
    </w:lvl>
    <w:lvl w:ilvl="8">
      <w:start w:val="0"/>
      <w:numFmt w:val="bullet"/>
      <w:lvlText w:val="•"/>
      <w:lvlJc w:val="left"/>
      <w:pPr>
        <w:ind w:left="9341" w:hanging="152"/>
      </w:pPr>
      <w:rPr>
        <w:rFonts w:hint="default"/>
        <w:lang w:val="ro-RO" w:eastAsia="ro-RO" w:bidi="ro-RO"/>
      </w:rPr>
    </w:lvl>
  </w:abstractNum>
  <w:abstractNum w:abstractNumId="12">
    <w:multiLevelType w:val="hybridMultilevel"/>
    <w:lvl w:ilvl="0">
      <w:start w:val="0"/>
      <w:numFmt w:val="bullet"/>
      <w:lvlText w:val="-"/>
      <w:lvlJc w:val="left"/>
      <w:pPr>
        <w:ind w:left="879" w:hanging="140"/>
      </w:pPr>
      <w:rPr>
        <w:rFonts w:hint="default" w:ascii="Times New Roman" w:hAnsi="Times New Roman" w:eastAsia="Times New Roman" w:cs="Times New Roman"/>
        <w:w w:val="99"/>
        <w:sz w:val="24"/>
        <w:szCs w:val="24"/>
        <w:lang w:val="ro-RO" w:eastAsia="ro-RO" w:bidi="ro-RO"/>
      </w:rPr>
    </w:lvl>
    <w:lvl w:ilvl="1">
      <w:start w:val="0"/>
      <w:numFmt w:val="bullet"/>
      <w:lvlText w:val="•"/>
      <w:lvlJc w:val="left"/>
      <w:pPr>
        <w:ind w:left="1942" w:hanging="140"/>
      </w:pPr>
      <w:rPr>
        <w:rFonts w:hint="default"/>
        <w:lang w:val="ro-RO" w:eastAsia="ro-RO" w:bidi="ro-RO"/>
      </w:rPr>
    </w:lvl>
    <w:lvl w:ilvl="2">
      <w:start w:val="0"/>
      <w:numFmt w:val="bullet"/>
      <w:lvlText w:val="•"/>
      <w:lvlJc w:val="left"/>
      <w:pPr>
        <w:ind w:left="3005" w:hanging="140"/>
      </w:pPr>
      <w:rPr>
        <w:rFonts w:hint="default"/>
        <w:lang w:val="ro-RO" w:eastAsia="ro-RO" w:bidi="ro-RO"/>
      </w:rPr>
    </w:lvl>
    <w:lvl w:ilvl="3">
      <w:start w:val="0"/>
      <w:numFmt w:val="bullet"/>
      <w:lvlText w:val="•"/>
      <w:lvlJc w:val="left"/>
      <w:pPr>
        <w:ind w:left="4067" w:hanging="140"/>
      </w:pPr>
      <w:rPr>
        <w:rFonts w:hint="default"/>
        <w:lang w:val="ro-RO" w:eastAsia="ro-RO" w:bidi="ro-RO"/>
      </w:rPr>
    </w:lvl>
    <w:lvl w:ilvl="4">
      <w:start w:val="0"/>
      <w:numFmt w:val="bullet"/>
      <w:lvlText w:val="•"/>
      <w:lvlJc w:val="left"/>
      <w:pPr>
        <w:ind w:left="5130" w:hanging="140"/>
      </w:pPr>
      <w:rPr>
        <w:rFonts w:hint="default"/>
        <w:lang w:val="ro-RO" w:eastAsia="ro-RO" w:bidi="ro-RO"/>
      </w:rPr>
    </w:lvl>
    <w:lvl w:ilvl="5">
      <w:start w:val="0"/>
      <w:numFmt w:val="bullet"/>
      <w:lvlText w:val="•"/>
      <w:lvlJc w:val="left"/>
      <w:pPr>
        <w:ind w:left="6193" w:hanging="140"/>
      </w:pPr>
      <w:rPr>
        <w:rFonts w:hint="default"/>
        <w:lang w:val="ro-RO" w:eastAsia="ro-RO" w:bidi="ro-RO"/>
      </w:rPr>
    </w:lvl>
    <w:lvl w:ilvl="6">
      <w:start w:val="0"/>
      <w:numFmt w:val="bullet"/>
      <w:lvlText w:val="•"/>
      <w:lvlJc w:val="left"/>
      <w:pPr>
        <w:ind w:left="7255" w:hanging="140"/>
      </w:pPr>
      <w:rPr>
        <w:rFonts w:hint="default"/>
        <w:lang w:val="ro-RO" w:eastAsia="ro-RO" w:bidi="ro-RO"/>
      </w:rPr>
    </w:lvl>
    <w:lvl w:ilvl="7">
      <w:start w:val="0"/>
      <w:numFmt w:val="bullet"/>
      <w:lvlText w:val="•"/>
      <w:lvlJc w:val="left"/>
      <w:pPr>
        <w:ind w:left="8318" w:hanging="140"/>
      </w:pPr>
      <w:rPr>
        <w:rFonts w:hint="default"/>
        <w:lang w:val="ro-RO" w:eastAsia="ro-RO" w:bidi="ro-RO"/>
      </w:rPr>
    </w:lvl>
    <w:lvl w:ilvl="8">
      <w:start w:val="0"/>
      <w:numFmt w:val="bullet"/>
      <w:lvlText w:val="•"/>
      <w:lvlJc w:val="left"/>
      <w:pPr>
        <w:ind w:left="9381" w:hanging="140"/>
      </w:pPr>
      <w:rPr>
        <w:rFonts w:hint="default"/>
        <w:lang w:val="ro-RO" w:eastAsia="ro-RO" w:bidi="ro-RO"/>
      </w:rPr>
    </w:lvl>
  </w:abstractNum>
  <w:abstractNum w:abstractNumId="11">
    <w:multiLevelType w:val="hybridMultilevel"/>
    <w:lvl w:ilvl="0">
      <w:start w:val="1"/>
      <w:numFmt w:val="decimal"/>
      <w:lvlText w:val="%1."/>
      <w:lvlJc w:val="left"/>
      <w:pPr>
        <w:ind w:left="680" w:hanging="181"/>
        <w:jc w:val="left"/>
      </w:pPr>
      <w:rPr>
        <w:rFonts w:hint="default" w:ascii="Times New Roman" w:hAnsi="Times New Roman" w:eastAsia="Times New Roman" w:cs="Times New Roman"/>
        <w:spacing w:val="-4"/>
        <w:w w:val="99"/>
        <w:sz w:val="22"/>
        <w:szCs w:val="22"/>
        <w:lang w:val="ro-RO" w:eastAsia="ro-RO" w:bidi="ro-RO"/>
      </w:rPr>
    </w:lvl>
    <w:lvl w:ilvl="1">
      <w:start w:val="0"/>
      <w:numFmt w:val="bullet"/>
      <w:lvlText w:val="•"/>
      <w:lvlJc w:val="left"/>
      <w:pPr>
        <w:ind w:left="1762" w:hanging="181"/>
      </w:pPr>
      <w:rPr>
        <w:rFonts w:hint="default"/>
        <w:lang w:val="ro-RO" w:eastAsia="ro-RO" w:bidi="ro-RO"/>
      </w:rPr>
    </w:lvl>
    <w:lvl w:ilvl="2">
      <w:start w:val="0"/>
      <w:numFmt w:val="bullet"/>
      <w:lvlText w:val="•"/>
      <w:lvlJc w:val="left"/>
      <w:pPr>
        <w:ind w:left="2845" w:hanging="181"/>
      </w:pPr>
      <w:rPr>
        <w:rFonts w:hint="default"/>
        <w:lang w:val="ro-RO" w:eastAsia="ro-RO" w:bidi="ro-RO"/>
      </w:rPr>
    </w:lvl>
    <w:lvl w:ilvl="3">
      <w:start w:val="0"/>
      <w:numFmt w:val="bullet"/>
      <w:lvlText w:val="•"/>
      <w:lvlJc w:val="left"/>
      <w:pPr>
        <w:ind w:left="3927" w:hanging="181"/>
      </w:pPr>
      <w:rPr>
        <w:rFonts w:hint="default"/>
        <w:lang w:val="ro-RO" w:eastAsia="ro-RO" w:bidi="ro-RO"/>
      </w:rPr>
    </w:lvl>
    <w:lvl w:ilvl="4">
      <w:start w:val="0"/>
      <w:numFmt w:val="bullet"/>
      <w:lvlText w:val="•"/>
      <w:lvlJc w:val="left"/>
      <w:pPr>
        <w:ind w:left="5010" w:hanging="181"/>
      </w:pPr>
      <w:rPr>
        <w:rFonts w:hint="default"/>
        <w:lang w:val="ro-RO" w:eastAsia="ro-RO" w:bidi="ro-RO"/>
      </w:rPr>
    </w:lvl>
    <w:lvl w:ilvl="5">
      <w:start w:val="0"/>
      <w:numFmt w:val="bullet"/>
      <w:lvlText w:val="•"/>
      <w:lvlJc w:val="left"/>
      <w:pPr>
        <w:ind w:left="6093" w:hanging="181"/>
      </w:pPr>
      <w:rPr>
        <w:rFonts w:hint="default"/>
        <w:lang w:val="ro-RO" w:eastAsia="ro-RO" w:bidi="ro-RO"/>
      </w:rPr>
    </w:lvl>
    <w:lvl w:ilvl="6">
      <w:start w:val="0"/>
      <w:numFmt w:val="bullet"/>
      <w:lvlText w:val="•"/>
      <w:lvlJc w:val="left"/>
      <w:pPr>
        <w:ind w:left="7175" w:hanging="181"/>
      </w:pPr>
      <w:rPr>
        <w:rFonts w:hint="default"/>
        <w:lang w:val="ro-RO" w:eastAsia="ro-RO" w:bidi="ro-RO"/>
      </w:rPr>
    </w:lvl>
    <w:lvl w:ilvl="7">
      <w:start w:val="0"/>
      <w:numFmt w:val="bullet"/>
      <w:lvlText w:val="•"/>
      <w:lvlJc w:val="left"/>
      <w:pPr>
        <w:ind w:left="8258" w:hanging="181"/>
      </w:pPr>
      <w:rPr>
        <w:rFonts w:hint="default"/>
        <w:lang w:val="ro-RO" w:eastAsia="ro-RO" w:bidi="ro-RO"/>
      </w:rPr>
    </w:lvl>
    <w:lvl w:ilvl="8">
      <w:start w:val="0"/>
      <w:numFmt w:val="bullet"/>
      <w:lvlText w:val="•"/>
      <w:lvlJc w:val="left"/>
      <w:pPr>
        <w:ind w:left="9341" w:hanging="181"/>
      </w:pPr>
      <w:rPr>
        <w:rFonts w:hint="default"/>
        <w:lang w:val="ro-RO" w:eastAsia="ro-RO" w:bidi="ro-RO"/>
      </w:rPr>
    </w:lvl>
  </w:abstractNum>
  <w:abstractNum w:abstractNumId="9">
    <w:multiLevelType w:val="hybridMultilevel"/>
    <w:lvl w:ilvl="0">
      <w:start w:val="0"/>
      <w:numFmt w:val="bullet"/>
      <w:lvlText w:val="-"/>
      <w:lvlJc w:val="left"/>
      <w:pPr>
        <w:ind w:left="680" w:hanging="243"/>
      </w:pPr>
      <w:rPr>
        <w:rFonts w:hint="default"/>
        <w:spacing w:val="-18"/>
        <w:w w:val="99"/>
        <w:lang w:val="ro-RO" w:eastAsia="ro-RO" w:bidi="ro-RO"/>
      </w:rPr>
    </w:lvl>
    <w:lvl w:ilvl="1">
      <w:start w:val="0"/>
      <w:numFmt w:val="bullet"/>
      <w:lvlText w:val="•"/>
      <w:lvlJc w:val="left"/>
      <w:pPr>
        <w:ind w:left="1762" w:hanging="243"/>
      </w:pPr>
      <w:rPr>
        <w:rFonts w:hint="default"/>
        <w:lang w:val="ro-RO" w:eastAsia="ro-RO" w:bidi="ro-RO"/>
      </w:rPr>
    </w:lvl>
    <w:lvl w:ilvl="2">
      <w:start w:val="0"/>
      <w:numFmt w:val="bullet"/>
      <w:lvlText w:val="•"/>
      <w:lvlJc w:val="left"/>
      <w:pPr>
        <w:ind w:left="2845" w:hanging="243"/>
      </w:pPr>
      <w:rPr>
        <w:rFonts w:hint="default"/>
        <w:lang w:val="ro-RO" w:eastAsia="ro-RO" w:bidi="ro-RO"/>
      </w:rPr>
    </w:lvl>
    <w:lvl w:ilvl="3">
      <w:start w:val="0"/>
      <w:numFmt w:val="bullet"/>
      <w:lvlText w:val="•"/>
      <w:lvlJc w:val="left"/>
      <w:pPr>
        <w:ind w:left="3927" w:hanging="243"/>
      </w:pPr>
      <w:rPr>
        <w:rFonts w:hint="default"/>
        <w:lang w:val="ro-RO" w:eastAsia="ro-RO" w:bidi="ro-RO"/>
      </w:rPr>
    </w:lvl>
    <w:lvl w:ilvl="4">
      <w:start w:val="0"/>
      <w:numFmt w:val="bullet"/>
      <w:lvlText w:val="•"/>
      <w:lvlJc w:val="left"/>
      <w:pPr>
        <w:ind w:left="5010" w:hanging="243"/>
      </w:pPr>
      <w:rPr>
        <w:rFonts w:hint="default"/>
        <w:lang w:val="ro-RO" w:eastAsia="ro-RO" w:bidi="ro-RO"/>
      </w:rPr>
    </w:lvl>
    <w:lvl w:ilvl="5">
      <w:start w:val="0"/>
      <w:numFmt w:val="bullet"/>
      <w:lvlText w:val="•"/>
      <w:lvlJc w:val="left"/>
      <w:pPr>
        <w:ind w:left="6093" w:hanging="243"/>
      </w:pPr>
      <w:rPr>
        <w:rFonts w:hint="default"/>
        <w:lang w:val="ro-RO" w:eastAsia="ro-RO" w:bidi="ro-RO"/>
      </w:rPr>
    </w:lvl>
    <w:lvl w:ilvl="6">
      <w:start w:val="0"/>
      <w:numFmt w:val="bullet"/>
      <w:lvlText w:val="•"/>
      <w:lvlJc w:val="left"/>
      <w:pPr>
        <w:ind w:left="7175" w:hanging="243"/>
      </w:pPr>
      <w:rPr>
        <w:rFonts w:hint="default"/>
        <w:lang w:val="ro-RO" w:eastAsia="ro-RO" w:bidi="ro-RO"/>
      </w:rPr>
    </w:lvl>
    <w:lvl w:ilvl="7">
      <w:start w:val="0"/>
      <w:numFmt w:val="bullet"/>
      <w:lvlText w:val="•"/>
      <w:lvlJc w:val="left"/>
      <w:pPr>
        <w:ind w:left="8258" w:hanging="243"/>
      </w:pPr>
      <w:rPr>
        <w:rFonts w:hint="default"/>
        <w:lang w:val="ro-RO" w:eastAsia="ro-RO" w:bidi="ro-RO"/>
      </w:rPr>
    </w:lvl>
    <w:lvl w:ilvl="8">
      <w:start w:val="0"/>
      <w:numFmt w:val="bullet"/>
      <w:lvlText w:val="•"/>
      <w:lvlJc w:val="left"/>
      <w:pPr>
        <w:ind w:left="9341" w:hanging="243"/>
      </w:pPr>
      <w:rPr>
        <w:rFonts w:hint="default"/>
        <w:lang w:val="ro-RO" w:eastAsia="ro-RO" w:bidi="ro-RO"/>
      </w:rPr>
    </w:lvl>
  </w:abstractNum>
  <w:abstractNum w:abstractNumId="8">
    <w:multiLevelType w:val="hybridMultilevel"/>
    <w:lvl w:ilvl="0">
      <w:start w:val="1"/>
      <w:numFmt w:val="lowerLetter"/>
      <w:lvlText w:val="%0-%1"/>
      <w:lvlJc w:val="left"/>
      <w:pPr>
        <w:ind w:left="592" w:hanging="360"/>
        <w:jc w:val="left"/>
      </w:pPr>
      <w:rPr>
        <w:rFonts w:hint="default" w:ascii="Times New Roman" w:hAnsi="Times New Roman" w:eastAsia="Times New Roman" w:cs="Times New Roman"/>
        <w:spacing w:val="-1"/>
        <w:w w:val="99"/>
        <w:sz w:val="22"/>
        <w:szCs w:val="22"/>
        <w:lang w:val="ro-RO" w:eastAsia="ro-RO" w:bidi="ro-RO"/>
      </w:rPr>
    </w:lvl>
    <w:lvl w:ilvl="1">
      <w:start w:val="1"/>
      <w:numFmt w:val="decimal"/>
      <w:lvlText w:val="%2."/>
      <w:lvlJc w:val="left"/>
      <w:pPr>
        <w:ind w:left="680" w:hanging="181"/>
        <w:jc w:val="left"/>
      </w:pPr>
      <w:rPr>
        <w:rFonts w:hint="default" w:ascii="Times New Roman" w:hAnsi="Times New Roman" w:eastAsia="Times New Roman" w:cs="Times New Roman"/>
        <w:spacing w:val="-2"/>
        <w:w w:val="100"/>
        <w:sz w:val="22"/>
        <w:szCs w:val="22"/>
        <w:lang w:val="ro-RO" w:eastAsia="ro-RO" w:bidi="ro-RO"/>
      </w:rPr>
    </w:lvl>
    <w:lvl w:ilvl="2">
      <w:start w:val="0"/>
      <w:numFmt w:val="bullet"/>
      <w:lvlText w:val="•"/>
      <w:lvlJc w:val="left"/>
      <w:pPr>
        <w:ind w:left="1827" w:hanging="181"/>
      </w:pPr>
      <w:rPr>
        <w:rFonts w:hint="default"/>
        <w:lang w:val="ro-RO" w:eastAsia="ro-RO" w:bidi="ro-RO"/>
      </w:rPr>
    </w:lvl>
    <w:lvl w:ilvl="3">
      <w:start w:val="0"/>
      <w:numFmt w:val="bullet"/>
      <w:lvlText w:val="•"/>
      <w:lvlJc w:val="left"/>
      <w:pPr>
        <w:ind w:left="2974" w:hanging="181"/>
      </w:pPr>
      <w:rPr>
        <w:rFonts w:hint="default"/>
        <w:lang w:val="ro-RO" w:eastAsia="ro-RO" w:bidi="ro-RO"/>
      </w:rPr>
    </w:lvl>
    <w:lvl w:ilvl="4">
      <w:start w:val="0"/>
      <w:numFmt w:val="bullet"/>
      <w:lvlText w:val="•"/>
      <w:lvlJc w:val="left"/>
      <w:pPr>
        <w:ind w:left="4122" w:hanging="181"/>
      </w:pPr>
      <w:rPr>
        <w:rFonts w:hint="default"/>
        <w:lang w:val="ro-RO" w:eastAsia="ro-RO" w:bidi="ro-RO"/>
      </w:rPr>
    </w:lvl>
    <w:lvl w:ilvl="5">
      <w:start w:val="0"/>
      <w:numFmt w:val="bullet"/>
      <w:lvlText w:val="•"/>
      <w:lvlJc w:val="left"/>
      <w:pPr>
        <w:ind w:left="5269" w:hanging="181"/>
      </w:pPr>
      <w:rPr>
        <w:rFonts w:hint="default"/>
        <w:lang w:val="ro-RO" w:eastAsia="ro-RO" w:bidi="ro-RO"/>
      </w:rPr>
    </w:lvl>
    <w:lvl w:ilvl="6">
      <w:start w:val="0"/>
      <w:numFmt w:val="bullet"/>
      <w:lvlText w:val="•"/>
      <w:lvlJc w:val="left"/>
      <w:pPr>
        <w:ind w:left="6416" w:hanging="181"/>
      </w:pPr>
      <w:rPr>
        <w:rFonts w:hint="default"/>
        <w:lang w:val="ro-RO" w:eastAsia="ro-RO" w:bidi="ro-RO"/>
      </w:rPr>
    </w:lvl>
    <w:lvl w:ilvl="7">
      <w:start w:val="0"/>
      <w:numFmt w:val="bullet"/>
      <w:lvlText w:val="•"/>
      <w:lvlJc w:val="left"/>
      <w:pPr>
        <w:ind w:left="7564" w:hanging="181"/>
      </w:pPr>
      <w:rPr>
        <w:rFonts w:hint="default"/>
        <w:lang w:val="ro-RO" w:eastAsia="ro-RO" w:bidi="ro-RO"/>
      </w:rPr>
    </w:lvl>
    <w:lvl w:ilvl="8">
      <w:start w:val="0"/>
      <w:numFmt w:val="bullet"/>
      <w:lvlText w:val="•"/>
      <w:lvlJc w:val="left"/>
      <w:pPr>
        <w:ind w:left="8711" w:hanging="181"/>
      </w:pPr>
      <w:rPr>
        <w:rFonts w:hint="default"/>
        <w:lang w:val="ro-RO" w:eastAsia="ro-RO" w:bidi="ro-RO"/>
      </w:rPr>
    </w:lvl>
  </w:abstractNum>
  <w:abstractNum w:abstractNumId="7">
    <w:multiLevelType w:val="hybridMultilevel"/>
    <w:lvl w:ilvl="0">
      <w:start w:val="1"/>
      <w:numFmt w:val="lowerLetter"/>
      <w:lvlText w:val="%1."/>
      <w:lvlJc w:val="left"/>
      <w:pPr>
        <w:ind w:left="953" w:hanging="360"/>
        <w:jc w:val="left"/>
      </w:pPr>
      <w:rPr>
        <w:rFonts w:hint="default" w:ascii="Times New Roman" w:hAnsi="Times New Roman" w:eastAsia="Times New Roman" w:cs="Times New Roman"/>
        <w:spacing w:val="-2"/>
        <w:w w:val="100"/>
        <w:sz w:val="24"/>
        <w:szCs w:val="24"/>
        <w:lang w:val="ro-RO" w:eastAsia="ro-RO" w:bidi="ro-RO"/>
      </w:rPr>
    </w:lvl>
    <w:lvl w:ilvl="1">
      <w:start w:val="0"/>
      <w:numFmt w:val="bullet"/>
      <w:lvlText w:val="•"/>
      <w:lvlJc w:val="left"/>
      <w:pPr>
        <w:ind w:left="1964" w:hanging="360"/>
      </w:pPr>
      <w:rPr>
        <w:rFonts w:hint="default"/>
        <w:lang w:val="ro-RO" w:eastAsia="ro-RO" w:bidi="ro-RO"/>
      </w:rPr>
    </w:lvl>
    <w:lvl w:ilvl="2">
      <w:start w:val="0"/>
      <w:numFmt w:val="bullet"/>
      <w:lvlText w:val="•"/>
      <w:lvlJc w:val="left"/>
      <w:pPr>
        <w:ind w:left="2969" w:hanging="360"/>
      </w:pPr>
      <w:rPr>
        <w:rFonts w:hint="default"/>
        <w:lang w:val="ro-RO" w:eastAsia="ro-RO" w:bidi="ro-RO"/>
      </w:rPr>
    </w:lvl>
    <w:lvl w:ilvl="3">
      <w:start w:val="0"/>
      <w:numFmt w:val="bullet"/>
      <w:lvlText w:val="•"/>
      <w:lvlJc w:val="left"/>
      <w:pPr>
        <w:ind w:left="3973" w:hanging="360"/>
      </w:pPr>
      <w:rPr>
        <w:rFonts w:hint="default"/>
        <w:lang w:val="ro-RO" w:eastAsia="ro-RO" w:bidi="ro-RO"/>
      </w:rPr>
    </w:lvl>
    <w:lvl w:ilvl="4">
      <w:start w:val="0"/>
      <w:numFmt w:val="bullet"/>
      <w:lvlText w:val="•"/>
      <w:lvlJc w:val="left"/>
      <w:pPr>
        <w:ind w:left="4978" w:hanging="360"/>
      </w:pPr>
      <w:rPr>
        <w:rFonts w:hint="default"/>
        <w:lang w:val="ro-RO" w:eastAsia="ro-RO" w:bidi="ro-RO"/>
      </w:rPr>
    </w:lvl>
    <w:lvl w:ilvl="5">
      <w:start w:val="0"/>
      <w:numFmt w:val="bullet"/>
      <w:lvlText w:val="•"/>
      <w:lvlJc w:val="left"/>
      <w:pPr>
        <w:ind w:left="5983" w:hanging="360"/>
      </w:pPr>
      <w:rPr>
        <w:rFonts w:hint="default"/>
        <w:lang w:val="ro-RO" w:eastAsia="ro-RO" w:bidi="ro-RO"/>
      </w:rPr>
    </w:lvl>
    <w:lvl w:ilvl="6">
      <w:start w:val="0"/>
      <w:numFmt w:val="bullet"/>
      <w:lvlText w:val="•"/>
      <w:lvlJc w:val="left"/>
      <w:pPr>
        <w:ind w:left="6987" w:hanging="360"/>
      </w:pPr>
      <w:rPr>
        <w:rFonts w:hint="default"/>
        <w:lang w:val="ro-RO" w:eastAsia="ro-RO" w:bidi="ro-RO"/>
      </w:rPr>
    </w:lvl>
    <w:lvl w:ilvl="7">
      <w:start w:val="0"/>
      <w:numFmt w:val="bullet"/>
      <w:lvlText w:val="•"/>
      <w:lvlJc w:val="left"/>
      <w:pPr>
        <w:ind w:left="7992" w:hanging="360"/>
      </w:pPr>
      <w:rPr>
        <w:rFonts w:hint="default"/>
        <w:lang w:val="ro-RO" w:eastAsia="ro-RO" w:bidi="ro-RO"/>
      </w:rPr>
    </w:lvl>
    <w:lvl w:ilvl="8">
      <w:start w:val="0"/>
      <w:numFmt w:val="bullet"/>
      <w:lvlText w:val="•"/>
      <w:lvlJc w:val="left"/>
      <w:pPr>
        <w:ind w:left="8997" w:hanging="360"/>
      </w:pPr>
      <w:rPr>
        <w:rFonts w:hint="default"/>
        <w:lang w:val="ro-RO" w:eastAsia="ro-RO" w:bidi="ro-RO"/>
      </w:rPr>
    </w:lvl>
  </w:abstractNum>
  <w:abstractNum w:abstractNumId="6">
    <w:multiLevelType w:val="hybridMultilevel"/>
    <w:lvl w:ilvl="0">
      <w:start w:val="0"/>
      <w:numFmt w:val="bullet"/>
      <w:lvlText w:val="-"/>
      <w:lvlJc w:val="left"/>
      <w:pPr>
        <w:ind w:left="233" w:hanging="180"/>
      </w:pPr>
      <w:rPr>
        <w:rFonts w:hint="default" w:ascii="Times New Roman" w:hAnsi="Times New Roman" w:eastAsia="Times New Roman" w:cs="Times New Roman"/>
        <w:spacing w:val="-21"/>
        <w:w w:val="99"/>
        <w:sz w:val="24"/>
        <w:szCs w:val="24"/>
        <w:lang w:val="ro-RO" w:eastAsia="ro-RO" w:bidi="ro-RO"/>
      </w:rPr>
    </w:lvl>
    <w:lvl w:ilvl="1">
      <w:start w:val="0"/>
      <w:numFmt w:val="bullet"/>
      <w:lvlText w:val="-"/>
      <w:lvlJc w:val="left"/>
      <w:pPr>
        <w:ind w:left="463" w:hanging="140"/>
      </w:pPr>
      <w:rPr>
        <w:rFonts w:hint="default" w:ascii="Times New Roman" w:hAnsi="Times New Roman" w:eastAsia="Times New Roman" w:cs="Times New Roman"/>
        <w:w w:val="99"/>
        <w:sz w:val="24"/>
        <w:szCs w:val="24"/>
        <w:lang w:val="ro-RO" w:eastAsia="ro-RO" w:bidi="ro-RO"/>
      </w:rPr>
    </w:lvl>
    <w:lvl w:ilvl="2">
      <w:start w:val="0"/>
      <w:numFmt w:val="bullet"/>
      <w:lvlText w:val="•"/>
      <w:lvlJc w:val="left"/>
      <w:pPr>
        <w:ind w:left="740" w:hanging="140"/>
      </w:pPr>
      <w:rPr>
        <w:rFonts w:hint="default"/>
        <w:lang w:val="ro-RO" w:eastAsia="ro-RO" w:bidi="ro-RO"/>
      </w:rPr>
    </w:lvl>
    <w:lvl w:ilvl="3">
      <w:start w:val="0"/>
      <w:numFmt w:val="bullet"/>
      <w:lvlText w:val="•"/>
      <w:lvlJc w:val="left"/>
      <w:pPr>
        <w:ind w:left="2023" w:hanging="140"/>
      </w:pPr>
      <w:rPr>
        <w:rFonts w:hint="default"/>
        <w:lang w:val="ro-RO" w:eastAsia="ro-RO" w:bidi="ro-RO"/>
      </w:rPr>
    </w:lvl>
    <w:lvl w:ilvl="4">
      <w:start w:val="0"/>
      <w:numFmt w:val="bullet"/>
      <w:lvlText w:val="•"/>
      <w:lvlJc w:val="left"/>
      <w:pPr>
        <w:ind w:left="3306" w:hanging="140"/>
      </w:pPr>
      <w:rPr>
        <w:rFonts w:hint="default"/>
        <w:lang w:val="ro-RO" w:eastAsia="ro-RO" w:bidi="ro-RO"/>
      </w:rPr>
    </w:lvl>
    <w:lvl w:ilvl="5">
      <w:start w:val="0"/>
      <w:numFmt w:val="bullet"/>
      <w:lvlText w:val="•"/>
      <w:lvlJc w:val="left"/>
      <w:pPr>
        <w:ind w:left="4589" w:hanging="140"/>
      </w:pPr>
      <w:rPr>
        <w:rFonts w:hint="default"/>
        <w:lang w:val="ro-RO" w:eastAsia="ro-RO" w:bidi="ro-RO"/>
      </w:rPr>
    </w:lvl>
    <w:lvl w:ilvl="6">
      <w:start w:val="0"/>
      <w:numFmt w:val="bullet"/>
      <w:lvlText w:val="•"/>
      <w:lvlJc w:val="left"/>
      <w:pPr>
        <w:ind w:left="5873" w:hanging="140"/>
      </w:pPr>
      <w:rPr>
        <w:rFonts w:hint="default"/>
        <w:lang w:val="ro-RO" w:eastAsia="ro-RO" w:bidi="ro-RO"/>
      </w:rPr>
    </w:lvl>
    <w:lvl w:ilvl="7">
      <w:start w:val="0"/>
      <w:numFmt w:val="bullet"/>
      <w:lvlText w:val="•"/>
      <w:lvlJc w:val="left"/>
      <w:pPr>
        <w:ind w:left="7156" w:hanging="140"/>
      </w:pPr>
      <w:rPr>
        <w:rFonts w:hint="default"/>
        <w:lang w:val="ro-RO" w:eastAsia="ro-RO" w:bidi="ro-RO"/>
      </w:rPr>
    </w:lvl>
    <w:lvl w:ilvl="8">
      <w:start w:val="0"/>
      <w:numFmt w:val="bullet"/>
      <w:lvlText w:val="•"/>
      <w:lvlJc w:val="left"/>
      <w:pPr>
        <w:ind w:left="8439" w:hanging="140"/>
      </w:pPr>
      <w:rPr>
        <w:rFonts w:hint="default"/>
        <w:lang w:val="ro-RO" w:eastAsia="ro-RO" w:bidi="ro-RO"/>
      </w:rPr>
    </w:lvl>
  </w:abstractNum>
  <w:abstractNum w:abstractNumId="5">
    <w:multiLevelType w:val="hybridMultilevel"/>
    <w:lvl w:ilvl="0">
      <w:start w:val="0"/>
      <w:numFmt w:val="bullet"/>
      <w:lvlText w:val="-"/>
      <w:lvlJc w:val="left"/>
      <w:pPr>
        <w:ind w:left="432" w:hanging="200"/>
      </w:pPr>
      <w:rPr>
        <w:rFonts w:hint="default" w:ascii="Times New Roman" w:hAnsi="Times New Roman" w:eastAsia="Times New Roman" w:cs="Times New Roman"/>
        <w:i/>
        <w:spacing w:val="-1"/>
        <w:w w:val="99"/>
        <w:sz w:val="24"/>
        <w:szCs w:val="24"/>
        <w:lang w:val="ro-RO" w:eastAsia="ro-RO" w:bidi="ro-RO"/>
      </w:rPr>
    </w:lvl>
    <w:lvl w:ilvl="1">
      <w:start w:val="0"/>
      <w:numFmt w:val="bullet"/>
      <w:lvlText w:val="-"/>
      <w:lvlJc w:val="left"/>
      <w:pPr>
        <w:ind w:left="233" w:hanging="168"/>
      </w:pPr>
      <w:rPr>
        <w:rFonts w:hint="default" w:ascii="Times New Roman" w:hAnsi="Times New Roman" w:eastAsia="Times New Roman" w:cs="Times New Roman"/>
        <w:w w:val="99"/>
        <w:sz w:val="24"/>
        <w:szCs w:val="24"/>
        <w:lang w:val="ro-RO" w:eastAsia="ro-RO" w:bidi="ro-RO"/>
      </w:rPr>
    </w:lvl>
    <w:lvl w:ilvl="2">
      <w:start w:val="0"/>
      <w:numFmt w:val="bullet"/>
      <w:lvlText w:val="•"/>
      <w:lvlJc w:val="left"/>
      <w:pPr>
        <w:ind w:left="1614" w:hanging="168"/>
      </w:pPr>
      <w:rPr>
        <w:rFonts w:hint="default"/>
        <w:lang w:val="ro-RO" w:eastAsia="ro-RO" w:bidi="ro-RO"/>
      </w:rPr>
    </w:lvl>
    <w:lvl w:ilvl="3">
      <w:start w:val="0"/>
      <w:numFmt w:val="bullet"/>
      <w:lvlText w:val="•"/>
      <w:lvlJc w:val="left"/>
      <w:pPr>
        <w:ind w:left="2788" w:hanging="168"/>
      </w:pPr>
      <w:rPr>
        <w:rFonts w:hint="default"/>
        <w:lang w:val="ro-RO" w:eastAsia="ro-RO" w:bidi="ro-RO"/>
      </w:rPr>
    </w:lvl>
    <w:lvl w:ilvl="4">
      <w:start w:val="0"/>
      <w:numFmt w:val="bullet"/>
      <w:lvlText w:val="•"/>
      <w:lvlJc w:val="left"/>
      <w:pPr>
        <w:ind w:left="3962" w:hanging="168"/>
      </w:pPr>
      <w:rPr>
        <w:rFonts w:hint="default"/>
        <w:lang w:val="ro-RO" w:eastAsia="ro-RO" w:bidi="ro-RO"/>
      </w:rPr>
    </w:lvl>
    <w:lvl w:ilvl="5">
      <w:start w:val="0"/>
      <w:numFmt w:val="bullet"/>
      <w:lvlText w:val="•"/>
      <w:lvlJc w:val="left"/>
      <w:pPr>
        <w:ind w:left="5136" w:hanging="168"/>
      </w:pPr>
      <w:rPr>
        <w:rFonts w:hint="default"/>
        <w:lang w:val="ro-RO" w:eastAsia="ro-RO" w:bidi="ro-RO"/>
      </w:rPr>
    </w:lvl>
    <w:lvl w:ilvl="6">
      <w:start w:val="0"/>
      <w:numFmt w:val="bullet"/>
      <w:lvlText w:val="•"/>
      <w:lvlJc w:val="left"/>
      <w:pPr>
        <w:ind w:left="6310" w:hanging="168"/>
      </w:pPr>
      <w:rPr>
        <w:rFonts w:hint="default"/>
        <w:lang w:val="ro-RO" w:eastAsia="ro-RO" w:bidi="ro-RO"/>
      </w:rPr>
    </w:lvl>
    <w:lvl w:ilvl="7">
      <w:start w:val="0"/>
      <w:numFmt w:val="bullet"/>
      <w:lvlText w:val="•"/>
      <w:lvlJc w:val="left"/>
      <w:pPr>
        <w:ind w:left="7484" w:hanging="168"/>
      </w:pPr>
      <w:rPr>
        <w:rFonts w:hint="default"/>
        <w:lang w:val="ro-RO" w:eastAsia="ro-RO" w:bidi="ro-RO"/>
      </w:rPr>
    </w:lvl>
    <w:lvl w:ilvl="8">
      <w:start w:val="0"/>
      <w:numFmt w:val="bullet"/>
      <w:lvlText w:val="•"/>
      <w:lvlJc w:val="left"/>
      <w:pPr>
        <w:ind w:left="8658" w:hanging="168"/>
      </w:pPr>
      <w:rPr>
        <w:rFonts w:hint="default"/>
        <w:lang w:val="ro-RO" w:eastAsia="ro-RO" w:bidi="ro-RO"/>
      </w:rPr>
    </w:lvl>
  </w:abstractNum>
  <w:abstractNum w:abstractNumId="4">
    <w:multiLevelType w:val="hybridMultilevel"/>
    <w:lvl w:ilvl="0">
      <w:start w:val="1"/>
      <w:numFmt w:val="decimal"/>
      <w:lvlText w:val="%1."/>
      <w:lvlJc w:val="left"/>
      <w:pPr>
        <w:ind w:left="533" w:hanging="240"/>
        <w:jc w:val="left"/>
      </w:pPr>
      <w:rPr>
        <w:rFonts w:hint="default" w:ascii="Times New Roman" w:hAnsi="Times New Roman" w:eastAsia="Times New Roman" w:cs="Times New Roman"/>
        <w:spacing w:val="-2"/>
        <w:w w:val="99"/>
        <w:sz w:val="24"/>
        <w:szCs w:val="24"/>
        <w:lang w:val="ro-RO" w:eastAsia="ro-RO" w:bidi="ro-RO"/>
      </w:rPr>
    </w:lvl>
    <w:lvl w:ilvl="1">
      <w:start w:val="0"/>
      <w:numFmt w:val="bullet"/>
      <w:lvlText w:val="•"/>
      <w:lvlJc w:val="left"/>
      <w:pPr>
        <w:ind w:left="1586" w:hanging="240"/>
      </w:pPr>
      <w:rPr>
        <w:rFonts w:hint="default"/>
        <w:lang w:val="ro-RO" w:eastAsia="ro-RO" w:bidi="ro-RO"/>
      </w:rPr>
    </w:lvl>
    <w:lvl w:ilvl="2">
      <w:start w:val="0"/>
      <w:numFmt w:val="bullet"/>
      <w:lvlText w:val="•"/>
      <w:lvlJc w:val="left"/>
      <w:pPr>
        <w:ind w:left="2633" w:hanging="240"/>
      </w:pPr>
      <w:rPr>
        <w:rFonts w:hint="default"/>
        <w:lang w:val="ro-RO" w:eastAsia="ro-RO" w:bidi="ro-RO"/>
      </w:rPr>
    </w:lvl>
    <w:lvl w:ilvl="3">
      <w:start w:val="0"/>
      <w:numFmt w:val="bullet"/>
      <w:lvlText w:val="•"/>
      <w:lvlJc w:val="left"/>
      <w:pPr>
        <w:ind w:left="3679" w:hanging="240"/>
      </w:pPr>
      <w:rPr>
        <w:rFonts w:hint="default"/>
        <w:lang w:val="ro-RO" w:eastAsia="ro-RO" w:bidi="ro-RO"/>
      </w:rPr>
    </w:lvl>
    <w:lvl w:ilvl="4">
      <w:start w:val="0"/>
      <w:numFmt w:val="bullet"/>
      <w:lvlText w:val="•"/>
      <w:lvlJc w:val="left"/>
      <w:pPr>
        <w:ind w:left="4726" w:hanging="240"/>
      </w:pPr>
      <w:rPr>
        <w:rFonts w:hint="default"/>
        <w:lang w:val="ro-RO" w:eastAsia="ro-RO" w:bidi="ro-RO"/>
      </w:rPr>
    </w:lvl>
    <w:lvl w:ilvl="5">
      <w:start w:val="0"/>
      <w:numFmt w:val="bullet"/>
      <w:lvlText w:val="•"/>
      <w:lvlJc w:val="left"/>
      <w:pPr>
        <w:ind w:left="5773" w:hanging="240"/>
      </w:pPr>
      <w:rPr>
        <w:rFonts w:hint="default"/>
        <w:lang w:val="ro-RO" w:eastAsia="ro-RO" w:bidi="ro-RO"/>
      </w:rPr>
    </w:lvl>
    <w:lvl w:ilvl="6">
      <w:start w:val="0"/>
      <w:numFmt w:val="bullet"/>
      <w:lvlText w:val="•"/>
      <w:lvlJc w:val="left"/>
      <w:pPr>
        <w:ind w:left="6819" w:hanging="240"/>
      </w:pPr>
      <w:rPr>
        <w:rFonts w:hint="default"/>
        <w:lang w:val="ro-RO" w:eastAsia="ro-RO" w:bidi="ro-RO"/>
      </w:rPr>
    </w:lvl>
    <w:lvl w:ilvl="7">
      <w:start w:val="0"/>
      <w:numFmt w:val="bullet"/>
      <w:lvlText w:val="•"/>
      <w:lvlJc w:val="left"/>
      <w:pPr>
        <w:ind w:left="7866" w:hanging="240"/>
      </w:pPr>
      <w:rPr>
        <w:rFonts w:hint="default"/>
        <w:lang w:val="ro-RO" w:eastAsia="ro-RO" w:bidi="ro-RO"/>
      </w:rPr>
    </w:lvl>
    <w:lvl w:ilvl="8">
      <w:start w:val="0"/>
      <w:numFmt w:val="bullet"/>
      <w:lvlText w:val="•"/>
      <w:lvlJc w:val="left"/>
      <w:pPr>
        <w:ind w:left="8913" w:hanging="240"/>
      </w:pPr>
      <w:rPr>
        <w:rFonts w:hint="default"/>
        <w:lang w:val="ro-RO" w:eastAsia="ro-RO" w:bidi="ro-RO"/>
      </w:rPr>
    </w:lvl>
  </w:abstractNum>
  <w:abstractNum w:abstractNumId="3">
    <w:multiLevelType w:val="hybridMultilevel"/>
    <w:lvl w:ilvl="0">
      <w:start w:val="3"/>
      <w:numFmt w:val="decimal"/>
      <w:lvlText w:val="%1."/>
      <w:lvlJc w:val="left"/>
      <w:pPr>
        <w:ind w:left="474" w:hanging="181"/>
        <w:jc w:val="left"/>
      </w:pPr>
      <w:rPr>
        <w:rFonts w:hint="default" w:ascii="Times New Roman" w:hAnsi="Times New Roman" w:eastAsia="Times New Roman" w:cs="Times New Roman"/>
        <w:spacing w:val="-2"/>
        <w:w w:val="99"/>
        <w:sz w:val="22"/>
        <w:szCs w:val="22"/>
        <w:lang w:val="ro-RO" w:eastAsia="ro-RO" w:bidi="ro-RO"/>
      </w:rPr>
    </w:lvl>
    <w:lvl w:ilvl="1">
      <w:start w:val="0"/>
      <w:numFmt w:val="bullet"/>
      <w:lvlText w:val="•"/>
      <w:lvlJc w:val="left"/>
      <w:pPr>
        <w:ind w:left="1532" w:hanging="181"/>
      </w:pPr>
      <w:rPr>
        <w:rFonts w:hint="default"/>
        <w:lang w:val="ro-RO" w:eastAsia="ro-RO" w:bidi="ro-RO"/>
      </w:rPr>
    </w:lvl>
    <w:lvl w:ilvl="2">
      <w:start w:val="0"/>
      <w:numFmt w:val="bullet"/>
      <w:lvlText w:val="•"/>
      <w:lvlJc w:val="left"/>
      <w:pPr>
        <w:ind w:left="2585" w:hanging="181"/>
      </w:pPr>
      <w:rPr>
        <w:rFonts w:hint="default"/>
        <w:lang w:val="ro-RO" w:eastAsia="ro-RO" w:bidi="ro-RO"/>
      </w:rPr>
    </w:lvl>
    <w:lvl w:ilvl="3">
      <w:start w:val="0"/>
      <w:numFmt w:val="bullet"/>
      <w:lvlText w:val="•"/>
      <w:lvlJc w:val="left"/>
      <w:pPr>
        <w:ind w:left="3637" w:hanging="181"/>
      </w:pPr>
      <w:rPr>
        <w:rFonts w:hint="default"/>
        <w:lang w:val="ro-RO" w:eastAsia="ro-RO" w:bidi="ro-RO"/>
      </w:rPr>
    </w:lvl>
    <w:lvl w:ilvl="4">
      <w:start w:val="0"/>
      <w:numFmt w:val="bullet"/>
      <w:lvlText w:val="•"/>
      <w:lvlJc w:val="left"/>
      <w:pPr>
        <w:ind w:left="4690" w:hanging="181"/>
      </w:pPr>
      <w:rPr>
        <w:rFonts w:hint="default"/>
        <w:lang w:val="ro-RO" w:eastAsia="ro-RO" w:bidi="ro-RO"/>
      </w:rPr>
    </w:lvl>
    <w:lvl w:ilvl="5">
      <w:start w:val="0"/>
      <w:numFmt w:val="bullet"/>
      <w:lvlText w:val="•"/>
      <w:lvlJc w:val="left"/>
      <w:pPr>
        <w:ind w:left="5743" w:hanging="181"/>
      </w:pPr>
      <w:rPr>
        <w:rFonts w:hint="default"/>
        <w:lang w:val="ro-RO" w:eastAsia="ro-RO" w:bidi="ro-RO"/>
      </w:rPr>
    </w:lvl>
    <w:lvl w:ilvl="6">
      <w:start w:val="0"/>
      <w:numFmt w:val="bullet"/>
      <w:lvlText w:val="•"/>
      <w:lvlJc w:val="left"/>
      <w:pPr>
        <w:ind w:left="6795" w:hanging="181"/>
      </w:pPr>
      <w:rPr>
        <w:rFonts w:hint="default"/>
        <w:lang w:val="ro-RO" w:eastAsia="ro-RO" w:bidi="ro-RO"/>
      </w:rPr>
    </w:lvl>
    <w:lvl w:ilvl="7">
      <w:start w:val="0"/>
      <w:numFmt w:val="bullet"/>
      <w:lvlText w:val="•"/>
      <w:lvlJc w:val="left"/>
      <w:pPr>
        <w:ind w:left="7848" w:hanging="181"/>
      </w:pPr>
      <w:rPr>
        <w:rFonts w:hint="default"/>
        <w:lang w:val="ro-RO" w:eastAsia="ro-RO" w:bidi="ro-RO"/>
      </w:rPr>
    </w:lvl>
    <w:lvl w:ilvl="8">
      <w:start w:val="0"/>
      <w:numFmt w:val="bullet"/>
      <w:lvlText w:val="•"/>
      <w:lvlJc w:val="left"/>
      <w:pPr>
        <w:ind w:left="8901" w:hanging="181"/>
      </w:pPr>
      <w:rPr>
        <w:rFonts w:hint="default"/>
        <w:lang w:val="ro-RO" w:eastAsia="ro-RO" w:bidi="ro-RO"/>
      </w:rPr>
    </w:lvl>
  </w:abstractNum>
  <w:abstractNum w:abstractNumId="2">
    <w:multiLevelType w:val="hybridMultilevel"/>
    <w:lvl w:ilvl="0">
      <w:start w:val="1"/>
      <w:numFmt w:val="decimal"/>
      <w:lvlText w:val="%1."/>
      <w:lvlJc w:val="left"/>
      <w:pPr>
        <w:ind w:left="473" w:hanging="240"/>
        <w:jc w:val="left"/>
      </w:pPr>
      <w:rPr>
        <w:rFonts w:hint="default" w:ascii="Times New Roman" w:hAnsi="Times New Roman" w:eastAsia="Times New Roman" w:cs="Times New Roman"/>
        <w:spacing w:val="-3"/>
        <w:w w:val="99"/>
        <w:sz w:val="24"/>
        <w:szCs w:val="24"/>
        <w:lang w:val="ro-RO" w:eastAsia="ro-RO" w:bidi="ro-RO"/>
      </w:rPr>
    </w:lvl>
    <w:lvl w:ilvl="1">
      <w:start w:val="0"/>
      <w:numFmt w:val="bullet"/>
      <w:lvlText w:val="•"/>
      <w:lvlJc w:val="left"/>
      <w:pPr>
        <w:ind w:left="1532" w:hanging="240"/>
      </w:pPr>
      <w:rPr>
        <w:rFonts w:hint="default"/>
        <w:lang w:val="ro-RO" w:eastAsia="ro-RO" w:bidi="ro-RO"/>
      </w:rPr>
    </w:lvl>
    <w:lvl w:ilvl="2">
      <w:start w:val="0"/>
      <w:numFmt w:val="bullet"/>
      <w:lvlText w:val="•"/>
      <w:lvlJc w:val="left"/>
      <w:pPr>
        <w:ind w:left="2585" w:hanging="240"/>
      </w:pPr>
      <w:rPr>
        <w:rFonts w:hint="default"/>
        <w:lang w:val="ro-RO" w:eastAsia="ro-RO" w:bidi="ro-RO"/>
      </w:rPr>
    </w:lvl>
    <w:lvl w:ilvl="3">
      <w:start w:val="0"/>
      <w:numFmt w:val="bullet"/>
      <w:lvlText w:val="•"/>
      <w:lvlJc w:val="left"/>
      <w:pPr>
        <w:ind w:left="3637" w:hanging="240"/>
      </w:pPr>
      <w:rPr>
        <w:rFonts w:hint="default"/>
        <w:lang w:val="ro-RO" w:eastAsia="ro-RO" w:bidi="ro-RO"/>
      </w:rPr>
    </w:lvl>
    <w:lvl w:ilvl="4">
      <w:start w:val="0"/>
      <w:numFmt w:val="bullet"/>
      <w:lvlText w:val="•"/>
      <w:lvlJc w:val="left"/>
      <w:pPr>
        <w:ind w:left="4690" w:hanging="240"/>
      </w:pPr>
      <w:rPr>
        <w:rFonts w:hint="default"/>
        <w:lang w:val="ro-RO" w:eastAsia="ro-RO" w:bidi="ro-RO"/>
      </w:rPr>
    </w:lvl>
    <w:lvl w:ilvl="5">
      <w:start w:val="0"/>
      <w:numFmt w:val="bullet"/>
      <w:lvlText w:val="•"/>
      <w:lvlJc w:val="left"/>
      <w:pPr>
        <w:ind w:left="5743" w:hanging="240"/>
      </w:pPr>
      <w:rPr>
        <w:rFonts w:hint="default"/>
        <w:lang w:val="ro-RO" w:eastAsia="ro-RO" w:bidi="ro-RO"/>
      </w:rPr>
    </w:lvl>
    <w:lvl w:ilvl="6">
      <w:start w:val="0"/>
      <w:numFmt w:val="bullet"/>
      <w:lvlText w:val="•"/>
      <w:lvlJc w:val="left"/>
      <w:pPr>
        <w:ind w:left="6795" w:hanging="240"/>
      </w:pPr>
      <w:rPr>
        <w:rFonts w:hint="default"/>
        <w:lang w:val="ro-RO" w:eastAsia="ro-RO" w:bidi="ro-RO"/>
      </w:rPr>
    </w:lvl>
    <w:lvl w:ilvl="7">
      <w:start w:val="0"/>
      <w:numFmt w:val="bullet"/>
      <w:lvlText w:val="•"/>
      <w:lvlJc w:val="left"/>
      <w:pPr>
        <w:ind w:left="7848" w:hanging="240"/>
      </w:pPr>
      <w:rPr>
        <w:rFonts w:hint="default"/>
        <w:lang w:val="ro-RO" w:eastAsia="ro-RO" w:bidi="ro-RO"/>
      </w:rPr>
    </w:lvl>
    <w:lvl w:ilvl="8">
      <w:start w:val="0"/>
      <w:numFmt w:val="bullet"/>
      <w:lvlText w:val="•"/>
      <w:lvlJc w:val="left"/>
      <w:pPr>
        <w:ind w:left="8901" w:hanging="240"/>
      </w:pPr>
      <w:rPr>
        <w:rFonts w:hint="default"/>
        <w:lang w:val="ro-RO" w:eastAsia="ro-RO" w:bidi="ro-RO"/>
      </w:rPr>
    </w:lvl>
  </w:abstractNum>
  <w:abstractNum w:abstractNumId="1">
    <w:multiLevelType w:val="hybridMultilevel"/>
    <w:lvl w:ilvl="0">
      <w:start w:val="0"/>
      <w:numFmt w:val="bullet"/>
      <w:lvlText w:val="-"/>
      <w:lvlJc w:val="left"/>
      <w:pPr>
        <w:ind w:left="233" w:hanging="164"/>
      </w:pPr>
      <w:rPr>
        <w:rFonts w:hint="default"/>
        <w:w w:val="99"/>
        <w:lang w:val="ro-RO" w:eastAsia="ro-RO" w:bidi="ro-RO"/>
      </w:rPr>
    </w:lvl>
    <w:lvl w:ilvl="1">
      <w:start w:val="0"/>
      <w:numFmt w:val="bullet"/>
      <w:lvlText w:val=""/>
      <w:lvlJc w:val="left"/>
      <w:pPr>
        <w:ind w:left="953" w:hanging="360"/>
      </w:pPr>
      <w:rPr>
        <w:rFonts w:hint="default" w:ascii="Symbol" w:hAnsi="Symbol" w:eastAsia="Symbol" w:cs="Symbol"/>
        <w:w w:val="99"/>
        <w:sz w:val="20"/>
        <w:szCs w:val="20"/>
        <w:lang w:val="ro-RO" w:eastAsia="ro-RO" w:bidi="ro-RO"/>
      </w:rPr>
    </w:lvl>
    <w:lvl w:ilvl="2">
      <w:start w:val="0"/>
      <w:numFmt w:val="bullet"/>
      <w:lvlText w:val="•"/>
      <w:lvlJc w:val="left"/>
      <w:pPr>
        <w:ind w:left="2076" w:hanging="360"/>
      </w:pPr>
      <w:rPr>
        <w:rFonts w:hint="default"/>
        <w:lang w:val="ro-RO" w:eastAsia="ro-RO" w:bidi="ro-RO"/>
      </w:rPr>
    </w:lvl>
    <w:lvl w:ilvl="3">
      <w:start w:val="0"/>
      <w:numFmt w:val="bullet"/>
      <w:lvlText w:val="•"/>
      <w:lvlJc w:val="left"/>
      <w:pPr>
        <w:ind w:left="3192" w:hanging="360"/>
      </w:pPr>
      <w:rPr>
        <w:rFonts w:hint="default"/>
        <w:lang w:val="ro-RO" w:eastAsia="ro-RO" w:bidi="ro-RO"/>
      </w:rPr>
    </w:lvl>
    <w:lvl w:ilvl="4">
      <w:start w:val="0"/>
      <w:numFmt w:val="bullet"/>
      <w:lvlText w:val="•"/>
      <w:lvlJc w:val="left"/>
      <w:pPr>
        <w:ind w:left="4308" w:hanging="360"/>
      </w:pPr>
      <w:rPr>
        <w:rFonts w:hint="default"/>
        <w:lang w:val="ro-RO" w:eastAsia="ro-RO" w:bidi="ro-RO"/>
      </w:rPr>
    </w:lvl>
    <w:lvl w:ilvl="5">
      <w:start w:val="0"/>
      <w:numFmt w:val="bullet"/>
      <w:lvlText w:val="•"/>
      <w:lvlJc w:val="left"/>
      <w:pPr>
        <w:ind w:left="5425" w:hanging="360"/>
      </w:pPr>
      <w:rPr>
        <w:rFonts w:hint="default"/>
        <w:lang w:val="ro-RO" w:eastAsia="ro-RO" w:bidi="ro-RO"/>
      </w:rPr>
    </w:lvl>
    <w:lvl w:ilvl="6">
      <w:start w:val="0"/>
      <w:numFmt w:val="bullet"/>
      <w:lvlText w:val="•"/>
      <w:lvlJc w:val="left"/>
      <w:pPr>
        <w:ind w:left="6541" w:hanging="360"/>
      </w:pPr>
      <w:rPr>
        <w:rFonts w:hint="default"/>
        <w:lang w:val="ro-RO" w:eastAsia="ro-RO" w:bidi="ro-RO"/>
      </w:rPr>
    </w:lvl>
    <w:lvl w:ilvl="7">
      <w:start w:val="0"/>
      <w:numFmt w:val="bullet"/>
      <w:lvlText w:val="•"/>
      <w:lvlJc w:val="left"/>
      <w:pPr>
        <w:ind w:left="7657" w:hanging="360"/>
      </w:pPr>
      <w:rPr>
        <w:rFonts w:hint="default"/>
        <w:lang w:val="ro-RO" w:eastAsia="ro-RO" w:bidi="ro-RO"/>
      </w:rPr>
    </w:lvl>
    <w:lvl w:ilvl="8">
      <w:start w:val="0"/>
      <w:numFmt w:val="bullet"/>
      <w:lvlText w:val="•"/>
      <w:lvlJc w:val="left"/>
      <w:pPr>
        <w:ind w:left="8773" w:hanging="360"/>
      </w:pPr>
      <w:rPr>
        <w:rFonts w:hint="default"/>
        <w:lang w:val="ro-RO" w:eastAsia="ro-RO" w:bidi="ro-RO"/>
      </w:rPr>
    </w:lvl>
  </w:abstractNum>
  <w:abstractNum w:abstractNumId="0">
    <w:multiLevelType w:val="hybridMultilevel"/>
    <w:lvl w:ilvl="0">
      <w:start w:val="1"/>
      <w:numFmt w:val="decimal"/>
      <w:lvlText w:val="%1."/>
      <w:lvlJc w:val="left"/>
      <w:pPr>
        <w:ind w:left="953" w:hanging="360"/>
        <w:jc w:val="left"/>
      </w:pPr>
      <w:rPr>
        <w:rFonts w:hint="default" w:ascii="Times New Roman" w:hAnsi="Times New Roman" w:eastAsia="Times New Roman" w:cs="Times New Roman"/>
        <w:b/>
        <w:bCs/>
        <w:spacing w:val="-3"/>
        <w:w w:val="99"/>
        <w:sz w:val="24"/>
        <w:szCs w:val="24"/>
        <w:lang w:val="ro-RO" w:eastAsia="ro-RO" w:bidi="ro-RO"/>
      </w:rPr>
    </w:lvl>
    <w:lvl w:ilvl="1">
      <w:start w:val="0"/>
      <w:numFmt w:val="bullet"/>
      <w:lvlText w:val="•"/>
      <w:lvlJc w:val="left"/>
      <w:pPr>
        <w:ind w:left="1964" w:hanging="360"/>
      </w:pPr>
      <w:rPr>
        <w:rFonts w:hint="default"/>
        <w:lang w:val="ro-RO" w:eastAsia="ro-RO" w:bidi="ro-RO"/>
      </w:rPr>
    </w:lvl>
    <w:lvl w:ilvl="2">
      <w:start w:val="0"/>
      <w:numFmt w:val="bullet"/>
      <w:lvlText w:val="•"/>
      <w:lvlJc w:val="left"/>
      <w:pPr>
        <w:ind w:left="2969" w:hanging="360"/>
      </w:pPr>
      <w:rPr>
        <w:rFonts w:hint="default"/>
        <w:lang w:val="ro-RO" w:eastAsia="ro-RO" w:bidi="ro-RO"/>
      </w:rPr>
    </w:lvl>
    <w:lvl w:ilvl="3">
      <w:start w:val="0"/>
      <w:numFmt w:val="bullet"/>
      <w:lvlText w:val="•"/>
      <w:lvlJc w:val="left"/>
      <w:pPr>
        <w:ind w:left="3973" w:hanging="360"/>
      </w:pPr>
      <w:rPr>
        <w:rFonts w:hint="default"/>
        <w:lang w:val="ro-RO" w:eastAsia="ro-RO" w:bidi="ro-RO"/>
      </w:rPr>
    </w:lvl>
    <w:lvl w:ilvl="4">
      <w:start w:val="0"/>
      <w:numFmt w:val="bullet"/>
      <w:lvlText w:val="•"/>
      <w:lvlJc w:val="left"/>
      <w:pPr>
        <w:ind w:left="4978" w:hanging="360"/>
      </w:pPr>
      <w:rPr>
        <w:rFonts w:hint="default"/>
        <w:lang w:val="ro-RO" w:eastAsia="ro-RO" w:bidi="ro-RO"/>
      </w:rPr>
    </w:lvl>
    <w:lvl w:ilvl="5">
      <w:start w:val="0"/>
      <w:numFmt w:val="bullet"/>
      <w:lvlText w:val="•"/>
      <w:lvlJc w:val="left"/>
      <w:pPr>
        <w:ind w:left="5983" w:hanging="360"/>
      </w:pPr>
      <w:rPr>
        <w:rFonts w:hint="default"/>
        <w:lang w:val="ro-RO" w:eastAsia="ro-RO" w:bidi="ro-RO"/>
      </w:rPr>
    </w:lvl>
    <w:lvl w:ilvl="6">
      <w:start w:val="0"/>
      <w:numFmt w:val="bullet"/>
      <w:lvlText w:val="•"/>
      <w:lvlJc w:val="left"/>
      <w:pPr>
        <w:ind w:left="6987" w:hanging="360"/>
      </w:pPr>
      <w:rPr>
        <w:rFonts w:hint="default"/>
        <w:lang w:val="ro-RO" w:eastAsia="ro-RO" w:bidi="ro-RO"/>
      </w:rPr>
    </w:lvl>
    <w:lvl w:ilvl="7">
      <w:start w:val="0"/>
      <w:numFmt w:val="bullet"/>
      <w:lvlText w:val="•"/>
      <w:lvlJc w:val="left"/>
      <w:pPr>
        <w:ind w:left="7992" w:hanging="360"/>
      </w:pPr>
      <w:rPr>
        <w:rFonts w:hint="default"/>
        <w:lang w:val="ro-RO" w:eastAsia="ro-RO" w:bidi="ro-RO"/>
      </w:rPr>
    </w:lvl>
    <w:lvl w:ilvl="8">
      <w:start w:val="0"/>
      <w:numFmt w:val="bullet"/>
      <w:lvlText w:val="•"/>
      <w:lvlJc w:val="left"/>
      <w:pPr>
        <w:ind w:left="8997" w:hanging="360"/>
      </w:pPr>
      <w:rPr>
        <w:rFonts w:hint="default"/>
        <w:lang w:val="ro-RO" w:eastAsia="ro-RO" w:bidi="ro-RO"/>
      </w:rPr>
    </w:lvl>
  </w:abstractNum>
  <w:num w:numId="11">
    <w:abstractNumId w:val="1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o-RO" w:eastAsia="ro-RO" w:bidi="ro-RO"/>
    </w:rPr>
  </w:style>
  <w:style w:styleId="BodyText" w:type="paragraph">
    <w:name w:val="Body Text"/>
    <w:basedOn w:val="Normal"/>
    <w:uiPriority w:val="1"/>
    <w:qFormat/>
    <w:pPr>
      <w:ind w:left="680"/>
    </w:pPr>
    <w:rPr>
      <w:rFonts w:ascii="Times New Roman" w:hAnsi="Times New Roman" w:eastAsia="Times New Roman" w:cs="Times New Roman"/>
      <w:sz w:val="24"/>
      <w:szCs w:val="24"/>
      <w:lang w:val="ro-RO" w:eastAsia="ro-RO" w:bidi="ro-RO"/>
    </w:rPr>
  </w:style>
  <w:style w:styleId="Heading1" w:type="paragraph">
    <w:name w:val="Heading 1"/>
    <w:basedOn w:val="Normal"/>
    <w:uiPriority w:val="1"/>
    <w:qFormat/>
    <w:pPr>
      <w:ind w:left="233"/>
      <w:outlineLvl w:val="1"/>
    </w:pPr>
    <w:rPr>
      <w:rFonts w:ascii="Times New Roman" w:hAnsi="Times New Roman" w:eastAsia="Times New Roman" w:cs="Times New Roman"/>
      <w:b/>
      <w:bCs/>
      <w:sz w:val="24"/>
      <w:szCs w:val="24"/>
      <w:u w:val="single" w:color="000000"/>
      <w:lang w:val="ro-RO" w:eastAsia="ro-RO" w:bidi="ro-RO"/>
    </w:rPr>
  </w:style>
  <w:style w:styleId="Heading2" w:type="paragraph">
    <w:name w:val="Heading 2"/>
    <w:basedOn w:val="Normal"/>
    <w:uiPriority w:val="1"/>
    <w:qFormat/>
    <w:pPr>
      <w:ind w:left="233"/>
      <w:outlineLvl w:val="2"/>
    </w:pPr>
    <w:rPr>
      <w:rFonts w:ascii="Times New Roman" w:hAnsi="Times New Roman" w:eastAsia="Times New Roman" w:cs="Times New Roman"/>
      <w:b/>
      <w:bCs/>
      <w:i/>
      <w:sz w:val="24"/>
      <w:szCs w:val="24"/>
      <w:lang w:val="ro-RO" w:eastAsia="ro-RO" w:bidi="ro-RO"/>
    </w:rPr>
  </w:style>
  <w:style w:styleId="ListParagraph" w:type="paragraph">
    <w:name w:val="List Paragraph"/>
    <w:basedOn w:val="Normal"/>
    <w:uiPriority w:val="1"/>
    <w:qFormat/>
    <w:pPr>
      <w:ind w:left="680"/>
      <w:jc w:val="both"/>
    </w:pPr>
    <w:rPr>
      <w:rFonts w:ascii="Times New Roman" w:hAnsi="Times New Roman" w:eastAsia="Times New Roman" w:cs="Times New Roman"/>
      <w:lang w:val="ro-RO" w:eastAsia="ro-RO" w:bidi="ro-RO"/>
    </w:rPr>
  </w:style>
  <w:style w:styleId="TableParagraph" w:type="paragraph">
    <w:name w:val="Table Paragraph"/>
    <w:basedOn w:val="Normal"/>
    <w:uiPriority w:val="1"/>
    <w:qFormat/>
    <w:pPr/>
    <w:rPr>
      <w:rFonts w:ascii="Times New Roman" w:hAnsi="Times New Roman" w:eastAsia="Times New Roman" w:cs="Times New Roman"/>
      <w:lang w:val="ro-RO" w:eastAsia="ro-RO" w:bidi="ro-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oter" Target="footer2.xm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footer" Target="footer3.xml"/><Relationship Id="rId47" Type="http://schemas.openxmlformats.org/officeDocument/2006/relationships/hyperlink" Target="http://www.ms.ro/" TargetMode="External"/><Relationship Id="rId48" Type="http://schemas.openxmlformats.org/officeDocument/2006/relationships/footer" Target="footer4.xml"/><Relationship Id="rId49" Type="http://schemas.openxmlformats.org/officeDocument/2006/relationships/hyperlink" Target="https://www.ilegis.ro/application/showparalel/oficiale/oficiale/177428/169030/A3/A0/datac2/2016-04-11/art1/0/art2/0" TargetMode="Externa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jpeg"/><Relationship Id="rId60" Type="http://schemas.openxmlformats.org/officeDocument/2006/relationships/hyperlink" Target="http://www.dspb.ro/concursuri/20161230-anunt.pdf" TargetMode="External"/><Relationship Id="rId61" Type="http://schemas.openxmlformats.org/officeDocument/2006/relationships/hyperlink" Target="http://www.dspb.ro/concursuri/2017031301-ANUNT.pdf" TargetMode="External"/><Relationship Id="rId62" Type="http://schemas.openxmlformats.org/officeDocument/2006/relationships/hyperlink" Target="http://www.casmb.ro/" TargetMode="Externa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Petruta</dc:creator>
  <dc:title>RAPORT DE ACTIVITATE</dc:title>
  <dcterms:created xsi:type="dcterms:W3CDTF">2020-05-11T03:58:40Z</dcterms:created>
  <dcterms:modified xsi:type="dcterms:W3CDTF">2020-05-11T03:58:40Z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2018-11-15T00:00:00Z</vt:filetime>
  </property>
  <property fmtid="{D5CDD505-2E9C-101B-9397-08002B2CF9AE}" pid="3" name="Creator">
    <vt:lpwstr>Microsoft® Word 2016</vt:lpwstr>
  </property>
  <property fmtid="{D5CDD505-2E9C-101B-9397-08002B2CF9AE}" pid="4" name="LastSaved">
    <vt:filetime>2020-05-11T00:00:00Z</vt:filetime>
  </property>
</Properties>
</file>